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F3" w:rsidRPr="002F3DFF" w:rsidRDefault="00D70EF3" w:rsidP="002F3DFF">
      <w:pPr>
        <w:jc w:val="center"/>
        <w:rPr>
          <w:rFonts w:eastAsia="Andale Sans UI" w:cs="Tahoma"/>
          <w:b/>
          <w:kern w:val="0"/>
          <w:lang w:eastAsia="en-US" w:bidi="en-US"/>
        </w:rPr>
      </w:pPr>
      <w:r w:rsidRPr="00D70EF3">
        <w:rPr>
          <w:rFonts w:eastAsia="Andale Sans UI" w:cs="Tahoma"/>
          <w:b/>
          <w:kern w:val="0"/>
          <w:lang w:eastAsia="en-US" w:bidi="en-US"/>
        </w:rPr>
        <w:t>LIETUVOS RESPUBLIKOS</w:t>
      </w:r>
      <w:r w:rsidR="002F3DFF">
        <w:rPr>
          <w:rFonts w:eastAsia="Andale Sans UI" w:cs="Tahoma"/>
          <w:b/>
          <w:kern w:val="0"/>
          <w:lang w:eastAsia="en-US" w:bidi="en-US"/>
        </w:rPr>
        <w:t xml:space="preserve"> VYRIAUSYBĖS NUTARIMO </w:t>
      </w:r>
      <w:r w:rsidR="002F3DFF" w:rsidRPr="00F075C2">
        <w:rPr>
          <w:b/>
        </w:rPr>
        <w:t xml:space="preserve">„DĖL </w:t>
      </w:r>
      <w:r w:rsidR="000C432C">
        <w:rPr>
          <w:b/>
        </w:rPr>
        <w:t>STRATEGINIO VALDYMO ĮSTATYMO ĮGYVENDINIMO</w:t>
      </w:r>
      <w:r w:rsidR="002F3DFF" w:rsidRPr="00F075C2">
        <w:rPr>
          <w:b/>
        </w:rPr>
        <w:t>“ PROJEKTO</w:t>
      </w:r>
      <w:r w:rsidR="002F3DFF">
        <w:rPr>
          <w:b/>
        </w:rPr>
        <w:t xml:space="preserve"> DERINIMO PAŽYMA</w:t>
      </w:r>
    </w:p>
    <w:p w:rsidR="00D70EF3" w:rsidRDefault="00D70EF3" w:rsidP="00D70EF3">
      <w:pPr>
        <w:rPr>
          <w:b/>
          <w:bCs/>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763"/>
        <w:gridCol w:w="5670"/>
      </w:tblGrid>
      <w:tr w:rsidR="00D70EF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6373" w:rsidRPr="00CF0BD9" w:rsidRDefault="00666402" w:rsidP="00551F39">
            <w:pPr>
              <w:ind w:right="34"/>
              <w:jc w:val="center"/>
              <w:rPr>
                <w:b/>
                <w:bCs/>
                <w:sz w:val="20"/>
                <w:szCs w:val="20"/>
              </w:rPr>
            </w:pPr>
            <w:r w:rsidRPr="00CF0BD9">
              <w:rPr>
                <w:b/>
                <w:bCs/>
                <w:sz w:val="20"/>
                <w:szCs w:val="20"/>
              </w:rPr>
              <w:t>Institucijos pavadinimas</w:t>
            </w:r>
            <w:r w:rsidR="00176373" w:rsidRPr="00CF0BD9">
              <w:rPr>
                <w:b/>
                <w:bCs/>
                <w:sz w:val="20"/>
                <w:szCs w:val="20"/>
              </w:rPr>
              <w:t>,</w:t>
            </w:r>
          </w:p>
          <w:p w:rsidR="00D70EF3" w:rsidRPr="00CF0BD9" w:rsidRDefault="00176373" w:rsidP="00551F39">
            <w:pPr>
              <w:jc w:val="center"/>
              <w:rPr>
                <w:sz w:val="20"/>
                <w:szCs w:val="20"/>
              </w:rPr>
            </w:pPr>
            <w:r w:rsidRPr="00CF0BD9">
              <w:rPr>
                <w:b/>
                <w:bCs/>
                <w:sz w:val="20"/>
                <w:szCs w:val="20"/>
              </w:rPr>
              <w:t>eilės Nr.</w:t>
            </w:r>
          </w:p>
        </w:tc>
        <w:tc>
          <w:tcPr>
            <w:tcW w:w="77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0EF3" w:rsidRPr="00CF0BD9" w:rsidRDefault="00D70EF3" w:rsidP="00551F39">
            <w:pPr>
              <w:jc w:val="center"/>
              <w:rPr>
                <w:sz w:val="20"/>
                <w:szCs w:val="20"/>
              </w:rPr>
            </w:pPr>
            <w:r w:rsidRPr="00CF0BD9">
              <w:rPr>
                <w:b/>
                <w:bCs/>
                <w:sz w:val="20"/>
                <w:szCs w:val="20"/>
              </w:rPr>
              <w:t>Pastabos ir pasiūlymai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0EF3" w:rsidRPr="00CF0BD9" w:rsidRDefault="00D70EF3" w:rsidP="00551F39">
            <w:pPr>
              <w:jc w:val="center"/>
              <w:rPr>
                <w:sz w:val="20"/>
                <w:szCs w:val="20"/>
              </w:rPr>
            </w:pPr>
            <w:r w:rsidRPr="00CF0BD9">
              <w:rPr>
                <w:b/>
                <w:bCs/>
                <w:sz w:val="20"/>
                <w:szCs w:val="20"/>
              </w:rPr>
              <w:t>Argumentai, kodėl neatsižvelgta į institucijų pastabas ir pasiūlymus</w:t>
            </w:r>
          </w:p>
        </w:tc>
      </w:tr>
      <w:tr w:rsidR="00615C84" w:rsidRPr="00CF0BD9" w:rsidTr="00551F39">
        <w:trPr>
          <w:trHeight w:val="313"/>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b/>
                <w:bCs/>
                <w:sz w:val="20"/>
                <w:szCs w:val="20"/>
              </w:rPr>
            </w:pPr>
            <w:r w:rsidRPr="00CF0BD9">
              <w:rPr>
                <w:b/>
                <w:bCs/>
                <w:sz w:val="20"/>
                <w:szCs w:val="20"/>
              </w:rPr>
              <w:t>1. Lietuvos Respublikos aplinkos ministerija</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sz w:val="20"/>
                <w:szCs w:val="20"/>
              </w:rPr>
            </w:pPr>
            <w:r w:rsidRPr="00CF0BD9">
              <w:rPr>
                <w:sz w:val="20"/>
                <w:szCs w:val="20"/>
              </w:rPr>
              <w:t>1.1.</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Vadovaujantis SVĮ nuostatomis, visos pažangos lėšos planuojamos vadovaujantis šiuo įstatymu ir SVM. Siekiant nustatyti teisės aktų, įgyvendinančių SVĮ, sistemingą ir nuoseklią grandinę, aiškią institucijų atsakomybę, siūlome Nutarimo projektą papildyti tvirtinamu „Strateginio valdymo sistemos dalyvių, atliekančių vadovaujančiosios ir administruojančiosios (tarpinės) institucijos funkcijas pagal finansavimo šaltinius, sąrašu“ (toliau – Administruojančių institucijų sąrašas). Šiuo sąrašu turėtų būti paskiriamos įstaigos ne tik valstybės biudžeto lėšoms administruoti, bet ir Europos Sąjungos struktūrinių fondų ir kitos tarptautinės paramos lėšoms.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b/>
                <w:sz w:val="20"/>
                <w:szCs w:val="20"/>
              </w:rPr>
            </w:pPr>
            <w:r w:rsidRPr="00CF0BD9">
              <w:rPr>
                <w:b/>
                <w:sz w:val="20"/>
                <w:szCs w:val="20"/>
              </w:rPr>
              <w:t>Neatsižvelgta.</w:t>
            </w:r>
          </w:p>
          <w:p w:rsidR="000C432C" w:rsidRPr="00CF0BD9" w:rsidRDefault="000C432C" w:rsidP="00551F39">
            <w:pPr>
              <w:rPr>
                <w:sz w:val="20"/>
                <w:szCs w:val="20"/>
              </w:rPr>
            </w:pPr>
            <w:r w:rsidRPr="00CF0BD9">
              <w:rPr>
                <w:sz w:val="20"/>
                <w:szCs w:val="20"/>
              </w:rPr>
              <w:t>Europos Sąjungos struktūrinių fondų dalyviai: vadovaujančiosios institucijos, administruojančiosios institucijos (tarpinės institucijos) ir audito institucijos yra nustatytos  Lietuvos Respublikos Vyriausybės 2020 m. lapkričio 25 d. nutarimu Nr. 1322 „Dėl pasirengimo administruoti Europos Sąjungos fondų lėšas“ (toliau – Nutarimas Nr. 1322). Esant poreikiui Nutarimas Nr. 1322 bus keičiamas, jį papildant dalyviais, vykdančiais minėtas funkcijas, ir kitose programose. Atkreipiame dėmesį, kad Nutarimo Nr. 1322 preambulėje be nuorodų į atitinkamus reglamentų projektus, taip pat yra duotos nuorodos ir į Strateginio valdymo įsta</w:t>
            </w:r>
            <w:r w:rsidR="00AB5EA4">
              <w:rPr>
                <w:sz w:val="20"/>
                <w:szCs w:val="20"/>
              </w:rPr>
              <w:t>t</w:t>
            </w:r>
            <w:r w:rsidRPr="00CF0BD9">
              <w:rPr>
                <w:sz w:val="20"/>
                <w:szCs w:val="20"/>
              </w:rPr>
              <w:t>ymo (toliau – SVĮ) 3 straipsnio 17 dalies 8 punktą ir 17 straipsnio 5 dalį.</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sz w:val="20"/>
                <w:szCs w:val="20"/>
              </w:rPr>
            </w:pPr>
            <w:r w:rsidRPr="00CF0BD9">
              <w:rPr>
                <w:sz w:val="20"/>
                <w:szCs w:val="20"/>
              </w:rPr>
              <w:t>1.2.</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Atsižvelgiant į tai, kad LRV 2020 m. lapkričio 25 d. nutarimu Nr. 1322 „Dėl pasirengimo administruoti Europos Sąjungos fondų lėšas“ (toliau – Nutarimas Nr. 1322) jau yra paskirtos vadovaujančiosios ir tarpinės institucijos keletui ES lėšomis finansuojamoms programoms ar planams, siūlome persvarstyti šiuo nutarimu patvirtintų tarpinių institucijų 2021–2027 metų Europos Sąjungos fondų investicijų programai administruoti sąrašą, ir įtraukti visų finansavimo šaltinių administruojančias institucijas į siūlomą tvirtinti Administruojančių institucijų sąrašą. Nutarimu Nr. 1322 paskyrus Finansų ministeriją, Vidaus reikalų ministeriją ir Centrinė projektų valdymo agentūrą vykdyti 2021–2027 metų Europos Sąjungos fondų investicijų programos vadovaujančiosios ir tarpinės institucijos funkcijas, kitoms ministerijoms nesuteikiama teisių planuoti pažangos lėšas (ES lėšas) savo plėtros programose ir prisiimti atsakomybę už tinkamą investicijų programos planavimą, įgyvendinimą ir asignavimų panaudojimą. Todėl siūlome vadovaujantis SVĮ  3 straipsnio 17 dalies 3 ir 8 punktu Administruojančių institucijų sąraše nustatyti 2021–2027 m. ES struktūrinių fondų lėšų veiksmų programos 2.1, 2.4–2.7 uždavinių tarpinėmis institucijomis Aplinkos ministeriją ir Aplinkos projektų valdymo agentūrą (toliau – APVA).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b/>
                <w:sz w:val="20"/>
                <w:szCs w:val="20"/>
              </w:rPr>
            </w:pPr>
            <w:r w:rsidRPr="00CF0BD9">
              <w:rPr>
                <w:b/>
                <w:sz w:val="20"/>
                <w:szCs w:val="20"/>
              </w:rPr>
              <w:t>Neatsižvelgta.</w:t>
            </w:r>
          </w:p>
          <w:p w:rsidR="000C432C" w:rsidRPr="00CF0BD9" w:rsidRDefault="000C432C" w:rsidP="00551F39">
            <w:pPr>
              <w:rPr>
                <w:sz w:val="20"/>
                <w:szCs w:val="20"/>
              </w:rPr>
            </w:pPr>
            <w:r w:rsidRPr="00CF0BD9">
              <w:rPr>
                <w:sz w:val="20"/>
                <w:szCs w:val="20"/>
              </w:rPr>
              <w:t xml:space="preserve">Nutarimu Nr. 1322 yra paskirtos 2021–2027 metų Europos Sąjungos fondų investicijų programos (toliau – Investicijų programa) vadovaujančioji institucija –  Finansų ministerija ir tarpinės institucijos – </w:t>
            </w:r>
            <w:proofErr w:type="spellStart"/>
            <w:r w:rsidRPr="00CF0BD9">
              <w:rPr>
                <w:sz w:val="20"/>
                <w:szCs w:val="20"/>
              </w:rPr>
              <w:t>VšĮ</w:t>
            </w:r>
            <w:proofErr w:type="spellEnd"/>
            <w:r w:rsidRPr="00CF0BD9">
              <w:rPr>
                <w:sz w:val="20"/>
                <w:szCs w:val="20"/>
              </w:rPr>
              <w:t xml:space="preserve"> Centrinė projektų valdymo agentūra ir Vidaus reikalų ministerija. Derinant Nutarimą Nr. 1322 buvo teikti paaiškinimai, kad tarpinės institucijos paskirtos atsižvelgiant į konkrečios programos administravimui nustatytus reikalavimus Bendrųjų nuostatų reglamento projekte (toliau – BNR), t. y. šioms institucijoms priskiriamos tik BNR nustatytos vadovaujančiosios institucijos funkcijos. Atkreipiame dėmesį, kad ministerijų funkcijos tokios kaip pažangos lėšų planavimas nėra priskiriamas prie vadovaujančiosios institucijos funkcijų. Šias funkcijas ministerijos vykdo įgyvendindamos SVĮ, taip pat šios ministerijų funkcijos detalizuojamos šioje derinamoje Strateginio valdymo metodikoje (toliau </w:t>
            </w:r>
            <w:r w:rsidR="00943269">
              <w:rPr>
                <w:sz w:val="20"/>
                <w:szCs w:val="20"/>
              </w:rPr>
              <w:t>–</w:t>
            </w:r>
            <w:r w:rsidRPr="00CF0BD9">
              <w:rPr>
                <w:sz w:val="20"/>
                <w:szCs w:val="20"/>
              </w:rPr>
              <w:t xml:space="preserve"> SVM). Atkreipiame dėmesį, kad paaiškinimas dėl šių klausimų buvo pateikti derinant Nutarimą Nr. 1322.</w:t>
            </w:r>
          </w:p>
          <w:p w:rsidR="000C432C" w:rsidRPr="00CF0BD9" w:rsidRDefault="000C432C" w:rsidP="00551F39">
            <w:pPr>
              <w:rPr>
                <w:sz w:val="20"/>
                <w:szCs w:val="20"/>
              </w:rPr>
            </w:pPr>
            <w:r w:rsidRPr="00CF0BD9">
              <w:rPr>
                <w:sz w:val="20"/>
                <w:szCs w:val="20"/>
              </w:rPr>
              <w:t xml:space="preserve">Tuo atveju, jeigu Aplinkos ministerija administruoja kitus finansavimo šaltinius ir (ar) kitas programas nei nurodytos Nutarime Nr. 1322, kurioms jau šiuo etapu yra būtina nustatyti vadovaujančiąją, administruojančiąją ir (ar) audito instituciją, maloniai prašome pateikti Finansų ministerijai šių šaltinių ir (ar) programų pavadinimus ir įstaigų, kurios atliks vadovaujančiosios, </w:t>
            </w:r>
            <w:proofErr w:type="spellStart"/>
            <w:r w:rsidRPr="00CF0BD9">
              <w:rPr>
                <w:sz w:val="20"/>
                <w:szCs w:val="20"/>
              </w:rPr>
              <w:t>administruojačiosios</w:t>
            </w:r>
            <w:proofErr w:type="spellEnd"/>
            <w:r w:rsidRPr="00CF0BD9">
              <w:rPr>
                <w:sz w:val="20"/>
                <w:szCs w:val="20"/>
              </w:rPr>
              <w:t xml:space="preserve"> ir (ar) audito institucijos funkcijas, pavadinimus. Atsižvelgiant į pateiktą informaciją, Finansų </w:t>
            </w:r>
            <w:r w:rsidRPr="00CF0BD9">
              <w:rPr>
                <w:sz w:val="20"/>
                <w:szCs w:val="20"/>
              </w:rPr>
              <w:lastRenderedPageBreak/>
              <w:t>ministerija inicijuos Nutarimo Nr. 1322 keitimą papildant jį atitinkamų finansavimo šaltinių ir (ar) programų valdymo ir kontrolės sistemos dalyviais.</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sz w:val="20"/>
                <w:szCs w:val="20"/>
              </w:rPr>
            </w:pPr>
            <w:r w:rsidRPr="00CF0BD9">
              <w:rPr>
                <w:sz w:val="20"/>
                <w:szCs w:val="20"/>
              </w:rPr>
              <w:lastRenderedPageBreak/>
              <w:t>1.3.</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Atsižvelgiant į tai, kad rengiant 2022–2024 metų strateginius veiklos planus reikia suplanuoti pažangos priemonių lėšas (asignavimus pagal jų finansavimo šaltinius), už kurias atsakingos ministerijos kaip vadovaujančiosios institucijos, taip pat į tai, kad ministerijų rengiamose plėtros programose turi būti nurodomos pažangos priemones (veiklas) administruojančios institucijos, ir visos turi būti paskirtos Lietuvos Respublikos Vyriausybės, siūlome Administruojančių institucijų sąraše patvirtinti Aplinkos ministeriją kaip vadovaujančiąją instituciją, APVA ir </w:t>
            </w:r>
            <w:proofErr w:type="spellStart"/>
            <w:r w:rsidRPr="00CF0BD9">
              <w:rPr>
                <w:rFonts w:eastAsia="Times New Roman"/>
                <w:kern w:val="0"/>
                <w:sz w:val="20"/>
                <w:szCs w:val="20"/>
                <w:lang w:eastAsia="en-US"/>
              </w:rPr>
              <w:t>VšĮ</w:t>
            </w:r>
            <w:proofErr w:type="spellEnd"/>
            <w:r w:rsidRPr="00CF0BD9">
              <w:rPr>
                <w:rFonts w:eastAsia="Times New Roman"/>
                <w:kern w:val="0"/>
                <w:sz w:val="20"/>
                <w:szCs w:val="20"/>
                <w:lang w:eastAsia="en-US"/>
              </w:rPr>
              <w:t xml:space="preserve"> Būsto energijos taupymo agentūrą kaip administruojančias (tarpines) institucijas, taip kaip nurodyta pagal finansavimo šaltinius pridedamame dokumente (rašto priedas).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E78F8" w:rsidRPr="00CF0BD9" w:rsidRDefault="000C432C" w:rsidP="00551F39">
            <w:pPr>
              <w:pStyle w:val="Komentarotekstas"/>
              <w:rPr>
                <w:b/>
              </w:rPr>
            </w:pPr>
            <w:r w:rsidRPr="00CF0BD9">
              <w:rPr>
                <w:b/>
              </w:rPr>
              <w:t>Neatsižvelgta.</w:t>
            </w:r>
          </w:p>
          <w:p w:rsidR="000C432C" w:rsidRPr="00CF0BD9" w:rsidRDefault="000C432C" w:rsidP="00551F39">
            <w:pPr>
              <w:pStyle w:val="Komentarotekstas"/>
            </w:pPr>
            <w:r w:rsidRPr="00CF0BD9">
              <w:t>Konkrečių programų vadovaujančiosios ir administruojančiosios (tarpinės) institucijos nustatomos Nutarime Nr. 1322. Finansų ministerija įvertins Aplinkos ministerijos pateiktą in</w:t>
            </w:r>
            <w:r w:rsidR="00943269">
              <w:t>f</w:t>
            </w:r>
            <w:r w:rsidRPr="00CF0BD9">
              <w:t>ormaciją ir inicijuos Nutarimo Nr. 1322 keitimą.</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rPr>
                <w:sz w:val="20"/>
                <w:szCs w:val="20"/>
              </w:rPr>
            </w:pPr>
            <w:r w:rsidRPr="00CF0BD9">
              <w:rPr>
                <w:sz w:val="20"/>
                <w:szCs w:val="20"/>
              </w:rPr>
              <w:t>1.4.</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Nepakankamai aiški Nutarimo projekto 3.7 papunkčio nuostata „Iki 2021 m. sausio 1 d. vadovaujantis Strateginio planavimo metodika, patvirtinta Lietuvos Respublikos Vyriausybės 2002 m. birželio 6 d. nutarimu Nr. 827 „Dėl Strateginio planavimo metodikos patvirtinimo“, parengtos ir patvirtintos plėtros programos, trumpo laikotarpio planavimo dokumentai, neįskaitant strateginių veiklos planų ir metinių veiklos planų, kurių įgyvendinimo terminas yra po 2021 m. sausio 1 d., įgyvendinami iki 2022 m. gruodžio 31 d.“ Ar vadovaujantis šia nuostata dokumentai, kurie buvo parengti kaip plėtros programos – Nacionalinis energetikos ir klimato srities veiksmų planas (NEKS), Nacionalinis oro taršos mažinimo planas (NOTMP), Patvariųjų organinių teršalų tvarkymo 2017–2025 m. programa, Užterštų teritorijų tvarkymo 2013–2023 metų planas, Vandenų srities plėtros 2017–2023 metų programa, nuo 2023 sausio 1 d. nebeteks galios? Atsižvelgus į tai, kad kai kurie iš išvardintų dokumentų galioja iki 2025 metų, o NEKS ir NOTMP pakeitimai realiai bus patvirtinti tik 2024 m., tikslintina 3.7 punkto formuluotė.</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pStyle w:val="Komentarotekstas"/>
              <w:rPr>
                <w:b/>
              </w:rPr>
            </w:pPr>
            <w:r w:rsidRPr="00CF0BD9">
              <w:rPr>
                <w:b/>
              </w:rPr>
              <w:t>Atsižvelgta iš dalies.</w:t>
            </w:r>
          </w:p>
          <w:p w:rsidR="000C432C" w:rsidRPr="00CF0BD9" w:rsidRDefault="000C432C" w:rsidP="00551F39">
            <w:pPr>
              <w:pStyle w:val="Komentarotekstas"/>
            </w:pPr>
            <w:r w:rsidRPr="00CF0BD9">
              <w:t>Patikslintas punktas, nurodant, kad nuostata taikoma planavimo dokumentams, kuriais įgyvendinamos 2014-2020 m. ES finansinės paramos lėšomis finansuojamos priemonės.</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rPr>
                <w:sz w:val="20"/>
                <w:szCs w:val="20"/>
              </w:rPr>
            </w:pPr>
            <w:r w:rsidRPr="00CF0BD9">
              <w:rPr>
                <w:sz w:val="20"/>
                <w:szCs w:val="20"/>
              </w:rPr>
              <w:t>1.5.</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Siekiant aiškumo, siūlome SVM įvesti sąvokas „tarpinė institucija“ ir „pažangos priemonės koordinatorius“.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pStyle w:val="Komentarotekstas"/>
              <w:rPr>
                <w:b/>
              </w:rPr>
            </w:pPr>
            <w:r w:rsidRPr="00CF0BD9">
              <w:rPr>
                <w:b/>
              </w:rPr>
              <w:t>Neatsižvelgta.</w:t>
            </w:r>
          </w:p>
          <w:p w:rsidR="000C432C" w:rsidRPr="00CF0BD9" w:rsidRDefault="000C432C" w:rsidP="00551F39">
            <w:pPr>
              <w:pStyle w:val="Komentarotekstas"/>
            </w:pPr>
            <w:r w:rsidRPr="00CF0BD9">
              <w:t>Priemonės koordinatoriaus funkcijos apibrėžtos SVM 80-81 punktuose ir vėlesniuose punktuose dar detalizuojamos, todėl atskiros sąvokos įvedimas nėra tikslingas. Tarpinė institucija - atskirus finansavimo šaltinius reglamentuojančiuose teisės aktuose apibrėžiama institucija ir SVM nėra minima.</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rPr>
                <w:sz w:val="20"/>
                <w:szCs w:val="20"/>
              </w:rPr>
            </w:pPr>
            <w:r w:rsidRPr="00CF0BD9">
              <w:rPr>
                <w:sz w:val="20"/>
                <w:szCs w:val="20"/>
              </w:rPr>
              <w:t>1.6.</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46 punkte numatyta, kad Nacionalinio pažangos plano įgyvendinimui koordinuoti ir priežiūrai vykdyti sudaromas priežiūros komitetas, kuris (be kita ko) nustato pagrindinius projektų atrankos kriterijų formavimo principus. Ministerijos nuomone, šiam komitetui turėtų būti pavesta užtikrinti, kad vienas iš pagrindinių projektų atrankos kriterijų būtų jų aplinkosauginis efektyvumas ir atitiktis Žaliojo kurso prioritetams.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pStyle w:val="Komentarotekstas"/>
              <w:rPr>
                <w:b/>
              </w:rPr>
            </w:pPr>
            <w:r w:rsidRPr="00CF0BD9">
              <w:rPr>
                <w:b/>
              </w:rPr>
              <w:t>Neatsižvelgta.</w:t>
            </w:r>
          </w:p>
          <w:p w:rsidR="000C432C" w:rsidRPr="00CF0BD9" w:rsidRDefault="000C432C" w:rsidP="0040520A">
            <w:pPr>
              <w:pStyle w:val="Komentarotekstas"/>
            </w:pPr>
            <w:r w:rsidRPr="00CF0BD9">
              <w:t>Perteklinis siūlymas. Pažymime, kad NPP komitetą sudaro už NPP įgyvendinimą atsakingos institucijos, horizontaliųjų principų koordinatoriai, įgyvendinant NPP uždavinius dalyvaujantys strateginio valdymo sistemos dalyviai bei socialiniai ir ekonominiai partneriai. NPP komitetas nustatys pagrindinius projektų atrankos kriterijų formavimo principus (48 punktas.). AM yra NPP komiteto narė, atsakinga ne tik už apl</w:t>
            </w:r>
            <w:r w:rsidR="00943269">
              <w:t>in</w:t>
            </w:r>
            <w:r w:rsidRPr="00CF0BD9">
              <w:t>kosaugą, bet ir HP "darnus vystymasis" (koordinatorė),  jai, kaip HP koordinatorei, pavesta dalyvauti  PP ir RPP rengime, todėl manome, kad ši</w:t>
            </w:r>
            <w:r w:rsidR="0040520A">
              <w:t>ų</w:t>
            </w:r>
            <w:r w:rsidRPr="00CF0BD9">
              <w:t xml:space="preserve"> kriterijų taikymas privalės būti užtikrintas bet kokiu atveju.   </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sz w:val="20"/>
                <w:szCs w:val="20"/>
              </w:rPr>
            </w:pPr>
            <w:r w:rsidRPr="00CF0BD9">
              <w:rPr>
                <w:sz w:val="20"/>
                <w:szCs w:val="20"/>
              </w:rPr>
              <w:t>1.7.</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ketvirtame skirsnyje „pažangos priemonių įgyvendinimas“ nepakankamai reglamentuojami ministerijų veiksmai, kurių pagrindu planuojamas priemonių įgyvendinimas, suplanuojami projektai ar kvietimai projektams teikti.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E74330" w:rsidRPr="00CF0BD9" w:rsidRDefault="000C432C" w:rsidP="00551F39">
            <w:pPr>
              <w:rPr>
                <w:b/>
                <w:sz w:val="20"/>
                <w:szCs w:val="20"/>
              </w:rPr>
            </w:pPr>
            <w:r w:rsidRPr="00CF0BD9">
              <w:rPr>
                <w:b/>
                <w:sz w:val="20"/>
                <w:szCs w:val="20"/>
              </w:rPr>
              <w:t>Neatsižvelgta.</w:t>
            </w:r>
          </w:p>
          <w:p w:rsidR="000C432C" w:rsidRPr="00CF0BD9" w:rsidRDefault="000C432C" w:rsidP="00551F39">
            <w:pPr>
              <w:rPr>
                <w:sz w:val="20"/>
                <w:szCs w:val="20"/>
              </w:rPr>
            </w:pPr>
            <w:r w:rsidRPr="00CF0BD9">
              <w:rPr>
                <w:sz w:val="20"/>
                <w:szCs w:val="20"/>
              </w:rPr>
              <w:t xml:space="preserve">Detali projektų administravimo ir finansavimo tvarka bus nustatoma konkretaus finansavimo šaltinio Vadovaujančiosios </w:t>
            </w:r>
            <w:r w:rsidRPr="00CF0BD9">
              <w:rPr>
                <w:sz w:val="20"/>
                <w:szCs w:val="20"/>
              </w:rPr>
              <w:lastRenderedPageBreak/>
              <w:t>institucijos arba nacionalinių plėtros programų portfelio valdytojo.</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sz w:val="20"/>
                <w:szCs w:val="20"/>
              </w:rPr>
            </w:pPr>
            <w:r w:rsidRPr="00CF0BD9">
              <w:rPr>
                <w:sz w:val="20"/>
                <w:szCs w:val="20"/>
              </w:rPr>
              <w:lastRenderedPageBreak/>
              <w:t>1.8.</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110 p. antroje pastraipoje klaidinanti nuostata, kad pažangos veikloms įgyvendinti  projektų reikalavimus rengia vadovaujančiosios institucijos, o valstybės biudžeto lėšomis finansuojamiems projektams – Portfelio valdytojas. Valstybės biudžeto lėšoms taip priskiriamos ir pažangos veiklų lėšos. Todėl nėra aišku kas rengia reikalavimus projektams.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Reikalavimai projektams skiriasi priklausomai nuo finansavimo šaltinio, todėl detalius reikalavimus projektams nustatys konkrečių finansavimo šaltinių Vadovaujančios institucijos, o valstybės biudžeto lėšomis finansuojamiems projektams reikalavimus nustatys nacionalinių plėtros programų portfelio valdytojas.</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sz w:val="20"/>
                <w:szCs w:val="20"/>
              </w:rPr>
            </w:pPr>
            <w:r w:rsidRPr="00CF0BD9">
              <w:rPr>
                <w:sz w:val="20"/>
                <w:szCs w:val="20"/>
              </w:rPr>
              <w:t>1.9.</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nėra aiškiai reglamentuotas investicijų projektų planavimo mechanizmas. 123 p. pateikiama informacija, kad investicijų projektas yra viena iš projekto plano dalių ir jo rengimui taikoma CPVA parengta investicijų projektų rengimo metodika. Tačiau neaišku, kurie metodikos punktai taikomi išskirtinai tik investicijų projektams, kurie projektams plačiąja prasme (kaip tai apibrėžta SVĮ 3 str. 13 dalyje), kokie projektų rengimo reikalavimai taikomi investicijų projektams, kurių vertė nesiekia vieno milijono eurų.</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Detali projektų administravimo ir finansavimo tvarka bus nustatoma konkretaus finansavimo šaltinio Vadovaujančiosios institucijos arba nacionalinių plėtros programų portfelio valdytojo.</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sz w:val="20"/>
                <w:szCs w:val="20"/>
              </w:rPr>
            </w:pPr>
            <w:r w:rsidRPr="00CF0BD9">
              <w:rPr>
                <w:sz w:val="20"/>
                <w:szCs w:val="20"/>
              </w:rPr>
              <w:t>1.10.</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nėra pakankamai reglamentuojamos finansinių priemonių planavimo ir įgyvendinimo nuostatos. SVM 126 p. tik pasakoma, kad jei priemonė įgyvendinama kaip finansinė, tai projektams taikoma skatinamųjų finansinių priemonių tvarka. Atsižvelgiant į tai, kad SVM taikoma visoms pažangos lėšoms, siūloma SVM plačiau reglamentuoti finansinių priemonių taikymo nuostatas.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Valstybės biudžeto lėšomis įgyvendinamos finansinės priemonės planuojamos ir įgyvendinamos vadovaujantis LRV 2018-09-12 nutarime Nr. 910 nustatyta tvarka. ES struktūrinių fondų lėšomis įgyvendinamoms finansinėms priemonėms bus rengiamos finansinių priemonių administravimo taisyklės.</w:t>
            </w:r>
          </w:p>
        </w:tc>
      </w:tr>
      <w:tr w:rsidR="009C0D14" w:rsidRPr="00CF0BD9" w:rsidTr="00551F39">
        <w:trPr>
          <w:trHeight w:val="339"/>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b/>
                <w:bCs/>
                <w:sz w:val="20"/>
                <w:szCs w:val="20"/>
              </w:rPr>
              <w:t>2. Lietuvos Respublikos krašto apsaugos ministerija</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sz w:val="20"/>
                <w:szCs w:val="20"/>
              </w:rPr>
            </w:pPr>
            <w:r w:rsidRPr="00CF0BD9">
              <w:rPr>
                <w:sz w:val="20"/>
                <w:szCs w:val="20"/>
              </w:rPr>
              <w:t>2.1.</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Pateiktame vertinti dokumento projekte pasigendama nuoseklumo, nors yra deklaruojama, kad sukuriama vieninga dokumentų sistema ir aiški jų hierarchija, nepriklausomai nuo dokumentus tvirtinančios institucijos. Pavyzdžiui, SVM II skyriuje „Strateginio lygmens planavimo dokumentai“ yra aprašomi tik trys iš šešių Strateginio valdymo įstatymo 6 straipsnyje nurodytų strateginio lygmens planavimo dokumentų tipų. SVM 22 punkte teigiama, kad Valstybės pažangos strategijai įgyvendinti rengiamas Nacionalinis pažangos planas (toliau – NPP), tačiau pastarasis lygiai taip pat reikalingas ir kitiems strateginio lygmens planavimo dokumentams (pvz., Nacionalinio saugumo strategijai) įgyvendinti.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b/>
                <w:sz w:val="20"/>
                <w:szCs w:val="20"/>
              </w:rPr>
            </w:pPr>
            <w:r w:rsidRPr="00CF0BD9">
              <w:rPr>
                <w:b/>
                <w:sz w:val="20"/>
                <w:szCs w:val="20"/>
              </w:rPr>
              <w:t>Neatsižvelgta.</w:t>
            </w:r>
          </w:p>
          <w:p w:rsidR="009C0D14" w:rsidRPr="00CF0BD9" w:rsidRDefault="00943269" w:rsidP="00551F39">
            <w:pPr>
              <w:rPr>
                <w:sz w:val="20"/>
                <w:szCs w:val="20"/>
              </w:rPr>
            </w:pPr>
            <w:r>
              <w:rPr>
                <w:sz w:val="20"/>
                <w:szCs w:val="20"/>
              </w:rPr>
              <w:t>SVM</w:t>
            </w:r>
            <w:r w:rsidR="009C0D14" w:rsidRPr="00CF0BD9">
              <w:rPr>
                <w:sz w:val="20"/>
                <w:szCs w:val="20"/>
              </w:rPr>
              <w:t xml:space="preserve"> detalizuoja tik </w:t>
            </w:r>
            <w:r w:rsidR="00AB5EA4">
              <w:rPr>
                <w:sz w:val="20"/>
                <w:szCs w:val="20"/>
              </w:rPr>
              <w:t>SVĮ</w:t>
            </w:r>
            <w:r w:rsidR="009C0D14" w:rsidRPr="00CF0BD9">
              <w:rPr>
                <w:sz w:val="20"/>
                <w:szCs w:val="20"/>
              </w:rPr>
              <w:t xml:space="preserve"> nuostatas, o Teritorijų planavimo, Regioninės plėtros, Nacionalinio daugumo pagrindų įstatymuose nustatytus dokumentus reglamentuoja kiti teisės aktai.</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sz w:val="20"/>
                <w:szCs w:val="20"/>
              </w:rPr>
            </w:pPr>
            <w:r w:rsidRPr="00CF0BD9">
              <w:rPr>
                <w:sz w:val="20"/>
                <w:szCs w:val="20"/>
              </w:rPr>
              <w:t>2.2.</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NPP tikslinimas. SVM 41 punkte yra numatytas tik naujo NPP rengimo mechanizmas, tačiau ilgalaikei perspektyvai sunkiai prognozuojami geopolitinės ir (ar) saugumo aplinkos pokyčiai ar kitos aplinkybės gali lemti poreikį inicijuoti jau patvirtinto NPP keitimą. Siūlytume papildyti SVM, numatant mechanizmą, kaip už tam tikras valstybės valdymo sritis atsakingos ministerijos gali inicijuoti NPP tikslinimą.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Perteklinis reglamentavimas. NPP tikslinimas numatytas po peržiūrų ir vertinimų, kurių metu ir turėtų būti identifikuoti pastaboje minimi pokyčiai. Be to, NPP peržiūrimas priėmus kiekvieną Strateginio lygmens planavimo dokumentą.</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D040B7" w:rsidP="00551F39">
            <w:pPr>
              <w:rPr>
                <w:sz w:val="20"/>
                <w:szCs w:val="20"/>
              </w:rPr>
            </w:pPr>
            <w:r>
              <w:rPr>
                <w:sz w:val="20"/>
                <w:szCs w:val="20"/>
              </w:rPr>
              <w:t>2.3</w:t>
            </w:r>
            <w:r w:rsidR="009C0D14"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Perteklinis atsiskaitymas ir didinamas ataskaitų kiekis. Vienas iš strateginio valdymo pertvarkos tikslų buvo ataskaitų skaičiaus mažinimas bei iš ministerijų renkamos informacijos sinchronizavimas. Deja, SVM numato didėjantį ataskaitų skaičių ir dar sudėtingesnį atsiskaitymo mechanizmą, duomenų dubliavimą. Pavyzdžiui, pagal SVM 232, 234, 238 punktus asignavimų valdytojas metų gale bus įpareigotas teikti mažiausiai tris ataskaitas apie pasiektus veiklos rezultatus, tačiau skirtingomis formomis ir terminais (asignavimų valdytojo metinę veiklos ataskaitą (iki kovo 1 d.); nacionalinės plėtros programų ataskaitą (kas ketvirtį per 20 k. d. informacija turės būti suvedama į Stebėsenos informacinę sistemą ir metinė ataskaita pateikiama per 30 d. d. metams pasibaigus); Vyriausybės programos nuostatų įgyvendinimo plano vykdymo ataskaitą (bus teikiama Vyriausybės nustatyta tvarka ir </w:t>
            </w:r>
            <w:r w:rsidRPr="00CF0BD9">
              <w:rPr>
                <w:rFonts w:eastAsia="Times New Roman"/>
                <w:kern w:val="0"/>
                <w:sz w:val="20"/>
                <w:szCs w:val="20"/>
                <w:lang w:eastAsia="en-US"/>
              </w:rPr>
              <w:lastRenderedPageBreak/>
              <w:t>terminais). Atkreiptinas dėmesys, kad tiek Nacionalinės plėtros programos vykdymo rezultatai, tiek Vyriausybės programos nuostatų įgyvendinimas yra sudėtinės asignavimų valdytojo metinės veiklos ataskaitos dalys, kaip tai nurodyta SVM 232 ir 239 p., todėl reikalavimas šioms dalims rengti atskiras ataskaitas ir teikti jas ankstesniu terminu sukuria nemažą administracinę naštą ir perteklinį informacijos dubliavimą. Be to, Vyriausybės nutarimu visiems ministrams pavestos valdymo sritys, kuriose atitinkamos ministerijos ir atitinkamo ministro valdymo srities kitos institucijos ar įstaigos vykdo veiklą ir atsiskaito už ją. Visų planavimo dokumentų nuostatos vykdomos pagal pavestas valdymo sritis, o iškelti uždaviniai ir nustatytos užduotys iš strateginių dokumentų yra perkeliami į strateginius veiklos planus. Pasibaigus metams vienoje asignavimų valdytojo veiklos ataskaitoje yra pateikiami visi svarbiausi jo valdymo sričių veiklos rezultatai. Todėl siūlome palengvinti atsiskaitymo naštą ir SVM nustatyti, kad visas atsiskaitymas vyktų iki kovo 1 d. (ar kitos visiems priimtinos datos) su asignavimų valdytojo teikiama metine veiklos ataskaita, kurioje būtų išskirti skyriai apie PP, LRV plano vykdymą ir kitus reikiamus duomenis.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lastRenderedPageBreak/>
              <w:t>Atsižvelgta iš dalies.</w:t>
            </w:r>
          </w:p>
          <w:p w:rsidR="009C0D14" w:rsidRPr="00CF0BD9" w:rsidRDefault="009C0D14" w:rsidP="00551F39">
            <w:pPr>
              <w:rPr>
                <w:sz w:val="20"/>
                <w:szCs w:val="20"/>
              </w:rPr>
            </w:pPr>
            <w:r w:rsidRPr="00CF0BD9">
              <w:rPr>
                <w:sz w:val="20"/>
                <w:szCs w:val="20"/>
              </w:rPr>
              <w:t>Patikslinta atskaitomybės dalis atsižvelgiant Viešojo sektoriaus atskaitomybės įstatymo nuostatas.</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D040B7" w:rsidP="00551F39">
            <w:pPr>
              <w:rPr>
                <w:sz w:val="20"/>
                <w:szCs w:val="20"/>
              </w:rPr>
            </w:pPr>
            <w:r>
              <w:rPr>
                <w:sz w:val="20"/>
                <w:szCs w:val="20"/>
              </w:rPr>
              <w:lastRenderedPageBreak/>
              <w:t>2.4</w:t>
            </w:r>
            <w:r w:rsidR="009C0D14"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Atsižvelgdami į KAS specifiką, siūlome patikslinti 71 p. formuluotę (žr. pakoreguotą tekstą) arba įtvirtinti nuostatą dėl išimties taikymo, kad pažangos veikloms finansuoti skirta biudžeto lėšų dalis galėtų būti naudojama tęstinėms išlaidoms finansuoti, kai tai yra būtina  nacionaliniam saugumui užtikrinti ar tarptautiniams įsipareigojimams gynybos srityje vykdyti:</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71 p. &lt;...&gt; Pažangos veikloms finansuoti skirta biudžeto lėšų dalis negali būti naudojama tęstinėms išlaidoms finansuoti, išskyrus laikotarpius, kai paskelbiamos išskirtinės aplinkybės, tokios išimtys yra numatytos  tam tikrų metų valstybės biudžeto ir savivaldybių biudžetų finansinių rodiklių įstatyme arba tai numatyta naujoje Vyriausybės programoje. Tačiau tęstinių išlaidų mažėjimo sąskaita &lt;...&gt;.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Perteklinė nuostata. Reikalingos išimtys bus įtvirtintos tuose teisės aktuose , kurie skelbs išskirtines aplinkybes (nepaprastoji padėtis ir pan.)</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D040B7" w:rsidP="00551F39">
            <w:pPr>
              <w:rPr>
                <w:sz w:val="20"/>
                <w:szCs w:val="20"/>
              </w:rPr>
            </w:pPr>
            <w:r>
              <w:rPr>
                <w:sz w:val="20"/>
                <w:szCs w:val="20"/>
              </w:rPr>
              <w:t>2.5</w:t>
            </w:r>
            <w:r w:rsidR="009C0D14"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Siūlytume patikslinti 91 punkto formuluotę:</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1. Papildant nuoroda į reikalavimus, kurie turės būti taikomi naujiems projektams, kadangi 110 punkte minima, kad portfelio valdytojas nustatys tik projektų įgyvendinimo reikalavimus, bet ne rengimo.</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2. Patikslinant nuostata, ar projektai turi būti parengti iki gegužės 31 d., ar iki šios datos jau turi būti pateikti ir kam jie turi būti pateikti. Taip pat manome, kad nurodyta projektų pateikimo data yra per daug ankstyva, kol dar nėra gauta informacija iš FM dėl ateinančių metų asignavimų skyrimo – terminas turėtų būti iki rugpjūčio 31 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Atsižvelgta iš dalies.</w:t>
            </w:r>
          </w:p>
          <w:p w:rsidR="009C0D14" w:rsidRPr="00CF0BD9" w:rsidRDefault="009C0D14" w:rsidP="00551F39">
            <w:pPr>
              <w:rPr>
                <w:sz w:val="20"/>
                <w:szCs w:val="20"/>
              </w:rPr>
            </w:pPr>
            <w:r w:rsidRPr="00CF0BD9">
              <w:rPr>
                <w:sz w:val="20"/>
                <w:szCs w:val="20"/>
              </w:rPr>
              <w:t>91 punktas patikslintas nurodant, kad pateikti turi būti Pažangos priemonių "aprašų" projektai.</w:t>
            </w:r>
          </w:p>
          <w:p w:rsidR="009C0D14" w:rsidRPr="00CF0BD9" w:rsidRDefault="009C0D14" w:rsidP="00551F39">
            <w:pPr>
              <w:rPr>
                <w:sz w:val="20"/>
                <w:szCs w:val="20"/>
              </w:rPr>
            </w:pPr>
            <w:r w:rsidRPr="00CF0BD9">
              <w:rPr>
                <w:sz w:val="20"/>
                <w:szCs w:val="20"/>
              </w:rPr>
              <w:t>91 punkte nekalbama apie projektus, todėl nenustatomi jokie jiems keliami reikalavimai. Pažangos priemonių aprašai rengiami pagal SVM nustatytą tvarką ir turinį ir Por</w:t>
            </w:r>
            <w:r w:rsidR="00943269">
              <w:rPr>
                <w:sz w:val="20"/>
                <w:szCs w:val="20"/>
              </w:rPr>
              <w:t>t</w:t>
            </w:r>
            <w:r w:rsidRPr="00CF0BD9">
              <w:rPr>
                <w:sz w:val="20"/>
                <w:szCs w:val="20"/>
              </w:rPr>
              <w:t>felio valdytojo patvirtintą formą.</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D040B7" w:rsidP="00551F39">
            <w:pPr>
              <w:rPr>
                <w:sz w:val="20"/>
                <w:szCs w:val="20"/>
              </w:rPr>
            </w:pPr>
            <w:r>
              <w:rPr>
                <w:sz w:val="20"/>
                <w:szCs w:val="20"/>
              </w:rPr>
              <w:t>2.6</w:t>
            </w:r>
            <w:r w:rsidR="009C0D14"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93.1. p. </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Siūlytina suvienodinti su Metodikos 71 punktu, kuris numato, kad tęstinių išlaidų mažėjimo sąskaita gali būti didinama pažangos lėšų dalis.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Pažymime, kad pasiūlytų suvienodinti punktų prasmė ir reglamentavimas yra skirtingi, t.y. 71 p. apibrėžiama kaip nustatomos ir valdomos finansinės projekcijos, o 93.1 papunktyje - kaip rengiama pažangos priemonė. Suvienodinimas neprasmingas.</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D040B7" w:rsidP="00551F39">
            <w:pPr>
              <w:rPr>
                <w:sz w:val="20"/>
                <w:szCs w:val="20"/>
              </w:rPr>
            </w:pPr>
            <w:r>
              <w:rPr>
                <w:sz w:val="20"/>
                <w:szCs w:val="20"/>
              </w:rPr>
              <w:t>2.7</w:t>
            </w:r>
            <w:r w:rsidR="009C0D14"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Siūloma 112 p. papildyti papunkčiu: „Atitinkamų metų  valstybės biudžeto ir savivaldybių biudžetų finansinių rodiklių įstatyme numatytais projektais dėl tarptautinių įsipareigojimų vykdymo teikiant priimančiosios šalies paramą.“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 xml:space="preserve">Pažymime, kad </w:t>
            </w:r>
            <w:r w:rsidR="00AB5EA4">
              <w:rPr>
                <w:sz w:val="20"/>
                <w:szCs w:val="20"/>
              </w:rPr>
              <w:t>atitinkamų metų Lietuvos Respublikos valstybės biudžeto ir savivaldybių biudžetų f</w:t>
            </w:r>
            <w:r w:rsidRPr="00CF0BD9">
              <w:rPr>
                <w:sz w:val="20"/>
                <w:szCs w:val="20"/>
              </w:rPr>
              <w:t xml:space="preserve">inansinių rodiklių </w:t>
            </w:r>
            <w:r w:rsidR="00AB5EA4">
              <w:rPr>
                <w:sz w:val="20"/>
                <w:szCs w:val="20"/>
              </w:rPr>
              <w:t xml:space="preserve">patvirtinimo </w:t>
            </w:r>
            <w:r w:rsidRPr="00CF0BD9">
              <w:rPr>
                <w:sz w:val="20"/>
                <w:szCs w:val="20"/>
              </w:rPr>
              <w:t>įstatyme nėra nurodomi konkretūs projektai, todėl pasiūlymas nėra įgyvendinamas.</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D040B7" w:rsidP="00551F39">
            <w:pPr>
              <w:rPr>
                <w:sz w:val="20"/>
                <w:szCs w:val="20"/>
              </w:rPr>
            </w:pPr>
            <w:r>
              <w:rPr>
                <w:sz w:val="20"/>
                <w:szCs w:val="20"/>
              </w:rPr>
              <w:t>2.8</w:t>
            </w:r>
            <w:r w:rsidR="009C0D14"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Atsižvelgdami į KAS veiklos ir projektų specifiką bei į tai, kad KAS projektai yra vykdomi ir atsiskaitoma pagal Seimo nutarimu patvirtintą ilgalaikę valstybinę saugumo stiprinimo programą – KAS plėtros programą, siūlome patikslinti SVM 123 punkto formuluotę pagal </w:t>
            </w:r>
            <w:r w:rsidRPr="00CF0BD9">
              <w:rPr>
                <w:rFonts w:eastAsia="Times New Roman"/>
                <w:kern w:val="0"/>
                <w:sz w:val="20"/>
                <w:szCs w:val="20"/>
                <w:lang w:eastAsia="en-US"/>
              </w:rPr>
              <w:lastRenderedPageBreak/>
              <w:t>pateiktą formuluotę. Taip pat svarbu yra išlaikyti šiuo metu kituose teisės aktuose taikomas išimtis:</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1. Valstybės lėšų, skirtų valstybės kapitalo investicijoms, planavimo, tikslinimo, naudojimo, apskaitos ir kontrolės taisyklėse (numatyta išimtis, kad lėšos, reikalingos ginklams ir karinei įrangai, naudojamiems tik kariniams tikslams, valstybės investicijų programoje neplanuojamos).</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2. Investicijų projektų rengimui taikomų reikalavimų apraše (numatyta išimtis, kad krašto apsaugos  sistemos įsipareigojimams NATO (įskaitant NATO saugumo investicijų programą) ir Europos Sąjungai, taip pat kitiems įsipareigojimams dalyvauti tarptautinėse operacijose įgyvendinti reikalingoms valstybės kapitalo investicijoms įvertinti gali būti teikiamas ne visos apimties investicijų projektas, t. y. neatliekama ekonominė, jautrumo ir rizikos analizės).</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Projekto planų rengimas taip pat nėra tikslingas iš NATO saugumo investicijų programos vykdomiems projektams, prie kurių Lietuva dažniausiai prisideda tik sumokėdama PVM, todėl tokia išimtis taip pat turėtų būti įtvirtinama.</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Taip pat manytume, kad 123.5 p. nuostatos neturėtų būti taikomos projektams, finansuojamiems tęstinės veiklos lėšomis – šie projektai jau įtraukti į Valstybės investicijų programą ir jiems skaičiuoklės jau buvo parengtos anksčiau.</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123 p. Projektai turi būti įgyvendinami pasirenkant geriausią projekto įgyvendinimo alternatyvą ir racionaliai paskirstant finansinius išteklius, kaip nustatyta projekto rengimo gairėse, kurias tvirtina portfelio valdytojas arba jo įgaliota institucija. Tuo tikslu kiekvienas projekto vykdytojas turi parengti siūlomo įgyvendinti projekto planą (netaikoma, kai įgyvendinami projektai, apimantys finansines priemones, ir projektai, skirti krašto apsaugos sistemos įsipareigojimams NATO (įskaitant NATO saugumo investicijų programą) ir Europos Sąjungai, taip pat kitiems įsipareigojimams dalyvauti tarptautinėse operacijose), kuriame nurodomi: &lt;...&gt;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lastRenderedPageBreak/>
              <w:t>Atsižvelgta iš dalies.</w:t>
            </w:r>
          </w:p>
          <w:p w:rsidR="009C0D14" w:rsidRPr="00CF0BD9" w:rsidRDefault="009C0D14" w:rsidP="00551F39">
            <w:pPr>
              <w:rPr>
                <w:sz w:val="20"/>
                <w:szCs w:val="20"/>
              </w:rPr>
            </w:pPr>
            <w:r w:rsidRPr="00CF0BD9">
              <w:rPr>
                <w:sz w:val="20"/>
                <w:szCs w:val="20"/>
              </w:rPr>
              <w:t xml:space="preserve">Valstybės lėšų, skirtų valstybės kapitalo investicijoms, planavimo, tikslinimo, naudojimo, apskaitos ir kontrolės taisyklės nebus </w:t>
            </w:r>
            <w:r w:rsidRPr="00CF0BD9">
              <w:rPr>
                <w:sz w:val="20"/>
                <w:szCs w:val="20"/>
              </w:rPr>
              <w:lastRenderedPageBreak/>
              <w:t>taikomos pažangos priemonėse numatytų veiklų planavimui. Pažymėtina, kad SVM projekte jau yra numatyta išimtis dėl veiklų naudingumo skaičiavimo: "SVA išimtinai gali būti (bet neprivalo) taikoma ir tokiu atveju, kai veiksmų įgyvendinimas yra privalomas dėl Europos Sąjungos direktyvų reikalavimų ar tarptautinių įsipareigojimų (pvz., NATO, Šengeno sutarties) ir šie reikalavimai ar įsipareigojimai nustato konkrečius veiksmų ir rezultatų reikalavimus". Tačiau manytina, kad išlaidų efektyvumo skaičiavimai turi būti atliekami ir įgyvendinant konkrečius įsipareigojimus ar naudojant lėšas ginklams ir karinei įrangai įsigyti.</w:t>
            </w:r>
          </w:p>
          <w:p w:rsidR="009C0D14" w:rsidRPr="00CF0BD9" w:rsidRDefault="009C0D14" w:rsidP="00551F39">
            <w:pPr>
              <w:rPr>
                <w:sz w:val="20"/>
                <w:szCs w:val="20"/>
              </w:rPr>
            </w:pPr>
            <w:r w:rsidRPr="00CF0BD9">
              <w:rPr>
                <w:sz w:val="20"/>
                <w:szCs w:val="20"/>
              </w:rPr>
              <w:t>Kartu atkreiptinas dėmesys, kad nepriklausomai nuo projekto pobūdžio ar tikslo, projekto vykdytojui būtina susiplanuoti projekto įgyvendinimą, nusistatant siekiamą rezultatą, rodiklius, lėšų poreikį ir jų panaudojimo planą, būdus, kuriais bus pasiekti projekto tikslai. Projektai, skirti NATO ar kitiems įsipareigojimams įgyvendinti tokį projekto įgyvendinimo planą taip pat turi pasirengti. Pažymėtina, kad SVM plano forma nėra nustatoma, o nurodomi tik pagrindiniai būtini tokio plano elementai, kurie gali būti pildomi, atsižvelgiant į projekto pobūdį ar pan.</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D040B7" w:rsidP="00551F39">
            <w:pPr>
              <w:rPr>
                <w:sz w:val="20"/>
                <w:szCs w:val="20"/>
              </w:rPr>
            </w:pPr>
            <w:r>
              <w:rPr>
                <w:sz w:val="20"/>
                <w:szCs w:val="20"/>
              </w:rPr>
              <w:lastRenderedPageBreak/>
              <w:t>2.9</w:t>
            </w:r>
            <w:r w:rsidR="009C0D14"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235 p. Siūloma suvienodinti informacijos pateikimo terminą su biudžeto vykdymo ataskaitų pateikimui taikomais terminais.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 xml:space="preserve">Šią pastabą įvertinsime ir atitinkamus patikslinimus atliksime, kada įsigalios Viešojo sektoriaus atskaitomybės įstatymo pakeitimas. </w:t>
            </w:r>
            <w:r w:rsidR="00943269">
              <w:rPr>
                <w:sz w:val="20"/>
                <w:szCs w:val="20"/>
              </w:rPr>
              <w:t>SVM</w:t>
            </w:r>
            <w:r w:rsidRPr="00CF0BD9">
              <w:rPr>
                <w:sz w:val="20"/>
                <w:szCs w:val="20"/>
              </w:rPr>
              <w:t xml:space="preserve"> nuostatos reglamentuoja pereinamojo laikotarpio atskaitomybės procesą.</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D040B7" w:rsidP="00551F39">
            <w:pPr>
              <w:rPr>
                <w:sz w:val="20"/>
                <w:szCs w:val="20"/>
              </w:rPr>
            </w:pPr>
            <w:r>
              <w:rPr>
                <w:sz w:val="20"/>
                <w:szCs w:val="20"/>
              </w:rPr>
              <w:t>2.10</w:t>
            </w:r>
            <w:r w:rsidR="009C0D14"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Priede „Pažangos ir tęstinių lėšų atskyrimo gairės“ siūlome:</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1. Aiškiai nurodyti, jog tai yra SVM priedas, nes pažangos atskyrimo gairės yra svarbios.</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2. Įtvirtinti nuostatą, kad atsižvelgiant į veiklos specifiką krašto apsaugos sistemos išlaidų priskyrimui pažangai ir tęstinei veiklai gali būti taikomos išimtys pagal atskirą susitarimą (suderinimą) su FM.</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3. Nors iš pateiktų pavyzdžių tampa aiškiau, kad terminas „išlaidos“ apima ir ilgalaikio turto įsigijimus, siekdami išvengti dviprasmybių siūlytume papildyti paaiškinimą, nes, pvz., biudžeto rodiklių įstatyme yra vartojamos sąvokos „asignavimai išlaidoms“ ir „asignavimui turtui“.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Atsižvelgta iš dalies.</w:t>
            </w:r>
          </w:p>
          <w:p w:rsidR="009C0D14" w:rsidRPr="00CF0BD9" w:rsidRDefault="009C0D14" w:rsidP="00551F39">
            <w:pPr>
              <w:rPr>
                <w:sz w:val="20"/>
                <w:szCs w:val="20"/>
              </w:rPr>
            </w:pPr>
            <w:r w:rsidRPr="00CF0BD9">
              <w:rPr>
                <w:sz w:val="20"/>
                <w:szCs w:val="20"/>
              </w:rPr>
              <w:t>Pažangos ir tęstinės veiklos išlaidų atskyrimo gairėse atskirų išimčių, kurios padarytos pagal suderinimą su Finansų ministerija, nenustatome.</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D040B7" w:rsidP="00551F39">
            <w:pPr>
              <w:rPr>
                <w:sz w:val="20"/>
                <w:szCs w:val="20"/>
              </w:rPr>
            </w:pPr>
            <w:r>
              <w:rPr>
                <w:sz w:val="20"/>
                <w:szCs w:val="20"/>
              </w:rPr>
              <w:t>2.11</w:t>
            </w:r>
            <w:r w:rsidR="009C0D14"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Strateginio veiklos plano forma. Siekiant sumažinti atsiskaitymo krūvį, siūlytina SVM 1 priedo 2 lentelėje atsisakyti atskirų savivaldybių vertinimo rodiklių nustatymo, apsiribojant šio priedo 1 lentelėje nustatytu bendru vertinimo rodikliu.</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 xml:space="preserve">Finansų ministerijai yra pavesta įgyvendinti Valstybės kontrolės rekomendaciją "Siekiant, kad savivaldybių vykdomų funkcijų finansavimo sistema motyvuotų savivaldybes veikti efektyviau ir siekti geresnių rezultatų, nustatyti, kad skiriant finansavimą savivaldybėms, būtų nustatomi tikslai, siektini rodikliai ir </w:t>
            </w:r>
            <w:r w:rsidRPr="00CF0BD9">
              <w:rPr>
                <w:sz w:val="20"/>
                <w:szCs w:val="20"/>
              </w:rPr>
              <w:lastRenderedPageBreak/>
              <w:t>rezultatai." (Valstybės kontrolės 2019-04-09 ataskaita Nr. VA-1 „ Ar savivaldybių vykdomų funkcijų sistema sudaro sąlygas joms veikti efektyviai? “).</w:t>
            </w:r>
          </w:p>
          <w:p w:rsidR="009C0D14" w:rsidRPr="00CF0BD9" w:rsidRDefault="009C0D14" w:rsidP="00551F39">
            <w:pPr>
              <w:rPr>
                <w:sz w:val="20"/>
                <w:szCs w:val="20"/>
              </w:rPr>
            </w:pPr>
            <w:r w:rsidRPr="00CF0BD9">
              <w:rPr>
                <w:sz w:val="20"/>
                <w:szCs w:val="20"/>
              </w:rPr>
              <w:t>Siekdami įgyvendinti šią rekomendaciją pateikėme siūlymą, kad asignavimų valdytojai, skirdami dotacijas savivaldybėms, nustatytų joms stebėsenos rodiklius ir siektinas reikšmes.</w:t>
            </w:r>
            <w:r w:rsidR="00943269">
              <w:rPr>
                <w:sz w:val="20"/>
                <w:szCs w:val="20"/>
              </w:rPr>
              <w:t xml:space="preserve"> </w:t>
            </w:r>
            <w:r w:rsidRPr="00CF0BD9">
              <w:rPr>
                <w:sz w:val="20"/>
                <w:szCs w:val="20"/>
              </w:rPr>
              <w:t>Taip pat šiuo metu rengi</w:t>
            </w:r>
            <w:r w:rsidR="00943269">
              <w:rPr>
                <w:sz w:val="20"/>
                <w:szCs w:val="20"/>
              </w:rPr>
              <w:t>ama Valstybės biudžeto lėšų perdav</w:t>
            </w:r>
            <w:r w:rsidRPr="00CF0BD9">
              <w:rPr>
                <w:sz w:val="20"/>
                <w:szCs w:val="20"/>
              </w:rPr>
              <w:t xml:space="preserve">imo kitiems valdymo lygiams metodika, kurioje bus pateiktos rekomendacijos dėl minėtų rodiklių ir jų siektinų reikšmių nustatymo: patys stebėsenos rodikliai bus nustatomi tik vieną kartą ir tas pats stebėsenos rodiklis ar keli rodikliai bus naudojami visų savivaldybių </w:t>
            </w:r>
            <w:proofErr w:type="spellStart"/>
            <w:r w:rsidRPr="00CF0BD9">
              <w:rPr>
                <w:sz w:val="20"/>
                <w:szCs w:val="20"/>
              </w:rPr>
              <w:t>stebėsenai</w:t>
            </w:r>
            <w:proofErr w:type="spellEnd"/>
            <w:r w:rsidRPr="00CF0BD9">
              <w:rPr>
                <w:sz w:val="20"/>
                <w:szCs w:val="20"/>
              </w:rPr>
              <w:t xml:space="preserve"> visais vėlesniais metais. Atskirai kiekvienai savivaldybei bus nustatomos tik stebėsenos rodiklių siektinos reikšmės. Tačiau planuojama, kad pirmaisiais metais siektina stebėsenos rodiklio reikšmė visoms savivaldybėms bus vienoda, o vėlesniais metais, turint informaciją apie rodiklių įvykdymą, rodiklių siektinos reikšmės galėtų būti nustatomi pagal tam tikrus kriterijus apibrėžtoms savivaldybių grupėms arba pagal aiškiai apibrėžtą taisyklę (pvz. siekiama X proc. didesnės reikšmės). Todėl faktiškai vėlesniais metais turėtų būti nustatomos tik to paties rodiklio naujos siektinos reikšmės kelioms, tam tikrus požymius atitinkančioms, savivaldybių grupėms arba visoms savivaldybėms, bet pagal aiškiai apibrėžtą kriterijų.</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D040B7" w:rsidP="00551F39">
            <w:pPr>
              <w:rPr>
                <w:sz w:val="20"/>
                <w:szCs w:val="20"/>
              </w:rPr>
            </w:pPr>
            <w:r>
              <w:rPr>
                <w:sz w:val="20"/>
                <w:szCs w:val="20"/>
              </w:rPr>
              <w:lastRenderedPageBreak/>
              <w:t>2.12</w:t>
            </w:r>
            <w:r w:rsidR="009B0CD3"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Siūlytume SVM nustatyti, kad ilgalaikes valstybines saugumo stiprinimo plėtros programas įgyvendinantys projektai yra laikomi pažangos projektais.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Siūlymas yra perteklinis. Visos nacionalinėse plėtros programose įgyvendinamos priemonės (veiklos, projektai) yra pažangos. Siūlymas perteklinis.</w:t>
            </w:r>
          </w:p>
        </w:tc>
      </w:tr>
      <w:tr w:rsidR="009B0CD3" w:rsidRPr="00CF0BD9" w:rsidTr="00551F39">
        <w:trPr>
          <w:trHeight w:val="399"/>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3. Lietuvos Respublikos kultūros ministerija</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B0CD3" w:rsidP="00551F39">
            <w:pPr>
              <w:rPr>
                <w:sz w:val="20"/>
                <w:szCs w:val="20"/>
              </w:rPr>
            </w:pPr>
            <w:r w:rsidRPr="00CF0BD9">
              <w:rPr>
                <w:sz w:val="20"/>
                <w:szCs w:val="20"/>
              </w:rPr>
              <w:t>3.1.</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Kultūros ministerijos nuomone tikslintina Nutarimo projekto 3.7 papunkčio formuluotė, kuria nurodoma, kad „iki 2021 m. sausio 1 d. vadovaujantis Strateginio planavimo metodika, patvirtinta Lietuvos Respublikos Vyriausybės 2002 m. birželio 6 d. nutarimu Nr. 827 „Dėl Strateginio planavimo metodikos patvirtinimo“, parengtos ir patvirtintos plėtros programos, trumpo laikotarpio planavimo dokumentai, neįskaitant strateginių veiklos planų ir metinių veiklos planų, kurių įgyvendinimo terminas yra po 2021 m. sausio 1 d., įgyvendinami iki 2022 m. gruodžio 31 d.“</w:t>
            </w:r>
          </w:p>
          <w:p w:rsidR="009C0D14"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Manytume, kad planavimo dokumentai, patvirtinti iki naujos Strateginio valdymo metodikos patvirtinimo, jeigu jų struktūra ir forma neprieštarauja naujos metodikos nuostatoms, galėtų būti įgyvendinami pagal dokumentuose nustatytus terminus, neapsiribojant 2022 m. gruodžio 31 d. Tarp tokių dokumentų matytume Kultūros paveldo išsaugojimo ir aktualizavimo politikos 2020–2024 metų veiksmų planą, kurio įgyvendinimo termino trumpinimui nematytume pagrindo. Dokumentas patvirtintas 2020 m. pabaigoje, jo nuostatos derintos su Strateginio valdymo įstatymu bei atitinka Strateginio valdymo metodikos projekto IV skyriaus 3 skirsnį „Veiksmų planai“.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B0CD3" w:rsidP="00551F39">
            <w:pPr>
              <w:rPr>
                <w:b/>
                <w:sz w:val="20"/>
                <w:szCs w:val="20"/>
              </w:rPr>
            </w:pPr>
            <w:r w:rsidRPr="00CF0BD9">
              <w:rPr>
                <w:b/>
                <w:sz w:val="20"/>
                <w:szCs w:val="20"/>
              </w:rPr>
              <w:t>Atsižvelgta iš dalies.</w:t>
            </w:r>
          </w:p>
          <w:p w:rsidR="009B0CD3" w:rsidRPr="00CF0BD9" w:rsidRDefault="009B0CD3" w:rsidP="00551F39">
            <w:pPr>
              <w:rPr>
                <w:sz w:val="20"/>
                <w:szCs w:val="20"/>
              </w:rPr>
            </w:pPr>
            <w:r w:rsidRPr="00CF0BD9">
              <w:rPr>
                <w:sz w:val="20"/>
                <w:szCs w:val="20"/>
              </w:rPr>
              <w:t>Patikslintas punktas, nurodant, kad nuostata taikoma planavimo dokumentams, kuriais įgyvendinamos 2014-2020 m. ES finansinės</w:t>
            </w:r>
            <w:r w:rsidR="00943269">
              <w:rPr>
                <w:sz w:val="20"/>
                <w:szCs w:val="20"/>
              </w:rPr>
              <w:t xml:space="preserve"> paramos lėšomis finansuojamos </w:t>
            </w:r>
            <w:r w:rsidRPr="00CF0BD9">
              <w:rPr>
                <w:sz w:val="20"/>
                <w:szCs w:val="20"/>
              </w:rPr>
              <w:t>priemonės.</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9B0CD3" w:rsidP="00551F39">
            <w:pPr>
              <w:rPr>
                <w:sz w:val="20"/>
                <w:szCs w:val="20"/>
              </w:rPr>
            </w:pPr>
            <w:r w:rsidRPr="00CF0BD9">
              <w:rPr>
                <w:sz w:val="20"/>
                <w:szCs w:val="20"/>
              </w:rPr>
              <w:lastRenderedPageBreak/>
              <w:t>3.2.</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Metodikos projekto 17 punkte nurodoma, kad „Valstybės pažangos strategija rengiama siekiant žadinti ir vienyti idėjas, kurių įgyvendinimas padėtų užtikrinti visuomenės gerovę, piliečių saugumą ir orumą“. Manytume, kad sąvoka „visuomenės gerovė“ apima ir piliečių saugumą, ir orumą. Priešingu atveju įvedama konkurencija tarp valstybės veiklos sričių ir kyla klausimas, kodėl neminimi ne mažiau svarbūs visuomenės tapatybės ar kultūrinio identiteto aspektai.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E74330" w:rsidRPr="00CF0BD9" w:rsidRDefault="009B0CD3" w:rsidP="00551F39">
            <w:pPr>
              <w:rPr>
                <w:b/>
                <w:sz w:val="20"/>
                <w:szCs w:val="20"/>
              </w:rPr>
            </w:pPr>
            <w:r w:rsidRPr="00CF0BD9">
              <w:rPr>
                <w:b/>
                <w:sz w:val="20"/>
                <w:szCs w:val="20"/>
              </w:rPr>
              <w:t>Atsižvelgta iš dalies.</w:t>
            </w:r>
          </w:p>
          <w:p w:rsidR="009B0CD3" w:rsidRPr="00CF0BD9" w:rsidRDefault="009B0CD3" w:rsidP="00551F39">
            <w:pPr>
              <w:rPr>
                <w:sz w:val="20"/>
                <w:szCs w:val="20"/>
              </w:rPr>
            </w:pPr>
            <w:r w:rsidRPr="00CF0BD9">
              <w:rPr>
                <w:sz w:val="20"/>
                <w:szCs w:val="20"/>
              </w:rPr>
              <w:t>Punkto atsisakyta.</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9B0CD3" w:rsidP="00551F39">
            <w:pPr>
              <w:rPr>
                <w:sz w:val="20"/>
                <w:szCs w:val="20"/>
              </w:rPr>
            </w:pPr>
            <w:r w:rsidRPr="00CF0BD9">
              <w:rPr>
                <w:sz w:val="20"/>
                <w:szCs w:val="20"/>
              </w:rPr>
              <w:t>3.3.</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Nesuprantama, kodėl Metodikos projekto 19 punkte išskiriama Teisėjų taryba, kurią Valstybės pažangos taryba įtraukia į Valstybės pažangos strategijos rengimo procesą, kartu su Seimo komitetais ir komisijomis, Savivaldybių asociacija, Nacionaline regioninės plėtros taryba, tad kyla klausimas dėl kitų sričių socialinių ekonominių ir (ar) institucinių partnerių neįtraukimo.</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Atsižvelgta iš dalies.</w:t>
            </w:r>
          </w:p>
          <w:p w:rsidR="009277CA" w:rsidRPr="00CF0BD9" w:rsidRDefault="009B0CD3" w:rsidP="00551F39">
            <w:pPr>
              <w:rPr>
                <w:b/>
                <w:sz w:val="20"/>
                <w:szCs w:val="20"/>
              </w:rPr>
            </w:pPr>
            <w:r w:rsidRPr="00CF0BD9">
              <w:rPr>
                <w:sz w:val="20"/>
                <w:szCs w:val="20"/>
              </w:rPr>
              <w:t>Punkto atsisakyta.</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3.4.</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Kultūros ministerijos nuomone Lietuvos gyventojų genocido ir rezistencijų tyrimo centras (toliau – Tyrimo centras) neturėtų būti priskirtas kultūros valstybės veiklos sričiai.</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Vadovaujantis Lietuvos gyventojų genocido ir rezistencijos tyrimo centro įstatymo 2 straipsniu, Tyrimo centras „yra valstybės įstaiga, tirianti visas genocido bei kitų nusikaltimų žmoniškumui ir karo nusikaltimų apraiškas, 1920–1939 m. Vilniaus krašte okupacinio režimo vykdytą politiką bei pasipriešinimo jai procesus, Lietuvos gyventojų persekiojimą okupacijų metais, taip pat ginkluoto ir neginkluoto pasipriešinimo okupacijoms procesus, 1990–1991 m. SSRS vykdytą agresiją ir jos padarinius atkūrus Lietuvos nepriklausomybę, inicijuojanti genocido organizatorių ir vykdytojų veiksmų teisinį įvertinimą. Centras koordinuoja kitų institucijų atliekamus šiame įstatyme apibrėžtos srities tyrimo darbus.“ Atitinkamai manytume, kad Tyrimo centras turėtų būti priskirtas teisingumo ar švietimo, mokslo ir sporto valstybės veiklos sričiai, kadangi jo pagrindinė veiklos sritis susijusi su aukščiau minėtų įvykių ir procesų teisiniu įvertinimu ir tyrimais.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Valstybės biudžeto asign</w:t>
            </w:r>
            <w:r w:rsidR="00943269">
              <w:rPr>
                <w:sz w:val="20"/>
                <w:szCs w:val="20"/>
              </w:rPr>
              <w:t>a</w:t>
            </w:r>
            <w:r w:rsidRPr="00CF0BD9">
              <w:rPr>
                <w:sz w:val="20"/>
                <w:szCs w:val="20"/>
              </w:rPr>
              <w:t>vimų valdytojai valstybės veiklos sritims priskiriami atsižvelgiant į pagrindinę sritį, kurioje jie veikia. Didžioji dalis Lietuvos gyventojų genocido ir rezistencijų tyrimo centro funkcijų, mūsų nuomone, susijusios su kultūros sritimi.</w:t>
            </w:r>
          </w:p>
          <w:p w:rsidR="009B0CD3" w:rsidRPr="00CF0BD9" w:rsidRDefault="009B0CD3" w:rsidP="00551F39">
            <w:pPr>
              <w:rPr>
                <w:sz w:val="20"/>
                <w:szCs w:val="20"/>
              </w:rPr>
            </w:pPr>
            <w:r w:rsidRPr="00CF0BD9">
              <w:rPr>
                <w:sz w:val="20"/>
                <w:szCs w:val="20"/>
              </w:rPr>
              <w:t xml:space="preserve">Atkreipiame dėmesį, kad valstybės veiklos sričių klasifikavimas yra tik statistinė kategorija (pavyzdžiui, išlaidų priskyrimas atitinkamiems ekonominės arba funkcinės klasifikacijos straipsniams), t. y. priskyrimas valstybės veiklos sričiai nesukuria jokių pasekmių, apribojimų ir įpareigojimų Vyriausybei </w:t>
            </w:r>
            <w:proofErr w:type="spellStart"/>
            <w:r w:rsidRPr="00CF0BD9">
              <w:rPr>
                <w:sz w:val="20"/>
                <w:szCs w:val="20"/>
              </w:rPr>
              <w:t>neatskaitingoms</w:t>
            </w:r>
            <w:proofErr w:type="spellEnd"/>
            <w:r w:rsidRPr="00CF0BD9">
              <w:rPr>
                <w:sz w:val="20"/>
                <w:szCs w:val="20"/>
              </w:rPr>
              <w:t xml:space="preserve"> įstaigoms ir tuo labiau nesukuria jokių prievolių joms derinti su valstybės veiklos sričiai priskirta ministerija siekiamų rezultatų ir planuojamų asignavimų.</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3.5.</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Atsižvelgiant į tai, jog į strateginio valdymo sistemos dalyvių sąrašą įtraukiami jungtinių projektų vykdytojai, tačiau jie nėra apibrėžti Strateginio valdymo įstatyme, jungtinių projektų ir jungtinių projektų vykdytojų sąvokas siūlome apibrėžti Metodikos projekto 2 punkte.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Jungtinių projektų vykdytojų funkcijos apibrėžtos SVM 111 p., todėl papildomos sąvokos įvedimas nėra tikslingas.</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3.6.</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V. Įsakymo projektas</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1. Plėtros programos pažangos priemonės formoje be aiškių takoskyrų pateikiama ir pirmojo, ir antrojo PP rengimo etapo informacija bei painiojamos „priemonės“ ir „projekto“ sąvokos, lieka neaišku, kokiais (ar visais) atvejais priemonės gali (ar privalo) būti įgyvendinamos tik projektų būdu – tuomet lieka visiškai neaiškios ir neapibrėžtos teisėkūros ir komunikacijos veiklos. Siūlome labai aiškiai išskirti pirmojo ir antrojo etapo PP rengimo veiklas ir tam skirtas atskiras formas, pirmame PP rengimo etape naudojant ir aiškiai apibrėžiant „priemonių krypties“ sąvoką, o antrajame – „priemonės“ ir „projekto“ sąvokas  ir sąlygas, kaip, kokiais atvejais, kuriuose etapuose priemonės tampa projektais.</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2. Taip pat būtina suvienodinti „priemonės“ sąvoką Metodikos projekte ir formose (PP ir PP pažangos priemonių rengimo), nes Metodikos projekte ir formose vartojamos skirtingos sąvokos, kaip „priemonių kryptys“, „priemonių rinkinys“, „pažangos priemonės finansavimo planas“, „pažangos priemonės įgyvendinimo planas“.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1. PP ir pažangos priemonės formavimo etapai yra atskirti. Naudojamos skirtingos formos, kurių vienos tvirtinamos kartu su SVM, kitas nustato Portfelio valdytojas ir jos tvirtinamos Finansų ministro įsakymu. Tam tikra dalis informacijos iš plėtros programos neišvengiamai bus perkeliama į priemonės aprašą arba pagrindimą, siekiant aiškių sąsajų tarp abiejų dokumentų.</w:t>
            </w:r>
          </w:p>
          <w:p w:rsidR="009B0CD3" w:rsidRPr="00CF0BD9" w:rsidRDefault="009B0CD3" w:rsidP="00551F39">
            <w:pPr>
              <w:rPr>
                <w:sz w:val="20"/>
                <w:szCs w:val="20"/>
              </w:rPr>
            </w:pPr>
            <w:r w:rsidRPr="00CF0BD9">
              <w:rPr>
                <w:sz w:val="20"/>
                <w:szCs w:val="20"/>
              </w:rPr>
              <w:t>2. Nors plėtros programos rengimo etape dar nėra žinomi konkretūs problemų sprendimo būdai, tačiau numatomos priemonės vėlesniame etape tiesiog detalizuojamos. Sąvoka "intervencijos kryptis" vartojama tik sieki</w:t>
            </w:r>
            <w:r w:rsidR="00943269">
              <w:rPr>
                <w:sz w:val="20"/>
                <w:szCs w:val="20"/>
              </w:rPr>
              <w:t>ant aiškiai apibrėžti, kad neat</w:t>
            </w:r>
            <w:r w:rsidRPr="00CF0BD9">
              <w:rPr>
                <w:sz w:val="20"/>
                <w:szCs w:val="20"/>
              </w:rPr>
              <w:t>likus alternatyvų analizės negali būti "užprogramuojami" konkretūs problemų sprendimo būdai.</w:t>
            </w:r>
          </w:p>
        </w:tc>
      </w:tr>
      <w:tr w:rsidR="00F91178" w:rsidRPr="00CF0BD9" w:rsidTr="00551F39">
        <w:trPr>
          <w:trHeight w:val="346"/>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rPr>
                <w:b/>
                <w:sz w:val="20"/>
                <w:szCs w:val="20"/>
              </w:rPr>
            </w:pPr>
            <w:r w:rsidRPr="00CF0BD9">
              <w:rPr>
                <w:b/>
                <w:sz w:val="20"/>
                <w:szCs w:val="20"/>
              </w:rPr>
              <w:t>4. Lietuvos Respublikos socialinės apsaugos ir darbo ministerija</w:t>
            </w:r>
          </w:p>
        </w:tc>
      </w:tr>
      <w:tr w:rsidR="008B3FD5"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rPr>
                <w:sz w:val="20"/>
                <w:szCs w:val="20"/>
              </w:rPr>
            </w:pPr>
            <w:r w:rsidRPr="00CF0BD9">
              <w:rPr>
                <w:sz w:val="20"/>
                <w:szCs w:val="20"/>
              </w:rPr>
              <w:t>4.1.</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Siūlytina suderinti ir detaliai apibrėžti skirtinguose teisės aktuose naudojamų šių sąvokų turinį, skirtumus ir sąsajas: </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Nutarimo projektu teikiamos tvirtinti Strateginio valdymo metodikos (toliau – Metodika) 2.1 papunktyje – administruojančioji institucija;</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lastRenderedPageBreak/>
              <w:t>- LR Vyriausybės 2020 m. lapkričio 25 d. nutarime Nr. 1322 „Dėl pasirengimo administruoti Europos Sąjungos fondų lėšas“ (toliau – Nutarimas Nr. 1322) – tarpinė institucija;</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 Strateginio valdymo įstatyme (3 str. 17 d. 8 p.) – strateginio valdymo sistemos dalyvis: </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„sistemos dalyvis – subjektas, dalyvaujantis strateginio valdymo procesuose: </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 &lt;...&gt; </w:t>
            </w:r>
          </w:p>
          <w:p w:rsidR="00F91178"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8) biudžetinės įstaigos, nacionalinės plėtros įstaigos ir viešosios įstaigos, atsakingos už metodologinę pagalbą rengiant nacionalines plėtros programas, jas įgyvendinančias pažangos priemones ir projektus, projektų administravimą ir vystymą (toliau – už projektų administravimą atsakingos įstaigos). Už šiame punkte nurodytų funkcijų atlikimą atsakingų viešųjų įstaigų sąrašą tvirtina Vyriausybė.“</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rPr>
                <w:b/>
                <w:sz w:val="20"/>
                <w:szCs w:val="20"/>
              </w:rPr>
            </w:pPr>
            <w:r w:rsidRPr="00CF0BD9">
              <w:rPr>
                <w:b/>
                <w:sz w:val="20"/>
                <w:szCs w:val="20"/>
              </w:rPr>
              <w:lastRenderedPageBreak/>
              <w:t>Neatsižvelgta.</w:t>
            </w:r>
          </w:p>
          <w:p w:rsidR="009B0CD3" w:rsidRPr="00CF0BD9" w:rsidRDefault="009B0CD3" w:rsidP="00551F39">
            <w:pPr>
              <w:rPr>
                <w:sz w:val="20"/>
                <w:szCs w:val="20"/>
              </w:rPr>
            </w:pPr>
            <w:r w:rsidRPr="00CF0BD9">
              <w:rPr>
                <w:sz w:val="20"/>
                <w:szCs w:val="20"/>
              </w:rPr>
              <w:t>Kituose teisės aktuose vartojamų sąvokų perkelti į SVM nėra tikslinga.</w:t>
            </w:r>
          </w:p>
        </w:tc>
      </w:tr>
      <w:tr w:rsidR="00F91178"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rPr>
                <w:sz w:val="20"/>
                <w:szCs w:val="20"/>
              </w:rPr>
            </w:pPr>
            <w:r w:rsidRPr="00CF0BD9">
              <w:rPr>
                <w:sz w:val="20"/>
                <w:szCs w:val="20"/>
              </w:rPr>
              <w:lastRenderedPageBreak/>
              <w:t>4.2.</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Metodikos 40 punkte aprašyta NPP rengimo koncepcija, 41 punkte nustatyta, kad naujam NPP parengti Vyriausybė ne vėliau kaip likus 2 metams iki galiojančio NPP termino pabaigos tvirtina naujo NPP rengimo koncepciją. Siūlytina aiškiai apibrėžti, kada turi būti pradėtas rengti NPP koncepcijos projektas, per kiek laiko turi būti suderintas ir pan.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rPr>
                <w:b/>
                <w:sz w:val="20"/>
                <w:szCs w:val="20"/>
              </w:rPr>
            </w:pPr>
            <w:r w:rsidRPr="00CF0BD9">
              <w:rPr>
                <w:b/>
                <w:sz w:val="20"/>
                <w:szCs w:val="20"/>
              </w:rPr>
              <w:t>Neatsižvelgta.</w:t>
            </w:r>
          </w:p>
          <w:p w:rsidR="00EB1148" w:rsidRPr="00CF0BD9" w:rsidRDefault="00146214" w:rsidP="00146214">
            <w:pPr>
              <w:rPr>
                <w:sz w:val="20"/>
                <w:szCs w:val="20"/>
              </w:rPr>
            </w:pPr>
            <w:r>
              <w:rPr>
                <w:sz w:val="20"/>
                <w:szCs w:val="20"/>
              </w:rPr>
              <w:t xml:space="preserve">Mūsų nuomone, dėl dinamiškos sistemos nėra tikslinta LRV tvirtiname teisės akte nustatyti detalių procesų. </w:t>
            </w:r>
            <w:r w:rsidR="009B0CD3" w:rsidRPr="00CF0BD9">
              <w:rPr>
                <w:sz w:val="20"/>
                <w:szCs w:val="20"/>
              </w:rPr>
              <w:t xml:space="preserve">Taip pat, pažymime, kad NPP kaip ir kiekvienas kitas dokumentas rengiamas </w:t>
            </w:r>
            <w:r w:rsidR="006534DE">
              <w:rPr>
                <w:sz w:val="20"/>
                <w:szCs w:val="20"/>
              </w:rPr>
              <w:t xml:space="preserve">ir teikiamas Vyriausybei </w:t>
            </w:r>
            <w:r w:rsidR="009B0CD3" w:rsidRPr="00CF0BD9">
              <w:rPr>
                <w:sz w:val="20"/>
                <w:szCs w:val="20"/>
              </w:rPr>
              <w:t xml:space="preserve">Vyriausybės </w:t>
            </w:r>
            <w:r w:rsidR="006534DE">
              <w:rPr>
                <w:sz w:val="20"/>
                <w:szCs w:val="20"/>
              </w:rPr>
              <w:t xml:space="preserve">darbo </w:t>
            </w:r>
            <w:r w:rsidR="009B0CD3" w:rsidRPr="00CF0BD9">
              <w:rPr>
                <w:sz w:val="20"/>
                <w:szCs w:val="20"/>
              </w:rPr>
              <w:t>reglament</w:t>
            </w:r>
            <w:r w:rsidR="006534DE">
              <w:rPr>
                <w:sz w:val="20"/>
                <w:szCs w:val="20"/>
              </w:rPr>
              <w:t>e nustatyta</w:t>
            </w:r>
            <w:r w:rsidR="009B0CD3" w:rsidRPr="00CF0BD9">
              <w:rPr>
                <w:sz w:val="20"/>
                <w:szCs w:val="20"/>
              </w:rPr>
              <w:t xml:space="preserve"> tvarka.</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4.3.</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tikslinti Metodikos 44 punktą nurodant iki kada turi būti patvirtintas naujas NPP.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Perteklinė nuostata. Kie</w:t>
            </w:r>
            <w:r w:rsidR="00943269">
              <w:rPr>
                <w:sz w:val="20"/>
                <w:szCs w:val="20"/>
              </w:rPr>
              <w:t>k</w:t>
            </w:r>
            <w:r w:rsidRPr="00CF0BD9">
              <w:rPr>
                <w:sz w:val="20"/>
                <w:szCs w:val="20"/>
              </w:rPr>
              <w:t>vienas ilgos trukmės dokumentas turi būti parengtas iki galiojančio dokumento galiojimo pabaigos.</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4.4.</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Metodikoje numatyti, ar norint sudaryti pakomitetį, apie kurį kalbama Metodikos 49 punkte, Europos Sąjungos (toliau – ES) fondams/programoms, kurių vadovaujančioji institucija yra ministerija, reikės gauti NPP komiteto leidimą ir/ar pritarimą.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49 punktas bus formuluojamas taip: "49. Prireikus NPP komitetas gali veikti sudarydamas pakomitečius...". Ši formuluotė suponuoja, kad tai daroma NPP komiteto sprendimu, todėl Jūsų siūlomas patikslinimas būtų perteklinis. Be to, SVM nenustatys, kokiu atveju gali būti sudaromas pakomitetis.</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792876">
              <w:rPr>
                <w:sz w:val="20"/>
                <w:szCs w:val="20"/>
              </w:rPr>
              <w:t>4.5.</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tikslinti Metodikos 68 punktą „Portfelio savininkė yra Vyriausybė, kuri tvirtina PP ir RPP, inicijuoja PP ir RPP pakeitimus, patvirtinus Vyriausybės programą, prireikus atlieka NPP nustatytų finansinių projekcijų ir lėšų paskirstymo pakeitimus.“ numatant, kad iniciatyvos teisė keisti NPP, PP, RPP bei finansines projekcijas turi ir ministerijos, pagal poreikį, ne vien tik dėl sąsajų su Vyriausybės programa.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6534DE">
            <w:pPr>
              <w:rPr>
                <w:sz w:val="20"/>
                <w:szCs w:val="20"/>
              </w:rPr>
            </w:pPr>
            <w:r w:rsidRPr="00CF0BD9">
              <w:rPr>
                <w:sz w:val="20"/>
                <w:szCs w:val="20"/>
              </w:rPr>
              <w:t>Siūlymus gali pateikti bet kuri</w:t>
            </w:r>
            <w:r w:rsidR="006534DE">
              <w:rPr>
                <w:sz w:val="20"/>
                <w:szCs w:val="20"/>
              </w:rPr>
              <w:t>s ministras</w:t>
            </w:r>
            <w:r w:rsidRPr="00CF0BD9">
              <w:rPr>
                <w:sz w:val="20"/>
                <w:szCs w:val="20"/>
              </w:rPr>
              <w:t xml:space="preserve">, tačiau sprendimus bet kuriuo atveju priima portfelio savininkas </w:t>
            </w:r>
            <w:r w:rsidR="006534DE">
              <w:rPr>
                <w:sz w:val="20"/>
                <w:szCs w:val="20"/>
              </w:rPr>
              <w:t>–</w:t>
            </w:r>
            <w:r w:rsidRPr="00CF0BD9">
              <w:rPr>
                <w:sz w:val="20"/>
                <w:szCs w:val="20"/>
              </w:rPr>
              <w:t xml:space="preserve"> Vyriausybė</w:t>
            </w:r>
            <w:r w:rsidR="006534DE">
              <w:rPr>
                <w:sz w:val="20"/>
                <w:szCs w:val="20"/>
              </w:rPr>
              <w:t xml:space="preserve"> </w:t>
            </w:r>
            <w:proofErr w:type="spellStart"/>
            <w:r w:rsidR="006534DE" w:rsidRPr="006534DE">
              <w:rPr>
                <w:i/>
                <w:sz w:val="20"/>
                <w:szCs w:val="20"/>
              </w:rPr>
              <w:t>in</w:t>
            </w:r>
            <w:proofErr w:type="spellEnd"/>
            <w:r w:rsidR="006534DE" w:rsidRPr="006534DE">
              <w:rPr>
                <w:i/>
                <w:sz w:val="20"/>
                <w:szCs w:val="20"/>
              </w:rPr>
              <w:t xml:space="preserve"> </w:t>
            </w:r>
            <w:proofErr w:type="spellStart"/>
            <w:r w:rsidR="006534DE" w:rsidRPr="006534DE">
              <w:rPr>
                <w:i/>
                <w:sz w:val="20"/>
                <w:szCs w:val="20"/>
              </w:rPr>
              <w:t>corpore</w:t>
            </w:r>
            <w:proofErr w:type="spellEnd"/>
            <w:r w:rsidRPr="00CF0BD9">
              <w:rPr>
                <w:sz w:val="20"/>
                <w:szCs w:val="20"/>
              </w:rPr>
              <w:t>.</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4.6.</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Metodikos 73 punkte po žodžio „rengia“ išbrauktini žodžiai „PP valdytojai“, nes apibrėžiama sąvoką ir skliaustuose nurodoma „toliau – PP valdytojai“.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Redakcinio pobūdžio pastaba. SVM projektas suderintas su kalbos redaktoriais.</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4.7.</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Šalintinas Metodikos 74.3 ir 74.3.1 papunkčių prieštaravimas vienas kitam: 74.3 papunktyje teigiama, kad priemonės pavadinimas neturi nurodyti problemos sprendimo būdo, tuo tarpu 74.3.1 numato, kad priemonei turi būti nurodytos būtinos sąlygos, nuo kurių priklauso problemos sprendimas.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Prieštaravimo nėra. Konkretus problemos sprendimo būdas ir būtinosios sąlygos nėra tapatūs dalykai.</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4.8.</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tikslinti ir aiškiai apibrėžti Metodikos 74.3.4 papunktyje, 78, 85, 87 ir kituose punktuose naudojamas tam tikras funkcijas žyminčias sąvokas (pvz.: kas yra ir kuo skiriasi pažangos priemonės rengėjas ir pažangos priemonės koordinatorius).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Atsižvelgiant į</w:t>
            </w:r>
            <w:r w:rsidR="00943269">
              <w:rPr>
                <w:sz w:val="20"/>
                <w:szCs w:val="20"/>
              </w:rPr>
              <w:t xml:space="preserve"> </w:t>
            </w:r>
            <w:r w:rsidRPr="00CF0BD9">
              <w:rPr>
                <w:sz w:val="20"/>
                <w:szCs w:val="20"/>
              </w:rPr>
              <w:t>tai, kad priemonės koordinatoriaus funkcijos apibrėžtos SVM 80-81 punktuose ir vėlesniuose punktuose dar detalizuojamos, todėl atskiros sąvokos įvedimas nėra tikslingas.</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4.9.</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tikslinti ir suvienodinti viso planavimo proceso aprašymus konkrečiai apibrėžiant tvirtinimų, derinimų, perėjimų iš planavimo į įgyvendinimą/ataskaitų rengimą, nurodant visų darbo grupių darbo organizavimo tvarką ir funkcijas.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 xml:space="preserve">Plėtros programų darbo grupių darbo organizavimo tvarka ir funkcijos, mūsų nuomone yra per detalus reglamentavimas </w:t>
            </w:r>
            <w:r w:rsidR="00943269">
              <w:rPr>
                <w:sz w:val="20"/>
                <w:szCs w:val="20"/>
              </w:rPr>
              <w:t>SVM</w:t>
            </w:r>
            <w:r w:rsidRPr="00CF0BD9">
              <w:rPr>
                <w:sz w:val="20"/>
                <w:szCs w:val="20"/>
              </w:rPr>
              <w:t>.</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lastRenderedPageBreak/>
              <w:t>4.10.</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Siekiant išvengti galimo </w:t>
            </w:r>
            <w:proofErr w:type="spellStart"/>
            <w:r w:rsidRPr="00CF0BD9">
              <w:rPr>
                <w:rStyle w:val="normaltextrun"/>
                <w:sz w:val="20"/>
                <w:szCs w:val="20"/>
              </w:rPr>
              <w:t>tarpinstitucinio</w:t>
            </w:r>
            <w:proofErr w:type="spellEnd"/>
            <w:r w:rsidRPr="00CF0BD9">
              <w:rPr>
                <w:rStyle w:val="normaltextrun"/>
                <w:sz w:val="20"/>
                <w:szCs w:val="20"/>
              </w:rPr>
              <w:t xml:space="preserve"> nesusikalbėjimo ir/ar piktnaudžiavimo, siūlytina tikslinti Metodikos 85.8 papunktį, apibrėžiant kokiu principu bus vertinamas poreikis ir nustatoma atsakinga 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PP valdytojas pasirinkdamas galimus projektų vykdytojus ir dalyvaudamas konkrečių projektų išvystymo procese, įvertina administracinių ar kitų gebėjimų stiprinimo poreikį.</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D040B7" w:rsidP="00551F39">
            <w:pPr>
              <w:rPr>
                <w:sz w:val="20"/>
                <w:szCs w:val="20"/>
              </w:rPr>
            </w:pPr>
            <w:r>
              <w:rPr>
                <w:sz w:val="20"/>
                <w:szCs w:val="20"/>
              </w:rPr>
              <w:t>4.11</w:t>
            </w:r>
            <w:r w:rsidR="00F30C9E"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Metodikos 172, 173 ir 174 punktuose aiškiai apibrėžti numatytus terminus, darbo dienų laikotarpiu, per kurį asignavimų valdytojui patvirtinus pažangos priemonę, asignavimų valdytojas informuotų Finansų ministeriją, ir tiek asignavimų valdytojui tiek Finansų ministerijai užtektų laiko tikslinimams atlikti.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F30C9E" w:rsidP="00551F39">
            <w:pPr>
              <w:rPr>
                <w:b/>
                <w:sz w:val="20"/>
                <w:szCs w:val="20"/>
              </w:rPr>
            </w:pPr>
            <w:r w:rsidRPr="00CF0BD9">
              <w:rPr>
                <w:b/>
                <w:sz w:val="20"/>
                <w:szCs w:val="20"/>
              </w:rPr>
              <w:t>Neatsižvelgta.</w:t>
            </w:r>
          </w:p>
          <w:p w:rsidR="00F30C9E" w:rsidRPr="00CF0BD9" w:rsidRDefault="00146214" w:rsidP="00146214">
            <w:pPr>
              <w:rPr>
                <w:sz w:val="20"/>
                <w:szCs w:val="20"/>
              </w:rPr>
            </w:pPr>
            <w:r>
              <w:rPr>
                <w:sz w:val="20"/>
                <w:szCs w:val="20"/>
              </w:rPr>
              <w:t>Mūsų nuomone, dėl dinamiškos sistemos nėra tikslinga Vyriausybės tvirtinamame teisės akte nustatyti detalių terminų</w:t>
            </w:r>
            <w:r w:rsidR="00F30C9E" w:rsidRPr="00CF0BD9">
              <w:rPr>
                <w:sz w:val="20"/>
                <w:szCs w:val="20"/>
              </w:rPr>
              <w:t xml:space="preserve"> (darbo dienu skaičiu</w:t>
            </w:r>
            <w:r>
              <w:rPr>
                <w:sz w:val="20"/>
                <w:szCs w:val="20"/>
              </w:rPr>
              <w:t>mi) ir procesų.</w:t>
            </w:r>
          </w:p>
        </w:tc>
      </w:tr>
      <w:tr w:rsidR="00F30C9E"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D040B7" w:rsidP="00551F39">
            <w:pPr>
              <w:rPr>
                <w:sz w:val="20"/>
                <w:szCs w:val="20"/>
              </w:rPr>
            </w:pPr>
            <w:r>
              <w:rPr>
                <w:sz w:val="20"/>
                <w:szCs w:val="20"/>
              </w:rPr>
              <w:t>4.12</w:t>
            </w:r>
            <w:r w:rsidR="00F30C9E"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Atsižvelgiant į tai, kad kartojasi Plėtros programos pažangos priemonės formoje pateikiama informacija formos pradžioje ir kitose formos dalyse, aprašant pasirinktąją alternatyvą, siūlytina išimti perteklinę informaciją ir besikartojančius laukus.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Plėtros programos pažangos priemonės pagrindimo formoje informacija kartojasi tik tuo atveju, jeigu ji pateikiama prie nagrinėjamų alternatyvų, o vėliau prie pasirinktos įgyvendinti alternatyvos. Pasirinkta įgyvendinti alternatyva aprašome žymiai plačiau. Tačiau neįmanoma lyginti alternatyvų, jų neaprašius pagal vienodus požymius.</w:t>
            </w:r>
          </w:p>
        </w:tc>
      </w:tr>
      <w:tr w:rsidR="00F30C9E"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D040B7" w:rsidP="00551F39">
            <w:pPr>
              <w:rPr>
                <w:sz w:val="20"/>
                <w:szCs w:val="20"/>
              </w:rPr>
            </w:pPr>
            <w:r>
              <w:rPr>
                <w:sz w:val="20"/>
                <w:szCs w:val="20"/>
              </w:rPr>
              <w:t>4.13</w:t>
            </w:r>
            <w:r w:rsidR="00F30C9E"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tikslinti Metodikos 20 punktą, kuriame nustatytas laikotarpis aplinkos analizei, atsižvelgiant į tai, kad kyla neaiškumas, kiek realiai skiriama laiko visam procesui, ar tai laikotarpis tik aplinkos analizei atlikti, ar aplinkos analizei atlikti ir Valstybės pažangos strategijos scenarijams pristatyti, ar taip pat apima ir 21 punkte nurodytų Valstybės pažangos strategijos scenarijų parengimą ir pristatymą Vyriausybei. Pastebėtina, kad lieka klausimas kada Vyriausybė turi patvirtinti Valstybės pažangos strategijos projektą.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b/>
                <w:sz w:val="20"/>
                <w:szCs w:val="20"/>
              </w:rPr>
            </w:pPr>
            <w:r w:rsidRPr="00CF0BD9">
              <w:rPr>
                <w:b/>
                <w:sz w:val="20"/>
                <w:szCs w:val="20"/>
              </w:rPr>
              <w:t>Atsižvelgta iš dalies.</w:t>
            </w:r>
          </w:p>
          <w:p w:rsidR="00F30C9E" w:rsidRPr="00CF0BD9" w:rsidRDefault="00943269" w:rsidP="00551F39">
            <w:pPr>
              <w:rPr>
                <w:sz w:val="20"/>
                <w:szCs w:val="20"/>
              </w:rPr>
            </w:pPr>
            <w:r>
              <w:rPr>
                <w:sz w:val="20"/>
                <w:szCs w:val="20"/>
              </w:rPr>
              <w:t>SVM</w:t>
            </w:r>
            <w:r w:rsidR="00F30C9E" w:rsidRPr="00CF0BD9">
              <w:rPr>
                <w:sz w:val="20"/>
                <w:szCs w:val="20"/>
              </w:rPr>
              <w:t xml:space="preserve"> 20 punktas patikslintas, tačiau viso rengimo laikotarpio nenumatome, nes ilgo laikotarpio dokumentas gali būti pradėtas rengti pasikeitus šalies situacijai.</w:t>
            </w:r>
          </w:p>
        </w:tc>
      </w:tr>
      <w:tr w:rsidR="00F30C9E"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D040B7" w:rsidP="00551F39">
            <w:pPr>
              <w:rPr>
                <w:sz w:val="20"/>
                <w:szCs w:val="20"/>
              </w:rPr>
            </w:pPr>
            <w:r>
              <w:rPr>
                <w:sz w:val="20"/>
                <w:szCs w:val="20"/>
              </w:rPr>
              <w:t>4.14</w:t>
            </w:r>
            <w:r w:rsidR="00F30C9E" w:rsidRPr="00CF0BD9">
              <w:rPr>
                <w:sz w:val="20"/>
                <w:szCs w:val="20"/>
              </w:rPr>
              <w:t>.</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Metodikos 85.2 papunktis: „atlieka priemonės įgyvendinimo alternatyvų, siekiant norimo poveikio, analizę ir pasirenka įgyvendinti geriausią alternatyvą. Alternatyvų palyginimas atliekamas taikant sąnaudų ir naudos analizę, sąnaudų veiksmingumo analizę arba kitus Portfelio valdytojo arba jo įgaliotos institucijos patvirtintus metodus. Vertinant alternatyvas, turi būti nagrinėjamos įvairaus pobūdžio veiklos arba jų rinkiniai (alternatyvos gali būti nevertinamos, kai konkretų priemonės įgyvendinimo būdą nustato ES direktyvos ir (arba) reglamentai, kurių nuostatos perkeliamos)“. </w:t>
            </w:r>
          </w:p>
          <w:p w:rsidR="00F30C9E"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Jei tais atvejais, kai priemonės įgyvendinimo būdą nustato ES teisės aktai, alternatyvos gali būti nevertinamos, tai analogiška išlyga turi būti numatyta ir tais atvejais, kai priemonės įgyvendinimo būdą nustato Lietuvos Respublikos teisės aktai. </w:t>
            </w:r>
          </w:p>
          <w:p w:rsidR="00F30C9E"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Kitas pavyzdys – Materialinio nepritekliaus mažinimo veiksmų programa (2021 – 2027 m. bus finansuojama iš ESF+). Šios veiksmų programos investicijomis siekiama padėti labiausiai skurstantiems asmenims, aprūpinant juos būtiniausiais maisto produktais ir higienos prekėmis. Akivaizdu, kad nėra tikslinga nagrinėti priemonės įgyvendinimo alternatyvas, nes tokių nėra. Todėl siūlome Metodikoje nustatyti atvejus, kai, suderinus su portfelio valdytoju, priemonės įgyvendinimo alternatyvos gali būti nenagrinėjamos.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Nacionaliniai teisės aktai nenustato konkrečių veiklų. Alternatyvos tarp veiklų ar jų įgyvendinimo būdų turėtų būti nagrinėjamos priemonės rengimo etape.</w:t>
            </w:r>
          </w:p>
          <w:p w:rsidR="00F30C9E" w:rsidRPr="00CF0BD9" w:rsidRDefault="00F30C9E" w:rsidP="00551F39">
            <w:pPr>
              <w:rPr>
                <w:b/>
                <w:sz w:val="20"/>
                <w:szCs w:val="20"/>
              </w:rPr>
            </w:pPr>
            <w:r w:rsidRPr="00CF0BD9">
              <w:rPr>
                <w:sz w:val="20"/>
                <w:szCs w:val="20"/>
              </w:rPr>
              <w:t>Išlygos dėl ES direktyvose ar reglamentuose nustatytų konkrečių veiklų perkėlimo į pažangos priemones yra numatyta.</w:t>
            </w:r>
          </w:p>
        </w:tc>
      </w:tr>
      <w:tr w:rsidR="00615C84" w:rsidRPr="00CF0BD9" w:rsidTr="00551F39">
        <w:trPr>
          <w:trHeight w:val="313"/>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F30C9E" w:rsidP="00551F39">
            <w:pPr>
              <w:rPr>
                <w:b/>
                <w:sz w:val="20"/>
                <w:szCs w:val="20"/>
              </w:rPr>
            </w:pPr>
            <w:r w:rsidRPr="00CF0BD9">
              <w:rPr>
                <w:b/>
                <w:sz w:val="20"/>
                <w:szCs w:val="20"/>
              </w:rPr>
              <w:t>5. Lietuvos Respublikos susisiekimo ministerija</w:t>
            </w:r>
          </w:p>
        </w:tc>
      </w:tr>
      <w:tr w:rsidR="00615C8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F30C9E" w:rsidP="00551F39">
            <w:pPr>
              <w:rPr>
                <w:sz w:val="20"/>
                <w:szCs w:val="20"/>
              </w:rPr>
            </w:pPr>
            <w:r w:rsidRPr="00CF0BD9">
              <w:rPr>
                <w:sz w:val="20"/>
                <w:szCs w:val="20"/>
              </w:rPr>
              <w:t>5.1.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F30C9E" w:rsidP="00551F39">
            <w:pPr>
              <w:pStyle w:val="Komentarotekstas"/>
            </w:pPr>
            <w:r w:rsidRPr="00CF0BD9">
              <w:t xml:space="preserve">Metodikos 69.2 </w:t>
            </w:r>
            <w:proofErr w:type="spellStart"/>
            <w:r w:rsidRPr="00CF0BD9">
              <w:t>pukte</w:t>
            </w:r>
            <w:proofErr w:type="spellEnd"/>
            <w:r w:rsidRPr="00CF0BD9">
              <w:t xml:space="preserve"> nurodyta, kad viena iš portfelio valdytojo funkcijų yra vertinti siūlomų PP priemonių pagrindimo kokybę ir efektyvumą. Siūlome nurodyti, kokiais kriterijais bus vadovaujamasi atliekant šį vertinimą;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F30C9E" w:rsidP="00551F39">
            <w:pPr>
              <w:rPr>
                <w:b/>
                <w:sz w:val="20"/>
                <w:szCs w:val="20"/>
              </w:rPr>
            </w:pPr>
            <w:r w:rsidRPr="00CF0BD9">
              <w:rPr>
                <w:b/>
                <w:sz w:val="20"/>
                <w:szCs w:val="20"/>
              </w:rPr>
              <w:t>Neatsižvelgta.</w:t>
            </w:r>
          </w:p>
          <w:p w:rsidR="00F30C9E" w:rsidRPr="00CF0BD9" w:rsidRDefault="00146214" w:rsidP="00146214">
            <w:pPr>
              <w:rPr>
                <w:sz w:val="20"/>
                <w:szCs w:val="20"/>
              </w:rPr>
            </w:pPr>
            <w:r>
              <w:rPr>
                <w:sz w:val="20"/>
                <w:szCs w:val="20"/>
              </w:rPr>
              <w:t>Mūsų nuomone, dėl dinamiškos sistemos nėra tikslinga Vyriausybės tvirtinamame teisės akte nustatyti detalių procesų</w:t>
            </w:r>
            <w:r w:rsidR="00F30C9E" w:rsidRPr="00CF0BD9">
              <w:rPr>
                <w:sz w:val="20"/>
                <w:szCs w:val="20"/>
              </w:rPr>
              <w:t>.</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5.2.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 xml:space="preserve">Metodikos 74.1.5 punkte ir 3 priede nurodyta, kad pateikiamos problemos priežasčių analizės išvados prioriteto tvarka pagal poveikį problemai, pavyzdžiui, poveikis valstybės biudžetui. Neformalaus derinimo metu negavome atsakymo pagal kokius kriterijus turi būti matuojamas </w:t>
            </w:r>
            <w:r w:rsidRPr="00CF0BD9">
              <w:lastRenderedPageBreak/>
              <w:t xml:space="preserve">poveikis ir kuo remiantis jį įvertinti ir pagrįsti, kad nagrinėjamos problemos priežastys būtų nurodytos prioriteto tvarka. Siūlome problemos priežasčių </w:t>
            </w:r>
            <w:proofErr w:type="spellStart"/>
            <w:r w:rsidRPr="00CF0BD9">
              <w:t>prioritetizavimo</w:t>
            </w:r>
            <w:proofErr w:type="spellEnd"/>
            <w:r w:rsidRPr="00CF0BD9">
              <w:t xml:space="preserve"> PP rengimo formoje nenumatyti. Atkreiptinas dėmesys, kad per 10 m. laikotarpį, kol bus įgyvendinama PP, prioritetai gali keistis keletą kartų dėl įvairių priežasčių, todėl nematome tikslingumo juos nustatyti;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lastRenderedPageBreak/>
              <w:t>Neatsižvelgta.</w:t>
            </w:r>
          </w:p>
          <w:p w:rsidR="00F30C9E" w:rsidRPr="00CF0BD9" w:rsidRDefault="00F30C9E" w:rsidP="00551F39">
            <w:pPr>
              <w:rPr>
                <w:sz w:val="20"/>
                <w:szCs w:val="20"/>
              </w:rPr>
            </w:pPr>
            <w:r w:rsidRPr="00CF0BD9">
              <w:rPr>
                <w:sz w:val="20"/>
                <w:szCs w:val="20"/>
              </w:rPr>
              <w:t xml:space="preserve">Atsižvelgiant į tai, kad plėtros programa yra ilgos trukmės dokumentas, rengiant ją turi būti identifikuotos didžiausią svorį </w:t>
            </w:r>
            <w:r w:rsidRPr="00CF0BD9">
              <w:rPr>
                <w:sz w:val="20"/>
                <w:szCs w:val="20"/>
              </w:rPr>
              <w:lastRenderedPageBreak/>
              <w:t xml:space="preserve">turinčios problemos priežastys ir, atitinkamai, tos priemonės, kurias yra svarbiausia įgyvendinti. Pirmosiomis turi būti įvardintos priemonės, kurių veiklų poveikis tikslinei grupei pasireikš greičiausiai ir efektyviausiu būdu; tam, kad tai būtų galima padaryti, problemų priežasčių analizės rezultate turi būti nustatyti priežasčių svoriai - be šio pratimo priemonių </w:t>
            </w:r>
            <w:proofErr w:type="spellStart"/>
            <w:r w:rsidRPr="00CF0BD9">
              <w:rPr>
                <w:sz w:val="20"/>
                <w:szCs w:val="20"/>
              </w:rPr>
              <w:t>prioritetizavimas</w:t>
            </w:r>
            <w:proofErr w:type="spellEnd"/>
            <w:r w:rsidRPr="00CF0BD9">
              <w:rPr>
                <w:sz w:val="20"/>
                <w:szCs w:val="20"/>
              </w:rPr>
              <w:t xml:space="preserve"> netenka pagrindimo.</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lastRenderedPageBreak/>
              <w:t>5.3.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 xml:space="preserve">Pakartotinai siūlome patikslinti 75 punkto nuostatas, išbraukiant reikalavimą į PP rengimo darbo grupę įtraukti socialinius ir ekonominius partnerius, nes darbo grupė skirta PP rengti, todėl kyla klausimas, kokias funkcijas darbo grupės veikloje atliks </w:t>
            </w:r>
            <w:proofErr w:type="spellStart"/>
            <w:r w:rsidRPr="00CF0BD9">
              <w:t>soacialiniai</w:t>
            </w:r>
            <w:proofErr w:type="spellEnd"/>
            <w:r w:rsidRPr="00CF0BD9">
              <w:t xml:space="preserve"> ir ekonominiai partneriai. Iki šiol tokia praktika nebuvo taikoma, kad rengiant strateginius planavimo dokumentus, darbo grupėse dalyvautų socialiniai ir ekonominiai partneriai, o jų pastabos ir pasiūlymai buvo vertinami pateikus konsultacijoms parengtą tam tikrą dokumento projektą;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Socialinių ekonominių partnerių įtraukimas į valstybės strateginio planavimo procesą yra būtinas siekiant didinti valstybės investicijų efektyvumą ir taiklumą.</w:t>
            </w:r>
          </w:p>
        </w:tc>
      </w:tr>
      <w:tr w:rsidR="00F30C9E" w:rsidRPr="00CF0BD9" w:rsidTr="00551F39">
        <w:trPr>
          <w:trHeight w:val="414"/>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b/>
                <w:sz w:val="20"/>
                <w:szCs w:val="20"/>
              </w:rPr>
            </w:pPr>
            <w:r w:rsidRPr="00CF0BD9">
              <w:rPr>
                <w:b/>
                <w:sz w:val="20"/>
                <w:szCs w:val="20"/>
              </w:rPr>
              <w:t>6. Lietuvos Respublikos švietimo, mokslo ir sporto ministerija</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Metodikos 2 punkte yra apibrėžtos tik dalis institucijų. Svarbu, kad 2 punkte būtų apibrėžtos visos metodikoje vartojamos institucijų sąvokos, pvz.: „PP valdytojai“, „Pažangos priemonės koordinatoriai “. Tiek schema, tiek sąvokos naujos, svarbu, kad jos būtų aiškiai apibrėžtos ir nurodytos konkrečios visų SVM įvardintų institucijų atsakomybių sritys.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 xml:space="preserve">Netikslinga pateikti sąvokas dalyvių, kurių funkcijos aiškiai apibrėžtos </w:t>
            </w:r>
            <w:r w:rsidR="004D5BDB">
              <w:rPr>
                <w:sz w:val="20"/>
                <w:szCs w:val="20"/>
              </w:rPr>
              <w:t>SVM</w:t>
            </w:r>
            <w:r w:rsidRPr="00CF0BD9">
              <w:rPr>
                <w:sz w:val="20"/>
                <w:szCs w:val="20"/>
              </w:rPr>
              <w:t>.</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 xml:space="preserve">Siūlome atsisakyti Metodikos 165, 178 punktų nuostatų ir Metodikos n–(n + 2) metų strateginio veiklos plano 1 priedo „Valstybės biudžeto dotacijos savivaldybėms“, o dotacijų panaudojimo efektyvumo kontrolę realizuoti kitu būdu (netraukiant to į SVP), nes: </w:t>
            </w:r>
          </w:p>
          <w:p w:rsidR="00F30C9E" w:rsidRPr="00CF0BD9" w:rsidRDefault="00F30C9E" w:rsidP="00551F39">
            <w:pPr>
              <w:pStyle w:val="Komentarotekstas"/>
            </w:pPr>
            <w:r w:rsidRPr="00CF0BD9">
              <w:t xml:space="preserve">2.1. pagal minėtas nuostatas reikalaujama informacijos, kuri nėra ir negali būti žinoma strateginio veiklos plano (SVP) rengimo metu.  Metodikos n–(n + 2) metų strateginio veiklos plano 1 priedo 2 lentelėje prašoma pateikti lėšų paskirstymą pagal kiekvieną savivaldybę trims metams į priekį, tačiau dotacijos lėšų pasiskirstymas tarp savivaldybių kasmet keičiasi, priklausomai nuo jų apskaičiavimo rodiklių reikšmių pokyčių (pvz., nuo mokinių skaičiaus, kuris kasmet kinta ir dėl gimstamumo, ir dėl migracijos). Dotacijų lėšų paskirstymas einamiesiems metams paaiškėja tik metų pradžioje (dažnai metodika tikslinama ateinantiems metams, atsižvelgiant į įvairioms reikmėms numatytas lėšas). Todėl informacija lentelėse bus nurodoma tik formaliai. </w:t>
            </w:r>
          </w:p>
          <w:p w:rsidR="00F30C9E" w:rsidRPr="00CF0BD9" w:rsidRDefault="00F30C9E" w:rsidP="00551F39">
            <w:pPr>
              <w:pStyle w:val="Komentarotekstas"/>
            </w:pPr>
            <w:r w:rsidRPr="00CF0BD9">
              <w:t xml:space="preserve">2.2. tai smarkiai didina administracinę naštą, nes reikalaujama nurodyti ne tik lėšas, bet ir nustatyti konkrečias rodiklių reikšmes pagal kiekvieną savivaldybę trims metams į priekį. 2021 metų valstybės biudžeto ir savivaldybių biudžetų finansinių rodiklių patvirtinimo įstatymo 3 straipsnio 1 dalies 1 punkte yra reikalavimas paskirstyti dotacijų lėšas savivaldybėms ir iki 2021 m. sausio 15 d. pranešti  joms apie savivaldybėms nustatytus tikslus, kuriuos jos turi pasiekti 2021 metais, ir jų pasiekimo vertinimo kriterijus. Ir paskirstymas, ir tikslas, ir vertinimo kriterijai nustatomi ministro įsakymais. ŠMSM nustato pradines rodiklių reikšmes pagal kiekvieną savivaldybę (kurias gauname iš ŠVIS) ir nurodo kaip atitinkamais metais jos turėtų keistis (didėti arba mažėti), bet nenustato konkrečių reikšmių, nes svarbi yra tendencija. Taip išvengiame administracinės naštos didėjimo, nors 3 dotacijoms yra nustatyti 9 vertinimo rodikliai, pagal kuriuos stebime kiekvieną savivaldybę (neapkraudami jų papildoma našta). Pagal Metodikos projektą minėto priedo 2 lentelėje turėtume nurodyti iš viso 2160 rodiklių reikšmių (9 rodikliai * 60 savivaldybių * 4 metai). Kad šis darbas būtų atliekamas kokybiškai būtina įsteigti atskirą padalinį, kuris rūpintųsi vien </w:t>
            </w:r>
            <w:r w:rsidRPr="00CF0BD9">
              <w:lastRenderedPageBreak/>
              <w:t xml:space="preserve">dotacijų savivaldybėms reikalais (rodiklių individualių reikšmių nustatymu, jų stebėsena, poveikio priemonėmis, kurių teisės aktai deja nenumato). </w:t>
            </w:r>
          </w:p>
          <w:p w:rsidR="00F30C9E" w:rsidRPr="00CF0BD9" w:rsidRDefault="00F30C9E" w:rsidP="00551F39">
            <w:pPr>
              <w:pStyle w:val="Komentarotekstas"/>
            </w:pPr>
            <w:r w:rsidRPr="00CF0BD9">
              <w:t xml:space="preserve">2.3. tokia detali kiekvienos savivaldybės kontrolė neturi prasmės, nes nustatytų rodiklių reikšmių pasiekimas arba nepasiekimas negali įtakoti savivaldybių finansavimo (kuris apskaičiuojamas vadovaujantis specialiomis metodikomis). Specialios tikslinės dotacijos savivaldybėms skiriamos valstybinėms (perduotoms savivaldybėms) funkcijoms įgyvendinti (pvz., ugdymo reikmėms finansuoti, ūkio išlaidoms padengti, </w:t>
            </w:r>
            <w:proofErr w:type="spellStart"/>
            <w:r w:rsidRPr="00CF0BD9">
              <w:t>tarpinstitucinio</w:t>
            </w:r>
            <w:proofErr w:type="spellEnd"/>
            <w:r w:rsidRPr="00CF0BD9">
              <w:t xml:space="preserve"> bendradarbiavimo koordinatorių pareigybėms išlaikyti) ir negali būti mažinamos, nes nebus sudarytos sąlygos toms funkcijoms įgyvendinti. Manome, kad šiuo atveju tikslas neatpirktų įdėtų pastangų. Nustatyti rezultatai nebūtų pasiekti, nes įstatymai nenumato finansinių poveikio priemonių (asignavimų mažinimo arba didinimo), kurias valstybė galėtų taikyti savivaldybėms.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lastRenderedPageBreak/>
              <w:t>Neatsižvelgta.</w:t>
            </w:r>
          </w:p>
          <w:p w:rsidR="00F30C9E" w:rsidRPr="00CF0BD9" w:rsidRDefault="00F30C9E" w:rsidP="00551F39">
            <w:pPr>
              <w:rPr>
                <w:sz w:val="20"/>
                <w:szCs w:val="20"/>
              </w:rPr>
            </w:pPr>
            <w:r w:rsidRPr="00CF0BD9">
              <w:rPr>
                <w:sz w:val="20"/>
                <w:szCs w:val="20"/>
              </w:rPr>
              <w:t>Finansų ministerijai yra pavesta įgyvendinti Valstybės kontrolės rekomendaciją "Siekiant, kad savivaldybių vykdomų funkcijų finansavimo sistema motyvuotų savivaldybes veikti efektyviau ir siekti geresnių rezultatų, nustatyti, kad skiriant finansavimą savivaldybėms, būtų nustatomi tikslai, siektini rodikliai ir rezultatai." (Valstybės kontrolės 2019-04-09 ataskaita Nr. VA-1 „ Ar savivaldybių vykdomų funkcijų sistema sudaro sąlygas joms veikti efektyviai? “).</w:t>
            </w:r>
          </w:p>
          <w:p w:rsidR="00F30C9E" w:rsidRPr="00CF0BD9" w:rsidRDefault="00F30C9E" w:rsidP="00551F39">
            <w:pPr>
              <w:rPr>
                <w:sz w:val="20"/>
                <w:szCs w:val="20"/>
              </w:rPr>
            </w:pPr>
            <w:r w:rsidRPr="00CF0BD9">
              <w:rPr>
                <w:sz w:val="20"/>
                <w:szCs w:val="20"/>
              </w:rPr>
              <w:t>Siekdami įgyvendinti šią rekomendaciją pateikėme siūlymą, kad asignavimų valdytojai, skirdami dotacijas savivaldybėms, nustatytų joms stebėsenos rodiklius ir siektinas reikšmes.</w:t>
            </w:r>
            <w:r w:rsidR="004D5BDB">
              <w:rPr>
                <w:sz w:val="20"/>
                <w:szCs w:val="20"/>
              </w:rPr>
              <w:t xml:space="preserve"> </w:t>
            </w:r>
            <w:r w:rsidRPr="00CF0BD9">
              <w:rPr>
                <w:sz w:val="20"/>
                <w:szCs w:val="20"/>
              </w:rPr>
              <w:t xml:space="preserve">Taip pat šiuo metu rengiama </w:t>
            </w:r>
            <w:r w:rsidR="004D5BDB">
              <w:rPr>
                <w:sz w:val="20"/>
                <w:szCs w:val="20"/>
              </w:rPr>
              <w:t>Valstybės biudžeto lėšų perdav</w:t>
            </w:r>
            <w:r w:rsidRPr="00CF0BD9">
              <w:rPr>
                <w:sz w:val="20"/>
                <w:szCs w:val="20"/>
              </w:rPr>
              <w:t xml:space="preserve">imo kitiems valdymo lygiams metodika, kurioje bus pateiktos rekomendacijos dėl minėtų rodiklių ir jų siektinų reikšmių nustatymo: patys stebėsenos rodikliai bus nustatomi tik vieną kartą ir tas pats stebėsenos rodiklis ar keli rodikliai bus naudojami visų savivaldybių </w:t>
            </w:r>
            <w:proofErr w:type="spellStart"/>
            <w:r w:rsidRPr="00CF0BD9">
              <w:rPr>
                <w:sz w:val="20"/>
                <w:szCs w:val="20"/>
              </w:rPr>
              <w:t>stebėsenai</w:t>
            </w:r>
            <w:proofErr w:type="spellEnd"/>
            <w:r w:rsidRPr="00CF0BD9">
              <w:rPr>
                <w:sz w:val="20"/>
                <w:szCs w:val="20"/>
              </w:rPr>
              <w:t xml:space="preserve"> visais vėlesniais metais. Atskirai kiekvienai savivaldybei bus nustatomos tik stebėsenos rodiklių siektinos reikšmės. Tačiau planuojama, kad pirmaisiais metais siektina stebėsenos rodiklio reikšmė visoms savivaldybėms bus vienoda, o vėlesniais metais, turint informaciją apie rodiklių įvykdymą, rodiklių siektinos reikšmės galėtų būti nustatomi pagal tam tikrus kriterijus apibrėžtoms savivaldybių grupėms arba pagal aiškiai apibrėžtą taisyklę (pvz. siekiama X proc. didesnės reikšmės). Todėl faktiškai vėlesniais metais turėtų būti nustatomos tik to paties rodiklio naujos siektinos reikšmės </w:t>
            </w:r>
            <w:r w:rsidRPr="00CF0BD9">
              <w:rPr>
                <w:sz w:val="20"/>
                <w:szCs w:val="20"/>
              </w:rPr>
              <w:lastRenderedPageBreak/>
              <w:t>kelioms, tam tikrus požymius atitinkančioms, savivaldybių grupėms arba visoms savivaldybėms, bet pagal aiškiai apibrėžtą kriterijų.</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lastRenderedPageBreak/>
              <w:t>6.3.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Metodikos V skyriuje tik bendrais bruožais yra nustatyta, kad bus vykdoma Plėtros programų ir pažangos priemonių stebėsena, atsiskaitymas už rezultatus ir pažangos vertinimas. Yra tik konkrečiau įvardinta ataskaitų teikimo tvarka ir terminai, bet kokie kiti stebėsenos veiksmai turi būti atlikti, nėra detalizuojama. Būtina plačiau nustatyti, kokius konkrečius pažangos priemonių įgyvendinimo stebėsenos veiksmus turės atlikti atitinkama institucija.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146214" w:rsidP="00146214">
            <w:pPr>
              <w:rPr>
                <w:sz w:val="20"/>
                <w:szCs w:val="20"/>
              </w:rPr>
            </w:pPr>
            <w:r>
              <w:rPr>
                <w:sz w:val="20"/>
                <w:szCs w:val="20"/>
              </w:rPr>
              <w:t>Mūsų nuomone, dėl dinamiškos sistemos nėra tikslinga Vyriausybės tvirtinamame teisės akte nustatyti procesų</w:t>
            </w:r>
            <w:r w:rsidR="00F30C9E" w:rsidRPr="00CF0BD9">
              <w:rPr>
                <w:sz w:val="20"/>
                <w:szCs w:val="20"/>
              </w:rPr>
              <w:t>.</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Metodikos V skyriuje nenumatytas atsakomybių ir funkcijų pasiskirstymas tarp įstaigų, atsakomybių ribos, pvz., kokius konkrečius stebėsenos veiksmus atliks PP valdytojas, o kokius administruojanti institucija ar pažangos priemonių koordinatorius.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146214" w:rsidP="00146214">
            <w:pPr>
              <w:rPr>
                <w:sz w:val="20"/>
                <w:szCs w:val="20"/>
              </w:rPr>
            </w:pPr>
            <w:r>
              <w:rPr>
                <w:sz w:val="20"/>
                <w:szCs w:val="20"/>
              </w:rPr>
              <w:t>Mūsų nuomone, dėl dinamiškos sistemos nėra tikslinga Vyriausybės tvirtinamame teisės akte nustatyti procesų</w:t>
            </w:r>
            <w:r w:rsidR="00F30C9E" w:rsidRPr="00CF0BD9">
              <w:rPr>
                <w:sz w:val="20"/>
                <w:szCs w:val="20"/>
              </w:rPr>
              <w:t>.</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74.3.4 punkte neapibrėžtas koordinatorius / rengėjas - kas priskiria ir pan. Taip pat, ar koordinatoriai gali būti visai nepriskiriami?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943269" w:rsidP="00551F39">
            <w:pPr>
              <w:rPr>
                <w:sz w:val="20"/>
                <w:szCs w:val="20"/>
              </w:rPr>
            </w:pPr>
            <w:r>
              <w:rPr>
                <w:sz w:val="20"/>
                <w:szCs w:val="20"/>
              </w:rPr>
              <w:t>SVM</w:t>
            </w:r>
            <w:r w:rsidR="00F30C9E" w:rsidRPr="00CF0BD9">
              <w:rPr>
                <w:sz w:val="20"/>
                <w:szCs w:val="20"/>
              </w:rPr>
              <w:t xml:space="preserve"> tolesniuose punktuose apibrėžtas pažangos priemonės koordinatorius.</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85, 87, 88 punktuose neaiškios sąvokos: pažangos priemonės rengėjas ir koordinatorius. Reikėtų jas detalizuoti, kas tai yra, kokias funkcijas atlieka. Minima, kad koordinatorius gali būti skiriamas, kas jį ir kodėl skiria, kada jis neskiriamas? Viename punkte rašomos abi sąvokos, vėliau rengėjo nebelieka.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943269" w:rsidP="00551F39">
            <w:pPr>
              <w:rPr>
                <w:sz w:val="20"/>
                <w:szCs w:val="20"/>
              </w:rPr>
            </w:pPr>
            <w:r>
              <w:rPr>
                <w:sz w:val="20"/>
                <w:szCs w:val="20"/>
              </w:rPr>
              <w:t>SVM</w:t>
            </w:r>
            <w:r w:rsidR="00F30C9E" w:rsidRPr="00CF0BD9">
              <w:rPr>
                <w:sz w:val="20"/>
                <w:szCs w:val="20"/>
              </w:rPr>
              <w:t xml:space="preserve"> tolesniuose punktuose apibrėžtas pažangos priemonės koordinatorius.</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6.7.</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87 punktas. Ar kiekviena pažangos priemonė turės turėti darbo grupę ir galės veikti tik formalių posėdžių formatu (tai reiškia didesnė administracinė našta, nes reikalingas grupės reglamentas, protokolavimas ir darbas negali vykti kitu formatu)? Ministerija galėtų pati pasirinkti sau tinkamiausią darbo metodą ir parengti pažangos priemonę, nereikėtų nustatyti. Ar šiuo punktu buvo norima pasakyti, kad į  pažangos priemonių rengimą būtų įtraukti socialiniai ir ekonominiai partneriai? Jei taip, tai tą ir būtų galima parašyti, o kaip juos įtraukti, nusistatytų kiekviena ministerija.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Darbo grupės formatas pasirinktas siekiant užtikrinti maksimalų suinteresuotų šalių įtraukimą į PP ar priemonės rengimą, o ne tik formalų supažindinimą ar derinimą. Darbo grupės tikslas - rasti geriausius sprendimus pasitelkiant kuo platesnį kompetencijų ratą.</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6.8.</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88 punkte minimas pažangos priemonės planas ir pažangos priemonės įgyvendinimo planas, čia vienas ir tas pats ar tai du atskiri planai? Kokia bus jo forma, ar čia kažkas panašaus į buvusį  2014–2020 metų Europos Sąjungos fondų investicijų veiksmų programos prioriteto įgyvendinimo priemonių įgyvendinimo planą, kurį tvirtino ministras?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Atsižvelgta iš dalies.</w:t>
            </w:r>
          </w:p>
          <w:p w:rsidR="00F30C9E" w:rsidRPr="00CF0BD9" w:rsidRDefault="00F30C9E" w:rsidP="00551F39">
            <w:pPr>
              <w:rPr>
                <w:sz w:val="20"/>
                <w:szCs w:val="20"/>
              </w:rPr>
            </w:pPr>
            <w:r w:rsidRPr="00CF0BD9">
              <w:rPr>
                <w:sz w:val="20"/>
                <w:szCs w:val="20"/>
              </w:rPr>
              <w:t xml:space="preserve">Punktas patikslintas nurodant "pažangos priemonės aprašas". Pažymėtina, kad priemonės įgyvendinimo planas - sudedamoji pažangos priemonės pagrindimo dalis - 8 skyrius, kuriame detalizuojama Detalizuojamas ir pagrindžiamas priemonės įgyvendinimo laikotarpis. Nurodoma realiausia priemonės įgyvendinimo pradžia ir pabaiga. Nurodomi planuojami priemonės veiksmų įgyvendinimo laikotarpiai metais ir argumentuotai pagrindžiama, kodėl numatomi tokie terminai. </w:t>
            </w:r>
          </w:p>
          <w:p w:rsidR="00F30C9E" w:rsidRPr="00CF0BD9" w:rsidRDefault="00F30C9E" w:rsidP="00551F39">
            <w:pPr>
              <w:rPr>
                <w:b/>
                <w:sz w:val="20"/>
                <w:szCs w:val="20"/>
              </w:rPr>
            </w:pPr>
            <w:r w:rsidRPr="00CF0BD9">
              <w:rPr>
                <w:sz w:val="20"/>
                <w:szCs w:val="20"/>
              </w:rPr>
              <w:t>Pagrindžiama, ar priemonės įgyvendinimo sparta ir suplanuotos lėšos leis užtikrinti rodiklių reikšmių pasiekimą numatytu laiku.</w:t>
            </w:r>
          </w:p>
        </w:tc>
      </w:tr>
      <w:tr w:rsidR="0030124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01241" w:rsidRPr="00CF0BD9" w:rsidRDefault="00301241" w:rsidP="00551F39">
            <w:pPr>
              <w:rPr>
                <w:sz w:val="20"/>
                <w:szCs w:val="20"/>
              </w:rPr>
            </w:pPr>
            <w:r w:rsidRPr="00CF0BD9">
              <w:rPr>
                <w:sz w:val="20"/>
                <w:szCs w:val="20"/>
              </w:rPr>
              <w:lastRenderedPageBreak/>
              <w:t>6.9.</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301241" w:rsidP="00551F39">
            <w:pPr>
              <w:pStyle w:val="Komentarotekstas"/>
            </w:pPr>
            <w:r w:rsidRPr="00CF0BD9">
              <w:t>90 punktas. Ar pažangos priemonės rengimas galimas tik vienu būdu tai yra sudarant darbo grupę ir rengiant posėdžius? Ministerija galėtų pati pasirinkti sau tinkamiausią darbo metodą, nereikėtų nustatyti. Siejasi su 87 punkto pastaba.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301241" w:rsidP="00551F39">
            <w:pPr>
              <w:rPr>
                <w:b/>
                <w:sz w:val="20"/>
                <w:szCs w:val="20"/>
              </w:rPr>
            </w:pPr>
            <w:r w:rsidRPr="00CF0BD9">
              <w:rPr>
                <w:b/>
                <w:sz w:val="20"/>
                <w:szCs w:val="20"/>
              </w:rPr>
              <w:t>Neatsižvelgta.</w:t>
            </w:r>
          </w:p>
          <w:p w:rsidR="00301241" w:rsidRPr="00CF0BD9" w:rsidRDefault="00301241" w:rsidP="00551F39">
            <w:pPr>
              <w:rPr>
                <w:sz w:val="20"/>
                <w:szCs w:val="20"/>
              </w:rPr>
            </w:pPr>
            <w:r w:rsidRPr="00CF0BD9">
              <w:rPr>
                <w:sz w:val="20"/>
                <w:szCs w:val="20"/>
              </w:rPr>
              <w:t>Darbo grupės formatas pasirinktas siekiant užtikrinti maksimalų suinteresuotų šalių įtraukimą į PP ar priemonės rengimą, o ne tik formalų supažindinimą ar derinimą. Darbo grupės tikslas - rasti geriausius sprendimus pasitelkiant kuo platesnį kompetencijų ratą.</w:t>
            </w:r>
          </w:p>
        </w:tc>
      </w:tr>
      <w:tr w:rsidR="0030124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01241" w:rsidRPr="00CF0BD9" w:rsidRDefault="00301241" w:rsidP="00551F39">
            <w:pPr>
              <w:rPr>
                <w:sz w:val="20"/>
                <w:szCs w:val="20"/>
              </w:rPr>
            </w:pPr>
            <w:r w:rsidRPr="00CF0BD9">
              <w:rPr>
                <w:sz w:val="20"/>
                <w:szCs w:val="20"/>
              </w:rPr>
              <w:t>6.10.</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301241" w:rsidP="00551F39">
            <w:pPr>
              <w:pStyle w:val="Komentarotekstas"/>
            </w:pPr>
            <w:r w:rsidRPr="00CF0BD9">
              <w:t>Bendra pastaba/ klausimas. Ar Pažangos priemonės forma yra numatyta Metodikos 88 punktui: "PP valdytojas tvirtina priemonės finansavimo planą ir priemonės įgyvendinimo rezultato rodiklius"? Ten pat minimas patvirtintas pažangos priemonės įgyvendinimo planas. Tai gal priedas turėtų vadintis "priemonės įgyvendinimo plano forma"?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301241" w:rsidP="00551F39">
            <w:pPr>
              <w:rPr>
                <w:b/>
                <w:sz w:val="20"/>
                <w:szCs w:val="20"/>
              </w:rPr>
            </w:pPr>
            <w:r w:rsidRPr="00CF0BD9">
              <w:rPr>
                <w:b/>
                <w:sz w:val="20"/>
                <w:szCs w:val="20"/>
              </w:rPr>
              <w:t>Atsižvelgta iš dalies.</w:t>
            </w:r>
          </w:p>
          <w:p w:rsidR="00301241" w:rsidRPr="00CF0BD9" w:rsidRDefault="00301241" w:rsidP="00551F39">
            <w:pPr>
              <w:rPr>
                <w:sz w:val="20"/>
                <w:szCs w:val="20"/>
              </w:rPr>
            </w:pPr>
            <w:r w:rsidRPr="00CF0BD9">
              <w:rPr>
                <w:sz w:val="20"/>
                <w:szCs w:val="20"/>
              </w:rPr>
              <w:t xml:space="preserve">Punktas patikslintas nurodant „pažangos priemonės aprašas“. Pažymėtina, kad priemonės įgyvendinimo planas - sudedamoji pažangos priemonės pagrindimo dalis - 8 skyrius, kuriame detalizuojama Detalizuojamas ir pagrindžiamas priemonės įgyvendinimo laikotarpis. Nurodoma realiausia priemonės įgyvendinimo pradžia ir pabaiga. Nurodomi planuojami priemonės veiksmų įgyvendinimo laikotarpiai metais ir argumentuotai pagrindžiama, kodėl numatomi tokie terminai. </w:t>
            </w:r>
          </w:p>
          <w:p w:rsidR="00301241" w:rsidRPr="00CF0BD9" w:rsidRDefault="00301241" w:rsidP="00551F39">
            <w:pPr>
              <w:rPr>
                <w:b/>
                <w:sz w:val="20"/>
                <w:szCs w:val="20"/>
              </w:rPr>
            </w:pPr>
            <w:r w:rsidRPr="00CF0BD9">
              <w:rPr>
                <w:sz w:val="20"/>
                <w:szCs w:val="20"/>
              </w:rPr>
              <w:t>Pagrindžiama, ar priemonės įgyvendinimo sparta ir suplanuotos lėšos leis užtikrinti rodiklių reikšmių pasiekimą numatytu laiku.</w:t>
            </w:r>
          </w:p>
        </w:tc>
      </w:tr>
      <w:tr w:rsidR="00F91178" w:rsidRPr="00CF0BD9" w:rsidTr="00551F39">
        <w:trPr>
          <w:trHeight w:val="305"/>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301241" w:rsidP="00551F39">
            <w:pPr>
              <w:rPr>
                <w:b/>
                <w:sz w:val="20"/>
                <w:szCs w:val="20"/>
              </w:rPr>
            </w:pPr>
            <w:r w:rsidRPr="00CF0BD9">
              <w:rPr>
                <w:b/>
                <w:sz w:val="20"/>
                <w:szCs w:val="20"/>
              </w:rPr>
              <w:t>7. Lietuvos Respublikos teisingumo ministerija</w:t>
            </w:r>
          </w:p>
        </w:tc>
      </w:tr>
      <w:tr w:rsidR="00F91178"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C834EB" w:rsidP="00551F39">
            <w:pPr>
              <w:rPr>
                <w:sz w:val="20"/>
                <w:szCs w:val="20"/>
              </w:rPr>
            </w:pPr>
            <w:r w:rsidRPr="00CF0BD9">
              <w:rPr>
                <w:sz w:val="20"/>
                <w:szCs w:val="20"/>
              </w:rPr>
              <w:t>7.1.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91178" w:rsidRPr="00CF0BD9" w:rsidRDefault="00C834EB" w:rsidP="00551F39">
            <w:pPr>
              <w:tabs>
                <w:tab w:val="left" w:pos="993"/>
              </w:tabs>
              <w:rPr>
                <w:sz w:val="20"/>
                <w:szCs w:val="20"/>
              </w:rPr>
            </w:pPr>
            <w:r w:rsidRPr="00CF0BD9">
              <w:rPr>
                <w:sz w:val="20"/>
                <w:szCs w:val="20"/>
              </w:rPr>
              <w:t xml:space="preserve">Nepritariame Projektu tvirtinamo Valstybės veiklos sritims priskiriamų įstaigų, kurių vadovai yra valstybės biudžeto asignavimų valdytojai, sąrašo (toliau – Sąrašas) 13.31 ir 13.32 p. nuostatoms, pagal kurias numatytas Lietuvos Respublikos vaiko teisių apsaugos kontrolieriaus įstaigos bei Lygių galimybių kontrolieriaus tarnybos priskyrimas teisingumo valstybės veiklos sričiai. Pažymėtina, kad lygių galimybių visiems principas 2021–2030 metų Nacionaliniame pažangos plane, patvirtintame Lietuvos Respublikos Vyriausybės 2020 m. rugsėjo 9 d. nutarimu Nr. 998, yra įvardijamas kaip horizontalusis principas, o lygios galimybės ir vaiko teisių apsauga yra priskirtos socialinės apsaugos ir darbo ministro valdymo sričiai (žr. Lietuvos Respublikos Vyriausybės 2010 m. kovo 24 d. nutarimo Nr. 330 „Dėl ministrams pavedamų valdymo sričių“ 1.6.9 p. „šeima ir vaiko teisių apsauga“, 1.6.11 p. „socialinė integracija ir lygios galimybės“, 1.6.12 p. „moterų ir vyrų lygios galimybės“). Manome, kad šios įstaigos turėtų būti priskirtos socialinės apsaugos ir užimtumo valstybės veiklos sričiai.  </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235624"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Lietuvos Respublikos vaiko teisių apsaugos kontrolieriaus įstaiga, kaip ir panašaus statuso žmogaus teises ginančios institucijos: Lietuvos Respublikos Seimo kontrolierių įstaiga ir Lygių galimybių kontrolieriaus tarnyba siūloma priskirti teisingumo valstybės veiklos sričiai.</w:t>
            </w:r>
          </w:p>
          <w:p w:rsidR="00C834EB" w:rsidRPr="00CF0BD9" w:rsidRDefault="00C834EB" w:rsidP="00551F39">
            <w:pPr>
              <w:rPr>
                <w:sz w:val="20"/>
                <w:szCs w:val="20"/>
              </w:rPr>
            </w:pPr>
            <w:r w:rsidRPr="00CF0BD9">
              <w:rPr>
                <w:sz w:val="20"/>
                <w:szCs w:val="20"/>
              </w:rPr>
              <w:t xml:space="preserve">Tačiau manytina, kad teisingumo valstybės veiklos srities pavadinimas galimai neatspindi šių įstaigų statuso, todėl ateityje, esant poreikiui tikslinti atitinkamas </w:t>
            </w:r>
            <w:r w:rsidR="00AB5EA4">
              <w:rPr>
                <w:sz w:val="20"/>
                <w:szCs w:val="20"/>
              </w:rPr>
              <w:t>SVĮ</w:t>
            </w:r>
            <w:r w:rsidRPr="00CF0BD9">
              <w:rPr>
                <w:sz w:val="20"/>
                <w:szCs w:val="20"/>
              </w:rPr>
              <w:t xml:space="preserve"> nuostatas, kartu bus svarstoma galimybė tikslinti šio </w:t>
            </w:r>
            <w:r w:rsidR="00AB5EA4">
              <w:rPr>
                <w:sz w:val="20"/>
                <w:szCs w:val="20"/>
              </w:rPr>
              <w:t>SVĮ</w:t>
            </w:r>
            <w:r w:rsidRPr="00CF0BD9">
              <w:rPr>
                <w:sz w:val="20"/>
                <w:szCs w:val="20"/>
              </w:rPr>
              <w:t xml:space="preserve"> 3 straipsnio 26 dalies 13 punktą, t. y. patikslinant teisingumo valstybės veiklos srities pavadinimą į, pavyzdžiui, teisingumas ir žmogaus teisių užtikrinimas.</w:t>
            </w:r>
          </w:p>
        </w:tc>
      </w:tr>
      <w:tr w:rsidR="00301241"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01241" w:rsidRPr="00CF0BD9" w:rsidRDefault="00C834EB" w:rsidP="00551F39">
            <w:pPr>
              <w:rPr>
                <w:sz w:val="20"/>
                <w:szCs w:val="20"/>
              </w:rPr>
            </w:pPr>
            <w:r w:rsidRPr="00CF0BD9">
              <w:rPr>
                <w:sz w:val="20"/>
                <w:szCs w:val="20"/>
              </w:rPr>
              <w:t>7.2.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C834EB" w:rsidP="00551F39">
            <w:pPr>
              <w:tabs>
                <w:tab w:val="left" w:pos="993"/>
              </w:tabs>
              <w:rPr>
                <w:sz w:val="20"/>
                <w:szCs w:val="20"/>
              </w:rPr>
            </w:pPr>
            <w:r w:rsidRPr="00CF0BD9">
              <w:rPr>
                <w:sz w:val="20"/>
                <w:szCs w:val="20"/>
              </w:rPr>
              <w:t>Projekte dėstomuose Strateginio valdymo metodikos (toliau – Metodika) 2.1, 2.2, 2.5 p. vartojama formuluotė „Vyriausybės paskirta įstaiga“. Įvertinus minėtų institucijų sąvokų apibrėžimuose nurodytas šių institucijų funkcijas, pastebėtina, kad dalis jų sietinos su viešojo administravimo funkcijų vykdymu. Todėl atkreiptinas dėmesys į tai, kad, jeigu tokiomis institucijomis ateityje būtų siekiama skirti viešąsias įstaigas, turėtų būti atsižvelgiama ir į Lietuvos Respublikos viešojo administravimo įstatymo 5 str. 1 d. 2 p. nuostatas dėl viešojo administravimo įgaliojimų suteikimo viešosioms įstaigoms tvarkos.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Vadovaujančiosios, administruojančiosios ir audito institucijos gali būti įvairių juridinių formų įstaigos ne tik viešosios įstaigos. Pvz., vadovaujančiomis institucijomis konkrečioms programoms įprastai yra paskiriamos ministerijos. Tuo atveju, jeigu vienu ar kitu subjektu paskiriama viešoji įstaiga (pvz., administruojančiosios institucijos funkcijoms vykdyti) tai atliekama vadovaujantis SVĮ 3 str. 17 d. 8 p.</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 xml:space="preserve">Siūlytina suvienodinti Metodikoje vartojamas formuluotes, kuriomis įvardijami  suinteresuoti subjektai. Pvz., Metodikos 11 p. vartojama formuluotė „visuomene, socialiniais ir ekonominiais partneriais &lt;...&gt; suinteresuotus strateginio valdymo sistemos dalyvius, suinteresuotąsias šalis ir socialinius ir ekonominius partnerius (kompetentingų regionų, miestų, vietos valdžios institucijų, pilietinės visuomenės, nevyriausybinių organizacijų atstovus); Metodikos 17 p.  – „Lietuvos žmonėms, bendruomenėms, nevyriausybinėms ir </w:t>
            </w:r>
            <w:r w:rsidRPr="00CF0BD9">
              <w:rPr>
                <w:sz w:val="20"/>
                <w:szCs w:val="20"/>
              </w:rPr>
              <w:lastRenderedPageBreak/>
              <w:t xml:space="preserve">verslo organizacijoms, valdžios institucijoms“; 19 p. – „kitas suinteresuotąsias šalis ir visuomenę“; 20 p. „ministerijoms ir suinteresuotosioms šalims“ (visuomenė nebeminima); Metodikos 40 p. – „socialinių ir ekonominių partnerių ir kitų suinteresuotųjų šalių įtraukimo“. Siekiant aiškumo, būtų tikslinga pirmą kartą paminėjus visus dalyvaujančius subjektus nurodyti trumpinį („toliau – suinteresuoti subjektai“) ir jo laikytis, nebent pagrįstai atskiruose Metodikos punktuose būtų siekiama nurodyti tik tam tikras subjektų grupes (tik tam tikrus subjektus).   </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lastRenderedPageBreak/>
              <w:t>Neatsižvelgta.</w:t>
            </w:r>
          </w:p>
          <w:p w:rsidR="00C834EB" w:rsidRPr="00CF0BD9" w:rsidRDefault="00C834EB" w:rsidP="00551F39">
            <w:pPr>
              <w:rPr>
                <w:sz w:val="20"/>
                <w:szCs w:val="20"/>
              </w:rPr>
            </w:pPr>
            <w:r w:rsidRPr="00CF0BD9">
              <w:rPr>
                <w:sz w:val="20"/>
                <w:szCs w:val="20"/>
              </w:rPr>
              <w:t>Atskiruose SVM aprašomuose strateginio valdymo etapuose dalyvauja skirtingi subjektai, atlieka skirtingą vaidmenį (dalyvauja, konsultuoja, supažindinami ir pan.) todėl suvienodinimas nėra tikslingas.</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lastRenderedPageBreak/>
              <w:t>7.4.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Metodikos 52 p. numato, kad kiekvienoje ministerijoje paskiriami asmenys, atsakingi už horizontaliųjų principų įgyvendinimo koordinavimą ministrams pavestose valdymo srityse, tačiau toliau neatskleidžiama tokių asmenų funkcijos ir atsakomybės.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Atsižvelgta iš dalies.</w:t>
            </w:r>
          </w:p>
          <w:p w:rsidR="00C834EB" w:rsidRPr="00CF0BD9" w:rsidRDefault="00C834EB" w:rsidP="00551F39">
            <w:pPr>
              <w:rPr>
                <w:sz w:val="20"/>
                <w:szCs w:val="20"/>
              </w:rPr>
            </w:pPr>
            <w:r w:rsidRPr="00CF0BD9">
              <w:rPr>
                <w:sz w:val="20"/>
                <w:szCs w:val="20"/>
              </w:rPr>
              <w:t>Atsisakyta nuostatos.</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Siūlytina suvienodinti Metodikos 74.3.3 p. nuostatą ir Metodikos 3 priedo „Plėtros programos forma“ III skyriaus „Priemonių rinkinys“ lentelės 6 stulpelio „Dalyvaujančios institucijos“ paaiškinimo aprašymą: Metodikos 74.3.3 p. nurodo, kad pateikiama „informacija, kokių institucijų dalyvavimas būtinas planuojant ir įgyvendinant priemonę“, o lentelės paaiškinime nurodoma, kad nurodomos tik ministerijos ir kiti asignavimų valdytojai.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PP formos instrukcijoje taip pat paaiškinta, kad nurodomi ir pažangos priemonių koordinatoriai ir regionų institucijos.</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Siūlytina Metodikoje tikslinti formuluotę „Biudžeto projektas“ (žr., pvz., Metodikos 71, 72 p.). Pastebėtina, kad, pvz., Lietuvos Respublikos biudžeto sandaros įstatymo 17 str. 1 d. vartojama formuluotė „valstybės biudžeto projektas ir savivaldybių biudžetų finansinių rodiklių projektas“. Kita vertus, pvz., Metodikos 142 p.,  vartojama dar viena formuluotė – „Lietuvos Respublikos valstybės biudžeto ir savivaldybių biudžetų finansinių rodiklių projektas“. Taigi, reikėtų Metodikoje vartojamas formuluotes  šiuo aspektu suvienodinti.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4D5BDB" w:rsidP="00551F39">
            <w:pPr>
              <w:rPr>
                <w:sz w:val="20"/>
                <w:szCs w:val="20"/>
              </w:rPr>
            </w:pPr>
            <w:r>
              <w:rPr>
                <w:sz w:val="20"/>
                <w:szCs w:val="20"/>
              </w:rPr>
              <w:t>SVM</w:t>
            </w:r>
            <w:r w:rsidR="00C834EB" w:rsidRPr="00CF0BD9">
              <w:rPr>
                <w:sz w:val="20"/>
                <w:szCs w:val="20"/>
              </w:rPr>
              <w:t xml:space="preserve"> 71 ir 72 punktuose sąvoka "valstybės biudžetas" vartojama taip, kaip ji apibrėžta Biudžeto sandaros įstatymo 2 straipsnio 20 dalyje „Lietuvos Respublikos Seimo (toliau – Seimas) tvirtinamas valstybės biudžeto pajamų ir asignavimų planas biudžetiniams metams.“.</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7.7.</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Suvienodintinos Metodikos 75 ir 77 p. nuostatos dėl atstovų skyrimo (žr., formuluotes „2-3 socialinių ir ekonominių partnerių organizacijų atstovus“ ir „įtraukia ne mažiau kaip 2 socialinių ir ekonominių partnerių atstovus“). Manome, kad abiem atvejais tikslingiausia būtų įtvirtinti nuostatą „ne mažiau kaip 2 socialinių ir ekonominių partnerių organizacijų atstovai“, t. y., kad, esant objektyviam poreikiui, nebūtų ribojamas maksimaliai galimų įtraukti tokių subjektų atstovų skaičius.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Įtraukiama ne mažiau, nei du atstovus, tačiau rekomenduojama įtraukti 2-3, kad per didelis darbo grupės dalyvių skaičius netrukdytų konstruktyviam darbui. Rekomenduojamas maksimalus darbo grupės dalyvių skaičius neturėtų viršyti 15 asmenų. Nesant maksimalaus dalyvių skaičiaus apribojimui, PP valdytojui gali būti sunku atsisakyti įtraukti visus norinčius dalyvauti.</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7.8.</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Siūlytina dar kartą įvertinti kai kuriais atvejais Metodikos sukuriamą bereikalingą administracinę naštą: Metodikos 75.1.4 p. nurodo, kad ne vėliau kaip per 10 darbo dienų iki PP rengimo pradžios PP valdytoja savo interneto svetainėje turi paskelbti PP rengimo darbo grupės planuojamų ir įvykusių susitikimų datas (pastebėtina, kad prieš 10 d. d. nebūtinai bus žinoma kito darbo grupės susitikimo diena); taip pat Metodikos 75.2 p. nustato PP valdytojui pareigą ne tik viešai paskelbti 75.1 p. numatytą informaciją, bet ir ne vėliau kaip per 3 darbo dienas po informacijos paskelbimo dienos pateikti šią informaciją Portfelio valdytojui ir Vyriausybės kanceliarijai. Manytina, kad toks informacijos teikimo dubliavimas nėra niekuo pagrįstas ir pakanka bendro įpareigojimo PP valdytojui viešai skelbti informaciją apie PP rengimą.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Informacija apie PP veiklą skelbiama ir pildoma, jei paaiškėja kitų darbo grupės susitikimo, viešinimo renginių datos ar kita aktuali informacija. Portfelio valdytojas ir LRVK turi būti informuojami siekiant paskelbti apibendrintą informaciją ir esant poreikiui dalyvauti PP ir pažangos priemonės rengimo procesuose.</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7.9.</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Metodikos 78 p. įtvirtinama pareiga į PP darbo grupės posėdžius kviesti institucijas, atsakingas už regioninės plėtros politiką, nacionalinės darbotvarkės kovai su korupcija koordinatorius, horizontaliųjų principų koordinatorius, nacionalinių darbotvarkių koordinatorius, ES teisės aktais nustatytų privalomų rengti planavimo dokumentų koordinatorius. Abejotina, ar kiekvienos PP rengimo atveju būtinas visų išvardintų institucijų atstovų dalyvavimas kiekviename posėdyje. Manytina, kad Metodikos 78 p. turėtų būti nurodoma ne „kviečiamos“, bet „gali būti kviečiamos“.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PP valdytojas nurodytas institucijas dalyvauti PP ir (ar) pažangos priemonės rengime kviečia privalomai. Jei, atsižvelgiant į PP ar pažangos priemonės pobūdį tam tikrų institucijų atstovų dalyvavimas nebus būtinas, įvertinusias visas aplinkybe, minėtos institucijos galės informuoti PP valdytoją, kad PP ar pažangos priemonės rengimo procese nedalyvaus.</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8D713F" w:rsidP="00551F39">
            <w:pPr>
              <w:rPr>
                <w:sz w:val="20"/>
                <w:szCs w:val="20"/>
              </w:rPr>
            </w:pPr>
            <w:r>
              <w:rPr>
                <w:sz w:val="20"/>
                <w:szCs w:val="20"/>
              </w:rPr>
              <w:lastRenderedPageBreak/>
              <w:t>7.10</w:t>
            </w:r>
            <w:r w:rsidR="00C834EB" w:rsidRPr="00CF0BD9">
              <w:rPr>
                <w:sz w:val="20"/>
                <w:szCs w:val="20"/>
              </w:rPr>
              <w:t>.</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Pagal Metodikos 85.3 p. PP valdytojas, pažangos priemonės koordinatorius ar Regionų plėtros taryba kiekvienai veiklai atskirai nustato ir pagrindžia galimus pareiškėjus, projektų atrankos būdus, finansavimo formą, apimtį ir finansavimo šaltinius, įgyvendinimo pradžią ir pabaigą, galimybę prisidėti prie horizontaliųjų principų įgyvendinimo, valstybės pagalbos teikimą, veiksmų įgyvendinimą administruojančias ir juos įgyvendinant dalyvaujančias institucijas. Siūlytina minėtą nuostatą susieti su sąlyga „jeigu taikytina“/„jeigu būtina“, nes gali pareiškėjų ir nebūti, jeigu, pvz., reguliacinę veiklą vykdys pati ministerija.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Išlygos numatytos pažangos priemonės formų instrukcijose.</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8D713F" w:rsidP="00551F39">
            <w:pPr>
              <w:rPr>
                <w:sz w:val="20"/>
                <w:szCs w:val="20"/>
              </w:rPr>
            </w:pPr>
            <w:r>
              <w:rPr>
                <w:sz w:val="20"/>
                <w:szCs w:val="20"/>
              </w:rPr>
              <w:t>7.11</w:t>
            </w:r>
            <w:r w:rsidR="00C834EB" w:rsidRPr="00CF0BD9">
              <w:rPr>
                <w:sz w:val="20"/>
                <w:szCs w:val="20"/>
              </w:rPr>
              <w:t>.</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Metodikos 86 p. numato, kad „Pažangos priemonė negali konkuruoti su kitomis PP ar RPPl priemonėmis, joms prieštarauti arba kurti atvirkštinį efektą“. Siūlytina papildyti Metodikos 86 p. nurodant, kad tai užtikrina Portfelio valdytojas, vertindamas PP pagal Metodikos 69 p. nuostatas, atsižvelgiant į tai, kad SVĮ 11 str. 2 d. numato, kad Portfelio valdytojas prižiūri, jog vykdant nacionalines PP būtų nuosekliai, darniai ir efektyviai įgyvendinami NPP nustatyti strateginiai tikslai ir pažangos uždaviniai.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Pažangos priemonių sinergija yra bendra PP valdytojų, pažangos priemonių koordinatorių ir Portfelio valdytojo atsakomybė. Ministerijos turi dalyvauti darbo grupėse tose PP, kur susijusios sritys ir atsakomybės. Būtent tai yra formatas pasidalinti planais ir susikalibruoti kas ką daro ir kokį poveikį kuria, kaip intervencijos vieną kitą papildo.</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8D713F" w:rsidP="00551F39">
            <w:pPr>
              <w:rPr>
                <w:sz w:val="20"/>
                <w:szCs w:val="20"/>
              </w:rPr>
            </w:pPr>
            <w:r>
              <w:rPr>
                <w:sz w:val="20"/>
                <w:szCs w:val="20"/>
              </w:rPr>
              <w:t>7.12</w:t>
            </w:r>
            <w:r w:rsidR="00642E14" w:rsidRPr="00CF0BD9">
              <w:rPr>
                <w:sz w:val="20"/>
                <w:szCs w:val="20"/>
              </w:rPr>
              <w:t>.</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642E14" w:rsidP="00551F39">
            <w:pPr>
              <w:tabs>
                <w:tab w:val="left" w:pos="993"/>
              </w:tabs>
              <w:rPr>
                <w:sz w:val="20"/>
                <w:szCs w:val="20"/>
              </w:rPr>
            </w:pPr>
            <w:r w:rsidRPr="00CF0BD9">
              <w:rPr>
                <w:sz w:val="20"/>
                <w:szCs w:val="20"/>
              </w:rPr>
              <w:t>Kadangi numatomo teisinio reguliavimo poveikio vertinimo atlikimo pagrindai įtvirtinti Lietuvos Respublikos teisėkūros pagrindų įstatyme ir jiems esant numatomo teisinio reguliavimo poveikio vertinimas turi būti atliekamas, kaip perteklinio siūlytina atsisakyti Metodikos 124 p.</w:t>
            </w:r>
            <w:bookmarkStart w:id="0" w:name="_GoBack"/>
            <w:bookmarkEnd w:id="0"/>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Tam tikri vertinimo reikalavimai įtvirtinti ir investicinėms ar komunikacinėms veikloms. SVM šie vertinimai nurodomi siekiant atskirti skirtingus PP valdytojo ar pažangos priemonės koordinatoriaus veiksmus, įgyvendinant (planuojant) skirtingo pobūdžio veiklas.</w:t>
            </w:r>
          </w:p>
        </w:tc>
      </w:tr>
      <w:tr w:rsidR="009E2EA0" w:rsidRPr="00CF0BD9" w:rsidTr="00551F39">
        <w:trPr>
          <w:trHeight w:val="415"/>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9E2EA0" w:rsidRPr="00CF0BD9" w:rsidRDefault="00642E14" w:rsidP="00551F39">
            <w:pPr>
              <w:rPr>
                <w:b/>
                <w:sz w:val="20"/>
                <w:szCs w:val="20"/>
              </w:rPr>
            </w:pPr>
            <w:r w:rsidRPr="00CF0BD9">
              <w:rPr>
                <w:b/>
                <w:sz w:val="20"/>
                <w:szCs w:val="20"/>
              </w:rPr>
              <w:t>8. Lietuvos Respublikos užsienio reikalų ministerija</w:t>
            </w:r>
          </w:p>
        </w:tc>
      </w:tr>
      <w:tr w:rsidR="009E2EA0"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E2EA0" w:rsidRPr="00CF0BD9" w:rsidRDefault="00642E14" w:rsidP="00551F39">
            <w:pPr>
              <w:rPr>
                <w:sz w:val="20"/>
                <w:szCs w:val="20"/>
              </w:rPr>
            </w:pPr>
            <w:r w:rsidRPr="00CF0BD9">
              <w:rPr>
                <w:sz w:val="20"/>
                <w:szCs w:val="20"/>
              </w:rPr>
              <w:t>8.1.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5C5D74" w:rsidRPr="00CF0BD9" w:rsidRDefault="00642E14" w:rsidP="00551F39">
            <w:pPr>
              <w:tabs>
                <w:tab w:val="left" w:pos="993"/>
              </w:tabs>
              <w:rPr>
                <w:sz w:val="20"/>
                <w:szCs w:val="20"/>
              </w:rPr>
            </w:pPr>
            <w:r w:rsidRPr="00CF0BD9">
              <w:rPr>
                <w:sz w:val="20"/>
                <w:szCs w:val="20"/>
              </w:rPr>
              <w:t>Strateginio valdymo metodikos (toliau – Metodika) II skyriaus 40 punkte minima, kad nacionalinio pažangos plano (toliau – NPP) rengimo koncepcijoje turi būti pagrindžiamas NPP rengimo poreikis. Tačiau to paties skyriaus 22 punkte minima, kad Valstybės pažangos strategijai įgyvendinti rengiamas NPP. Atsižvelgdami į tai, manome, kad NPP rengimo koncepcijoje pagrįsti NPP rengimo poreikį yra perteklinė nuostata.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352D62" w:rsidRPr="00CF0BD9" w:rsidRDefault="00642E14" w:rsidP="00551F39">
            <w:pPr>
              <w:rPr>
                <w:sz w:val="20"/>
                <w:szCs w:val="20"/>
              </w:rPr>
            </w:pPr>
            <w:r w:rsidRPr="00CF0BD9">
              <w:rPr>
                <w:sz w:val="20"/>
                <w:szCs w:val="20"/>
              </w:rPr>
              <w:t>NPP naujas gali būti rengiamas anksčiau nei numatyta ir tokiu atveju tikslas ir priežastis kodėl tai reikalinga, turi būti nurodyta ir pagrįsta.</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74.1.4 papunktyje siūlome papildyti informacijos šaltinius  - atitinkamos srities ekspertų, tikslinių grupių ekspertų išvadomis;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 xml:space="preserve">Pasiūlymas galimai prieštarauja </w:t>
            </w:r>
            <w:r w:rsidR="00AB5EA4">
              <w:rPr>
                <w:sz w:val="20"/>
                <w:szCs w:val="20"/>
              </w:rPr>
              <w:t>SVĮ</w:t>
            </w:r>
            <w:r w:rsidRPr="00CF0BD9">
              <w:rPr>
                <w:sz w:val="20"/>
                <w:szCs w:val="20"/>
              </w:rPr>
              <w:t xml:space="preserve"> įtvirtintam rodymais grįsto valdymo principui.</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74.3.4 papunktyje siūlome apibrėžti pažangos priemonės koordinatoriaus sąvoką;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 xml:space="preserve">Pažangos priemonės koordinatoriaus sąvoka apibrėžta tolimesniuose </w:t>
            </w:r>
            <w:r w:rsidR="004D5BDB">
              <w:rPr>
                <w:sz w:val="20"/>
                <w:szCs w:val="20"/>
              </w:rPr>
              <w:t>SVM</w:t>
            </w:r>
            <w:r w:rsidRPr="00CF0BD9">
              <w:rPr>
                <w:sz w:val="20"/>
                <w:szCs w:val="20"/>
              </w:rPr>
              <w:t xml:space="preserve"> punktuose.</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75 punkte siūlome neįvardyti socialinių ekonominių partnerių organizacijų skaičiaus, ta pati pastaba taikytina ir 77 punktui. Manome, kad socialinių ekonominių partnerių skaičius priklauso nuo svarstomo klausimo, aptariamos problemos aktualumo, todėl apibrėžti konkretaus socialinių ekonominių partnerių skaičiaus nėra tikslinga;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Į PP rengimo darbo grupės veiklą įtraukiama ne mažiau, nei du atstovus, tačiau rekomenduojama įtraukti 2-3, kad per didelis darbo grupės dalyvių skaičius netrukdytų konstruktyviam darbui. Rekomenduojamas maksimalus darbo grupės dalyvių skaičius neturėtų viršyti 15 asmenų.</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 xml:space="preserve">75.4 papunktyje teigiama, kad plėtros programų valdytojas sudaro plėtros programų darbo </w:t>
            </w:r>
            <w:proofErr w:type="spellStart"/>
            <w:r w:rsidRPr="00CF0BD9">
              <w:rPr>
                <w:sz w:val="20"/>
                <w:szCs w:val="20"/>
              </w:rPr>
              <w:t>gupę</w:t>
            </w:r>
            <w:proofErr w:type="spellEnd"/>
            <w:r w:rsidRPr="00CF0BD9">
              <w:rPr>
                <w:sz w:val="20"/>
                <w:szCs w:val="20"/>
              </w:rPr>
              <w:t>, kurios veikloje kviečiami dalyvauti atitinkamą NPP pažangos uždavinį įgyvendinantys dalyvaujančių institucijų atstovai. Atsižvelgdami į Finansų ministerijos rekomendacijas sudaryti kiekvienam uždaviniui atskirą darbo grupę ir dėl šios rekomendacijos taikymo sulaukę  prieštaringo kai kurių institucijų vertinimo, manome, kad ši rekomendacija turėtų būti įtvirtinta Strateginio valdymo metodikos (toliau – Metodikos) nuostatose;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Darbo grupės sudarymo formatas priklauso nuo konkrečių uždavinių specifikos, tarpusavio sąsajų, jų (</w:t>
            </w:r>
            <w:proofErr w:type="spellStart"/>
            <w:r w:rsidRPr="00CF0BD9">
              <w:rPr>
                <w:sz w:val="20"/>
                <w:szCs w:val="20"/>
              </w:rPr>
              <w:t>ne)įtraukimo</w:t>
            </w:r>
            <w:proofErr w:type="spellEnd"/>
            <w:r w:rsidRPr="00CF0BD9">
              <w:rPr>
                <w:sz w:val="20"/>
                <w:szCs w:val="20"/>
              </w:rPr>
              <w:t xml:space="preserve"> į vieną PP, todėl griežtas darbo grupių sudarymo reglamentavimas SVM netikslingas ir perteklinis.</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lastRenderedPageBreak/>
              <w:t>8.6.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Metodikos 85.2 papunktyje aptariamos priemonių alternatyvų, sąnaudų ir naudų analizės, nurodomi atvejai, kada alternatyvos nevertinamos. Siūlome šiame punkte apibrėžti Vyriausybės programos įgyvendinimo priemonių plane patvirtintas priemones. Manome, kad joms turėtų būti taikomos išimtys ir alternatyvos neatliekamos;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Į Vyriausybės programos įgyvendinamų priemonių sąrašą turi būti įtraukiami projektai (veiklos, priemonės) suplanuoti nacionalinėse PP (nepriklausomai nuo pereinamuoju SVĮ įgyvendinimo laikotarpiu įvykusių procesų).</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8.7.</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240 punkte teigiama, kad Portfelio valdytojas į stebėsenos informacinę sistemą suveda ketvirtinių stebėsenos duomenų pagrindu ir iš nacionalinių plėtros programų valdytojų gautos inf</w:t>
            </w:r>
            <w:r w:rsidR="00FB5CBF">
              <w:rPr>
                <w:sz w:val="20"/>
                <w:szCs w:val="20"/>
              </w:rPr>
              <w:t>o</w:t>
            </w:r>
            <w:r w:rsidRPr="00CF0BD9">
              <w:rPr>
                <w:sz w:val="20"/>
                <w:szCs w:val="20"/>
              </w:rPr>
              <w:t>rmacijos apie nacionalinių plėtros programų įgyvendinimo būklę pagrindu. Atkreipiame dėmesį, kad kai kurie stebėsenos rodikliai yra metiniai, todėl negalės būti apskaičiuojami kas ketvirtį. Atsižvelgiant į tai, turėtų būti koreguojama šio punkto formuluotė. Ta pati pastaba taikytina ir 243 punktui;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Vietoje, kurioje kalbama apie asignavimų valdytojų ketvirtinių duomenų suvedimą į SIS, yra nustatyta, kad informacija apie stebėsenos rodiklių, kurių neįmanoma apskaičiuoti kiekvieną ketvirtį, pasiekimą pateikiama atsižvelgiant į duomenų gavimo terminus. Manome, kad šią nuostatą kartoti kelis kartus netikslinga.</w:t>
            </w:r>
          </w:p>
        </w:tc>
      </w:tr>
      <w:tr w:rsidR="00042751" w:rsidRPr="00CF0BD9" w:rsidTr="00551F39">
        <w:trPr>
          <w:trHeight w:val="429"/>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042751" w:rsidRPr="00CF0BD9" w:rsidRDefault="00642E14" w:rsidP="00551F39">
            <w:pPr>
              <w:rPr>
                <w:b/>
                <w:sz w:val="20"/>
                <w:szCs w:val="20"/>
              </w:rPr>
            </w:pPr>
            <w:r w:rsidRPr="00CF0BD9">
              <w:rPr>
                <w:b/>
                <w:sz w:val="20"/>
                <w:szCs w:val="20"/>
              </w:rPr>
              <w:t>9. Vidaus reikalų ministerija</w:t>
            </w:r>
          </w:p>
        </w:tc>
      </w:tr>
      <w:tr w:rsidR="0004275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42751" w:rsidRPr="00CF0BD9" w:rsidRDefault="00642E14" w:rsidP="00551F39">
            <w:pPr>
              <w:rPr>
                <w:sz w:val="20"/>
                <w:szCs w:val="20"/>
              </w:rPr>
            </w:pPr>
            <w:r w:rsidRPr="00CF0BD9">
              <w:rPr>
                <w:sz w:val="20"/>
                <w:szCs w:val="20"/>
              </w:rPr>
              <w:t>9.1.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042751" w:rsidRPr="00CF0BD9" w:rsidRDefault="00642E14" w:rsidP="00551F39">
            <w:pPr>
              <w:tabs>
                <w:tab w:val="left" w:pos="993"/>
              </w:tabs>
              <w:rPr>
                <w:sz w:val="20"/>
                <w:szCs w:val="20"/>
              </w:rPr>
            </w:pPr>
            <w:r w:rsidRPr="00CF0BD9">
              <w:rPr>
                <w:sz w:val="20"/>
                <w:szCs w:val="20"/>
              </w:rPr>
              <w:t>Nutarimo projekto 3.5 papunktyje nustatoma, kad iki 2021 m. sausio 1 d. vadovaujantis Ateities ekonomikos DNR veiksmų ir projektų įgyvendinimo tvarkos aprašu patvirtinti veiksmai ir (arba) projektai perkeliami į nacionalinę plėtros programą, nurodant priemonę, pagal kurią bus tęsiamas jų įgyvendinimas. Iš pateiktos formuluotės nėra aišku, į kurią nacionalinę plėtros programą šie projektai bus perkelti. Siūlome patikslinti.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5C5D74" w:rsidRPr="00CF0BD9" w:rsidRDefault="00642E14" w:rsidP="00551F39">
            <w:pPr>
              <w:rPr>
                <w:sz w:val="20"/>
                <w:szCs w:val="20"/>
              </w:rPr>
            </w:pPr>
            <w:r w:rsidRPr="00CF0BD9">
              <w:rPr>
                <w:sz w:val="20"/>
                <w:szCs w:val="20"/>
              </w:rPr>
              <w:t>Tik konkrečios PP valdytojas gali nustatyti kokios PP ir pažangos priemonės apimtyje bus įgyvendinamas konkretus veiksmas ar projektas.</w:t>
            </w:r>
          </w:p>
        </w:tc>
      </w:tr>
      <w:tr w:rsidR="0004275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42751" w:rsidRPr="00CF0BD9" w:rsidRDefault="00642E14" w:rsidP="00551F39">
            <w:pPr>
              <w:rPr>
                <w:sz w:val="20"/>
                <w:szCs w:val="20"/>
              </w:rPr>
            </w:pPr>
            <w:r w:rsidRPr="00CF0BD9">
              <w:rPr>
                <w:sz w:val="20"/>
                <w:szCs w:val="20"/>
              </w:rPr>
              <w:t>9.2.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042751" w:rsidRPr="00CF0BD9" w:rsidRDefault="00642E14" w:rsidP="00551F39">
            <w:pPr>
              <w:tabs>
                <w:tab w:val="left" w:pos="993"/>
              </w:tabs>
              <w:rPr>
                <w:sz w:val="20"/>
                <w:szCs w:val="20"/>
              </w:rPr>
            </w:pPr>
            <w:r w:rsidRPr="00CF0BD9">
              <w:rPr>
                <w:sz w:val="20"/>
                <w:szCs w:val="20"/>
              </w:rPr>
              <w:t>Metodikoje vartojamos sąvokos, kurios nėra apibrėžtos nei SVĮ ar kituose Metodikos 2.7 papunktyje nurodytuose teisės aktuose, nei Metodikoje, (pvz.: Metodikos II–IV skyriuose sąvokos ,,priemonė“, ,,veikla“, ,,veiksmas“, ,,stebėsenos rodikliai“, ,,pažangos programa“), taip pat neaiškus nurodytų sąvokų ryšys (santykis) su SVĮ apibrėžtomis sąvokomis (pvz.: ,,pažangos priemonė“ su ,,priemonė“; ,,pažangos veikla“ ir ,,projektas“ su ,,veikla“ ir ,,veiksmas“; ,,poveikio rodiklis“, ,,rezultato rodiklis“, ,,produkto rodiklis“ su ,,stebėsenos rodiklis“). Peržiūrėtinas ir sąvokų ,,nacionalinė PP“ ir ,,PP“ vartojimas, nes esama atvejų, kai ,,PP“ vartojama ten, kur pagal savo esmę turėtų būti ,,nacionalinė PP“ (pvz., Metodikos 85 punkte).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042751" w:rsidRPr="00CF0BD9" w:rsidRDefault="00642E14" w:rsidP="00551F39">
            <w:pPr>
              <w:rPr>
                <w:b/>
                <w:sz w:val="20"/>
                <w:szCs w:val="20"/>
              </w:rPr>
            </w:pPr>
            <w:r w:rsidRPr="00CF0BD9">
              <w:rPr>
                <w:b/>
                <w:sz w:val="20"/>
                <w:szCs w:val="20"/>
              </w:rPr>
              <w:t>Atsižvelgta iš dalies.</w:t>
            </w:r>
          </w:p>
          <w:p w:rsidR="00642E14" w:rsidRPr="00CF0BD9" w:rsidRDefault="00642E14" w:rsidP="00551F39">
            <w:pPr>
              <w:rPr>
                <w:sz w:val="20"/>
                <w:szCs w:val="20"/>
              </w:rPr>
            </w:pPr>
            <w:r w:rsidRPr="00CF0BD9">
              <w:rPr>
                <w:sz w:val="20"/>
                <w:szCs w:val="20"/>
              </w:rPr>
              <w:t>Patikslintas sąvokų vartojimas (kur tikslinga).</w:t>
            </w:r>
          </w:p>
        </w:tc>
      </w:tr>
      <w:tr w:rsidR="0004275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42751" w:rsidRPr="00CF0BD9" w:rsidRDefault="00642E14" w:rsidP="00551F39">
            <w:pPr>
              <w:rPr>
                <w:sz w:val="20"/>
                <w:szCs w:val="20"/>
              </w:rPr>
            </w:pPr>
            <w:r w:rsidRPr="00CF0BD9">
              <w:rPr>
                <w:sz w:val="20"/>
                <w:szCs w:val="20"/>
              </w:rPr>
              <w:t>9.3.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 xml:space="preserve">Metodikos 48 punkte nustatoma, kad „NPP komitetas prižiūri PP, pažangos priemonių ir RPP įgyvendinimą“. </w:t>
            </w:r>
          </w:p>
          <w:p w:rsidR="00642E14" w:rsidRPr="00CF0BD9" w:rsidRDefault="00642E14" w:rsidP="00551F39">
            <w:pPr>
              <w:tabs>
                <w:tab w:val="left" w:pos="993"/>
              </w:tabs>
              <w:rPr>
                <w:sz w:val="20"/>
                <w:szCs w:val="20"/>
              </w:rPr>
            </w:pPr>
            <w:r w:rsidRPr="00CF0BD9">
              <w:rPr>
                <w:sz w:val="20"/>
                <w:szCs w:val="20"/>
              </w:rPr>
              <w:t>Pažymėtina, kad SVĮ 17 straipsnio 3 dalyje nustatyta, kad atskirų nacionalinių plėtros programų įgyvendinimą organizuoja, kontroliuoja nacionalines plėtros programas rengusios ministerijos ir Vyriausybės kanceliarija, įgyvendinimą koordinuoja Vyriausybė. Regioninės plėtros įstatymo 10 straipsnio 1 dalies 1 punkte nustatyta, kad Lietuvos Respublikos vidaus reikalų ministerija, formuodama nacionalinę regioninę politiką, organizuodama, koordinuodama ir kontroliuodama nacionalinės regioninės politikos įgyvendinimą, rengia Regionų plėtros programą, koordinuoja ir kontroliuoja jos įgyvendinimą.</w:t>
            </w:r>
          </w:p>
          <w:p w:rsidR="00042751" w:rsidRPr="00CF0BD9" w:rsidRDefault="00642E14" w:rsidP="00551F39">
            <w:pPr>
              <w:tabs>
                <w:tab w:val="left" w:pos="993"/>
              </w:tabs>
              <w:rPr>
                <w:sz w:val="20"/>
                <w:szCs w:val="20"/>
              </w:rPr>
            </w:pPr>
            <w:r w:rsidRPr="00CF0BD9">
              <w:rPr>
                <w:sz w:val="20"/>
                <w:szCs w:val="20"/>
              </w:rPr>
              <w:t>Taigi, manome, kad minėtoji Metodikos nuostata ta apimtimi, kiek joje nustatoma, kad NPP prižiūri nacionalinių plėtros programų ir Regionų plėtros programos įgyvendinimą, dubliuoja įstatymais ministerijoms nustatytas funkcijas, susijusias su nacionalinių PP ir RPP įgyvendinimo priežiūra ir kontrole, ir prieštarauja Metodikos 46 punktui, kuris nustato, kad NPP priežiūros komitetas sudaromas NPP įgyvendinimui koordinuoti ir priežiūrai vykdyti.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C5057" w:rsidRPr="00CF0BD9" w:rsidRDefault="00642E14" w:rsidP="00551F39">
            <w:pPr>
              <w:rPr>
                <w:b/>
                <w:sz w:val="20"/>
                <w:szCs w:val="20"/>
              </w:rPr>
            </w:pPr>
            <w:r w:rsidRPr="00CF0BD9">
              <w:rPr>
                <w:b/>
                <w:sz w:val="20"/>
                <w:szCs w:val="20"/>
              </w:rPr>
              <w:t>Neatsižvelgta.</w:t>
            </w:r>
          </w:p>
          <w:p w:rsidR="00642E14" w:rsidRPr="00CF0BD9" w:rsidRDefault="00642E14" w:rsidP="00551F39">
            <w:pPr>
              <w:rPr>
                <w:color w:val="FF0000"/>
                <w:sz w:val="20"/>
                <w:szCs w:val="20"/>
              </w:rPr>
            </w:pPr>
            <w:r w:rsidRPr="00CF0BD9">
              <w:rPr>
                <w:sz w:val="20"/>
                <w:szCs w:val="20"/>
              </w:rPr>
              <w:t xml:space="preserve">Pažymime, kad NPP komitetas yra kolegialus organas užtikrinantis partnerystės principo įgyvendinimą, kuris neturi įtakos atsakingų įstaigų funkcijų. Taip pat, pažymime, kad visos Strateginio planavimo pertvarkos vienas iš svarbiausių tikslų yra 3 valstybėje egzistuojančių planavimo sistemų (strateginio, regioninio ir teritorinio/erdvinio) integracija, siekiant kryptingos valstybės pažangos. Atkreipiame dėmesį, kad </w:t>
            </w:r>
            <w:r w:rsidR="00AB5EA4">
              <w:rPr>
                <w:sz w:val="20"/>
                <w:szCs w:val="20"/>
              </w:rPr>
              <w:t>SVĮ</w:t>
            </w:r>
            <w:r w:rsidRPr="00CF0BD9">
              <w:rPr>
                <w:sz w:val="20"/>
                <w:szCs w:val="20"/>
              </w:rPr>
              <w:t xml:space="preserve"> yra specialusis visus strateginio planavimo ir valdymo procesus reglamentuojantis įstatymas, kuris taikomas visiems planavimo subjektams, įskaitant RPT ir savivaldybes. Atsižvelgiant į teisės aktų nesuderinamumą, siūlome VRM inicijuoti atitinkamą  RPĮ nuostatų keitimą.</w:t>
            </w:r>
          </w:p>
        </w:tc>
      </w:tr>
      <w:tr w:rsidR="0004275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42751" w:rsidRPr="00CF0BD9" w:rsidRDefault="00642E14" w:rsidP="00551F39">
            <w:pPr>
              <w:rPr>
                <w:sz w:val="20"/>
                <w:szCs w:val="20"/>
              </w:rPr>
            </w:pPr>
            <w:r w:rsidRPr="00CF0BD9">
              <w:rPr>
                <w:sz w:val="20"/>
                <w:szCs w:val="20"/>
              </w:rPr>
              <w:t>9.4.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042751" w:rsidRPr="00CF0BD9" w:rsidRDefault="00642E14" w:rsidP="00551F39">
            <w:pPr>
              <w:tabs>
                <w:tab w:val="left" w:pos="993"/>
              </w:tabs>
              <w:rPr>
                <w:sz w:val="20"/>
                <w:szCs w:val="20"/>
              </w:rPr>
            </w:pPr>
            <w:r w:rsidRPr="00CF0BD9">
              <w:rPr>
                <w:sz w:val="20"/>
                <w:szCs w:val="20"/>
              </w:rPr>
              <w:t>Tikslintinas Metodikos 71 punktas, nes iš jo nuostatų neaišku, kokiame dokumente ir kada nacionalinių PP valdytojai planuoja valstybės biudžeto lėšų poreikį 3 ateinantiems metams.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042751" w:rsidRPr="00CF0BD9" w:rsidRDefault="00642E14" w:rsidP="00551F39">
            <w:pPr>
              <w:rPr>
                <w:sz w:val="20"/>
                <w:szCs w:val="20"/>
              </w:rPr>
            </w:pPr>
            <w:r w:rsidRPr="00CF0BD9">
              <w:rPr>
                <w:sz w:val="20"/>
                <w:szCs w:val="20"/>
              </w:rPr>
              <w:t>Plėtros programoje nurodoma  bendra lėšų poreikio suma, išvardinami finansavimo šaltiniai. O lėšų poreikis pamečiui planuojamas plėtros programos priemonės formoje.</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lastRenderedPageBreak/>
              <w:t>9.5.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Pagal Metodikos 74 punktą, PP rengiamas pagal Metodikos 3 priede pateikiamą formą, tačiau, pagal Metodikos 74.4 papunktį, sudėtine PP dalimi nurodomas PP pagrindimas, rengiamas pagal Metodikos 4 priedą. Neaišku, ar PP pagrindimas yra sudėtinė PP dalis; jei taip, siūlome sujungti abi formas. Taip pat vienodintinas Metodikos 74 punkte ir Metodikos 3 priede pateikiamoje formoje nustatomas turinys.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PP pagrindimas yra sudėtinė PP dalis, kadangi be pagrindime pateikiamos problemų ir jų priežasčių analizės, PP būtų tik tezių rinkinys. Šių formų sujungti neplanuojama dėl didelės PP pagrindimo apimties. Tokį dokumentą tvirtinti LRV nutarimu būtų sudėtinga, nes LRV nutarimai turi būti peržiūrėti teisės specialistų ir kalbos redaktorių, o tai labai apsunkintų PP tvirtinimo procesą. PP pagrindimo informacijos teisingumas yra ministerijos atsakomybė, bet jis bus viešai skelbiamas kartu su patvirtinta PP.</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Pagal SVĮ 7 straipsnio 1 punktą, plėtros programoje turi būti nurodomos preliminarios atskiram Nacionalinio pažangos plano uždaviniui arba susijusiems uždaviniams įgyvendinti reikalingos pažangos lėšos, o regionų plėtros programoje – preliminarios reikalingos pažangos lėšos regionams. Todėl Metodika tikslintina (pvz., 69.3, 69.4, 83.4 papunkčiai ir 73, 74 punktai), nustatant, kad PP ir RPP yra nurodomos ne finansinės projekcijos, o pažangos lėšos, t. y. finansiniai ištekliai, išreikšti absoliučiais skaičiais, taip pat atitinkamai tikslintinos Metodikos prieduose pateikiamos planavimo dokumentų formos.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Nepritariame pakeitimui, nes PP nustatomas indikatyvus biudžetas visam PP laikotarpiui, o konkrečių PP priemonių finansavimui skirti Biudžeto asignavimai aptariami Biudžeto derybų metu.</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9.7.</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Atsižvelgdami į tai, kad Metodikos II skirsnio dalyje ,,Pažangos priemonių rengimas“ yra reglamentuojami ir RPPl pažangos priemonių rengimo klausimai, siūlome, siekiant teisinio reglamentavimo nuoseklumo ir aiškumo, nurodytą dalį dėstyti po dalių, kuriose reglamentuojamas RPP ir RPPl rengimas.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Projektas suderintas su Finansų ministerijos teisės departamentu, manome, kad toks perkėlimas netikslingas.</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9.8.</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Siūlome apibrėžti Metodikos 85 punkte vartojamas sąvokas „pažangos priemonės rengėjas“ ir „pažangos priemonės koordinatorius“ .</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Priemonės koordinatoriaus funkcijos apibrėžtos SVM 80-81 punktuose ir vėlesniuose punktuose dar detalizuojamos, todėl atskiros sąvokos įvedimas nėra tikslingas. Priemonės rengėjas - priemonę rengi</w:t>
            </w:r>
            <w:r w:rsidR="00AB5EA4">
              <w:rPr>
                <w:sz w:val="20"/>
                <w:szCs w:val="20"/>
              </w:rPr>
              <w:t>antis subjektas. Sąvokos įvedim</w:t>
            </w:r>
            <w:r w:rsidRPr="00CF0BD9">
              <w:rPr>
                <w:sz w:val="20"/>
                <w:szCs w:val="20"/>
              </w:rPr>
              <w:t>as yra perteklinis.</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9.9.</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Siekiant aiškumo, siūlome tikslinti 85.2 papunktį: skliausteliuose pateikiamą nuostatą perkelti į pirmą nurodyto papunkčio sakinį ir jį išdėstyti taip: ,,(alternatyvos gali būti nevertinamos, kai konkretų priemonės ar jos veiklų įgyvendinimo būdą nustato ES direktyvos ir (arba) reglamentai, kurių nuostatos perkeliamos)“.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Projektas suderintas su Finansų ministerijos teisės departamentu, manome, kad toks perkėlimas netikslingas.</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9.10.</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Siūlome patikslinti 85.3 papunktį nustatant, kad tik kiekvienai veiklai, kurios tipas – investicinė veikla, turi būti nustatomi ir pagrindžiami galimi pareiškėjai, projektų atrankos būdai, finansavimo formos, apimtis ir finansavimo šaltiniai.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Tiek komunikacinės, tiek analitinės, tiek mišrios veiklos gali būti įgyvendinamos pasinaudojant konkurso teikiamais privalumais. Jei informacijos dėl objektyvių priežasčių atskirais atvejais neįmanoma nurodyti, tai ir pažymima, nurodant pvz. „netaikoma“.</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9.11.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Siūlome Metodikos 85.4 papunktyje ,,stebėsenos rodiklius“ keisti į ,,produkto rodiklius“.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Pažangos priemonėse nurodomi rezultato ir produkto rodikliai. Stebėsenos rodikliai suprantami plačiąja prasme. Juos sudaro ir poveikio rodikliai, ir rezultato rodikliai, ir produkto rodikliai.</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736DD6" w:rsidP="00551F39">
            <w:pPr>
              <w:rPr>
                <w:sz w:val="20"/>
                <w:szCs w:val="20"/>
              </w:rPr>
            </w:pPr>
            <w:r w:rsidRPr="00CF0BD9">
              <w:rPr>
                <w:sz w:val="20"/>
                <w:szCs w:val="20"/>
              </w:rPr>
              <w:t>9.12.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736DD6" w:rsidP="00551F39">
            <w:pPr>
              <w:tabs>
                <w:tab w:val="left" w:pos="993"/>
              </w:tabs>
              <w:rPr>
                <w:sz w:val="20"/>
                <w:szCs w:val="20"/>
              </w:rPr>
            </w:pPr>
            <w:r w:rsidRPr="00CF0BD9">
              <w:rPr>
                <w:sz w:val="20"/>
                <w:szCs w:val="20"/>
              </w:rPr>
              <w:t xml:space="preserve">Dabar galiojančiame Vyriausybės programos nuostatų įgyvendinimo plane ir Metodikoje nenumatyta, kad, rengiant naują Vyriausybės programos nuostatų įgyvendinimo planą, turėtų būti numatyti konkretūs projektai. Manytina, kad 112.2 papunktyje žodis „numatytais“ keistinas žodžiu „numatytų“, taip įtvirtinant privalomą tokių projektų strateginę atitiktį ir paskirtį įgyvendinti Vyriausybės programos nuostatų įgyvendinimo plane numatytiems Vyriausybės veiklos prioritetams. Metodikos 112.2 papunktį siūlome išdėstyti taip: „112.2 Vyriausybės programos nuostatų įgyvendinimo plane numatytų Vyriausybės veiklos prioritetų </w:t>
            </w:r>
            <w:r w:rsidRPr="00CF0BD9">
              <w:rPr>
                <w:sz w:val="20"/>
                <w:szCs w:val="20"/>
              </w:rPr>
              <w:lastRenderedPageBreak/>
              <w:t>įgyvendinimo projektais“.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lastRenderedPageBreak/>
              <w:t>Neatsižvelgta.</w:t>
            </w:r>
          </w:p>
          <w:p w:rsidR="00642E14" w:rsidRPr="00CF0BD9" w:rsidRDefault="00736DD6" w:rsidP="00551F39">
            <w:pPr>
              <w:rPr>
                <w:sz w:val="20"/>
                <w:szCs w:val="20"/>
              </w:rPr>
            </w:pPr>
            <w:r w:rsidRPr="00CF0BD9">
              <w:rPr>
                <w:sz w:val="20"/>
                <w:szCs w:val="20"/>
              </w:rPr>
              <w:t>Projektas suderintas su Finansų ministerijos teisės departamentu ir kalbos redaktorėmis, manome, kad toks perkėlimas netikslingas.</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lastRenderedPageBreak/>
              <w:t>9.13.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Siūlome taisyti Metodikos 122.2 papunktį šiais aspektais: 1) projektų planavimo būdas gali būti taikomas ne tik projektams, kuriais įgyvendinamos PP pažangos priemonės, bet ir RPPl pažangos priemones įgyvendinantiems projektams; 2) projektų planavimo būdas taikytinas Metodikos 112 punkte nustatytus kriterijus atitinkantiems projektams (t. y. valstybei svarbiems projektams ir regioninės svarbos projektams).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122.2 p. nurodomi projektų atrankos būdai </w:t>
            </w:r>
            <w:r w:rsidR="004D5BDB">
              <w:rPr>
                <w:sz w:val="20"/>
                <w:szCs w:val="20"/>
              </w:rPr>
              <w:t>–</w:t>
            </w:r>
            <w:r w:rsidRPr="00CF0BD9">
              <w:rPr>
                <w:sz w:val="20"/>
                <w:szCs w:val="20"/>
              </w:rPr>
              <w:t xml:space="preserve"> konkurso ir planavimo būdu. Regionų projektai taip pat atrenkami arba konkurso arba planavimo būdu.</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9.14.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Manome, kad Metodikoje nustatytas pernelyg painus, sudėtingas priemonių kodavimas bei grupavimas. Nėra griežto priemonių atskyrimo pagal uždavinius. Tęstinė priemonė turėtų būti tęstinės veiklos uždavinyje, o tai, kad, vadovaujantis Metodikos 162 punktu „Kai tęstinės veiklos priemonės yra tiesiogiai susijusios su pažangos priemonėmis, šios tęstinės veiklos priemonės funkcijų vykdymo programoje yra priskiriamos atitinkamiems pažangos uždaviniams“, leidžiama tęstines priemones priskirti prie pažangos uždavinių, sukelia veiklų ir priemonių painiavą, dėl ko galimos klaidos nurodant teisingas tęstinių ir pažangos veiklų proporcijas SVP 4 lentelėje. Siūlytume mažinti suminių eilučių (bendrų / pažangos / tęstinių) skaičių. Jei tęstinės priemonės nebūtų painiojamos tarp uždavinių, tai ir perteklinio suminių eilučių poreikio lentelėje nebūtų. Uždaviniuose jau būtų automatiškai susumuotos pažangos ir tęstinės lėšos. Manome, kad priemonės kode reikalavimas nurodyti NPP uždavinio kodą yra perteklinis. Siūlytume tai nurodyti paskutiniame 4 lentelės stulpelyje, nes tęstinėms priemonėms, kurių tikėtina bus daugiausia, NPP uždavinio kodai nenurodomi, bet atsiranda papildomi / pertekliniai „00“ ženklai.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Griežto priemonių atskyrimo pagal uždavinius buvo nuspręsta atsisakyti tam, kad su pažangos priemonėmis tiesiogiai susijusioms tęstinės veiklos priemonėms (pavyzdžiui, kai tęstinės veiklos priemonė skirta esamos situacijos palaikymui, o pažangos priemonė </w:t>
            </w:r>
            <w:r w:rsidR="00AB5EA4">
              <w:rPr>
                <w:sz w:val="20"/>
                <w:szCs w:val="20"/>
              </w:rPr>
              <w:t>–</w:t>
            </w:r>
            <w:r w:rsidRPr="00CF0BD9">
              <w:rPr>
                <w:sz w:val="20"/>
                <w:szCs w:val="20"/>
              </w:rPr>
              <w:t xml:space="preserve"> šios situacijos pagerinimui) nebūtų dirbtinai kuriami tęstinės veiklos uždaviniai ir atitinkamai </w:t>
            </w:r>
            <w:r w:rsidR="00AB5EA4">
              <w:rPr>
                <w:sz w:val="20"/>
                <w:szCs w:val="20"/>
              </w:rPr>
              <w:t>–</w:t>
            </w:r>
            <w:r w:rsidRPr="00CF0BD9">
              <w:rPr>
                <w:sz w:val="20"/>
                <w:szCs w:val="20"/>
              </w:rPr>
              <w:t xml:space="preserve"> nebūtų netikslingai didinimas programų elementų skaičius, kuriam dar reikėtų nustatyti stebėsenos rodiklį ir atsiskaityti už jo įgyvendinimą.</w:t>
            </w:r>
          </w:p>
          <w:p w:rsidR="00736DD6" w:rsidRPr="00CF0BD9" w:rsidRDefault="00AB5EA4" w:rsidP="00551F39">
            <w:pPr>
              <w:rPr>
                <w:sz w:val="20"/>
                <w:szCs w:val="20"/>
              </w:rPr>
            </w:pPr>
            <w:r>
              <w:rPr>
                <w:sz w:val="20"/>
                <w:szCs w:val="20"/>
              </w:rPr>
              <w:t>Atkreipiame dėme</w:t>
            </w:r>
            <w:r w:rsidR="00736DD6" w:rsidRPr="00CF0BD9">
              <w:rPr>
                <w:sz w:val="20"/>
                <w:szCs w:val="20"/>
              </w:rPr>
              <w:t xml:space="preserve">sį, kad suminės eilutės (pažangos ir tęstinių priemonių) pildomos tik pagal priemones </w:t>
            </w:r>
            <w:r w:rsidR="00943269">
              <w:rPr>
                <w:sz w:val="20"/>
                <w:szCs w:val="20"/>
              </w:rPr>
              <w:t>–</w:t>
            </w:r>
            <w:r w:rsidR="00736DD6" w:rsidRPr="00CF0BD9">
              <w:rPr>
                <w:sz w:val="20"/>
                <w:szCs w:val="20"/>
              </w:rPr>
              <w:t xml:space="preserve"> kadangi pažangos ir tęstinės veiklos p</w:t>
            </w:r>
            <w:r>
              <w:rPr>
                <w:sz w:val="20"/>
                <w:szCs w:val="20"/>
              </w:rPr>
              <w:t>riemonės bus aiškiai atskiriamas</w:t>
            </w:r>
            <w:r w:rsidR="00736DD6" w:rsidRPr="00CF0BD9">
              <w:rPr>
                <w:sz w:val="20"/>
                <w:szCs w:val="20"/>
              </w:rPr>
              <w:t xml:space="preserve"> ir turės požymius, jų išfiltravimas ir bendrų suminių eilučių pateikimas bus aiškus ir nesukurs papildomos administracinės naštos. Šios suminės eilutės reikalingos siekiant at</w:t>
            </w:r>
            <w:r>
              <w:rPr>
                <w:sz w:val="20"/>
                <w:szCs w:val="20"/>
              </w:rPr>
              <w:t>sk</w:t>
            </w:r>
            <w:r w:rsidR="00736DD6" w:rsidRPr="00CF0BD9">
              <w:rPr>
                <w:sz w:val="20"/>
                <w:szCs w:val="20"/>
              </w:rPr>
              <w:t xml:space="preserve">leisti, kiek planuojamų asignavimų sudarys pažangos lėšos ir kiek </w:t>
            </w:r>
            <w:r>
              <w:rPr>
                <w:sz w:val="20"/>
                <w:szCs w:val="20"/>
              </w:rPr>
              <w:t>–</w:t>
            </w:r>
            <w:r w:rsidR="00736DD6" w:rsidRPr="00CF0BD9">
              <w:rPr>
                <w:sz w:val="20"/>
                <w:szCs w:val="20"/>
              </w:rPr>
              <w:t xml:space="preserve"> tęstinės veiklos lėšos.</w:t>
            </w:r>
          </w:p>
          <w:p w:rsidR="00736DD6" w:rsidRPr="00CF0BD9" w:rsidRDefault="00736DD6" w:rsidP="00551F39">
            <w:pPr>
              <w:rPr>
                <w:b/>
                <w:sz w:val="20"/>
                <w:szCs w:val="20"/>
              </w:rPr>
            </w:pPr>
            <w:r w:rsidRPr="00CF0BD9">
              <w:rPr>
                <w:sz w:val="20"/>
                <w:szCs w:val="20"/>
              </w:rPr>
              <w:t xml:space="preserve">Priemonių kodai šiuo metu yra suderinti su VBAMS sistemoje galimais taikyti programos kodais, t. y. negalime keisti VBAMS programų kodų struktūros, nes šie keitimai reikalautų didelės apimties ir brangiai kainuojančių pakeitimų. Atsižvelgiant į tai, kad </w:t>
            </w:r>
            <w:r w:rsidR="00943269">
              <w:rPr>
                <w:sz w:val="20"/>
                <w:szCs w:val="20"/>
              </w:rPr>
              <w:t>siūloma</w:t>
            </w:r>
            <w:r w:rsidRPr="00CF0BD9">
              <w:rPr>
                <w:sz w:val="20"/>
                <w:szCs w:val="20"/>
              </w:rPr>
              <w:t xml:space="preserve"> kodų struktūroje nurodyti </w:t>
            </w:r>
            <w:r w:rsidR="00943269">
              <w:rPr>
                <w:sz w:val="20"/>
                <w:szCs w:val="20"/>
              </w:rPr>
              <w:t>ne tik strateginio tikslo, bet ir veiklos tikslo kodą, kuris būtų pildomas tęstinės veiklos uždaviniams ir jiems priskiriamoms priemonėms</w:t>
            </w:r>
            <w:r w:rsidRPr="00CF0BD9">
              <w:rPr>
                <w:sz w:val="20"/>
                <w:szCs w:val="20"/>
              </w:rPr>
              <w:t>.</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9.15.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SVP 1 priedo lentelės „Valstybės biudžeto dotacijos savivaldybėms“ pildymo instrukcijoje nustatytas reikalavimas dotacijas savivaldybėms (bei joms nustatytas pasiektas ir siektinas vertinimo rodiklių reikšmes) paskirstyti ne tik pagal jų paskirtį (kaip buvo anksčiau), bet ir pagal atitinkamas savivaldybes. Atsižvelgiant į tai, vietoj 3 eilučių (VRM atveju) apie bendras dotacijų sumas ir jų vertinimo rodiklius atsiras 180 eilučių. Įvertinus tai, kad biudžeto planavimas turi kelis etapus, toks reikalavimas dotacijas savivaldybėms skirstyti ne tik pagal jų paskirtį, bet ir pagal savivaldybes, yra perteklinis ir nepagrįstai didins administracinę naštą. Siūlome atsisakyti perteklinio reikalavimo dotacijas savivaldybėms bei joms nustatytas pasiektas ir siektinas vertinimo rodiklių reikšmes paskirstyti pagal kiekvieną savivaldybę ir jas skirstyti tik pagal jų paskirtį.</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Finansų ministerijai yra pavesta įgyvendinti Valstybės kontrolės rekomendaciją "Siekiant, kad savivaldybių vykdomų funkcijų finansavimo sistema motyvuotų savivaldybes veikti efektyviau ir siekti geresnių rezultatų, nustatyti, kad skiriant finansavimą savivaldybėms, būtų nustatomi tikslai, siektini rodikliai ir rezultatai." (Valstybės kontrolės 2019-04-09 ataskaita Nr. VA-1 „ Ar savivaldybių vykdomų funkcijų sistema sudaro sąlygas joms veikti efektyviai? “).</w:t>
            </w:r>
          </w:p>
          <w:p w:rsidR="00736DD6" w:rsidRPr="00CF0BD9" w:rsidRDefault="00736DD6" w:rsidP="00551F39">
            <w:pPr>
              <w:rPr>
                <w:b/>
                <w:sz w:val="20"/>
                <w:szCs w:val="20"/>
              </w:rPr>
            </w:pPr>
            <w:r w:rsidRPr="00CF0BD9">
              <w:rPr>
                <w:sz w:val="20"/>
                <w:szCs w:val="20"/>
              </w:rPr>
              <w:t>Siekdami įgyvendinti šią rekomendaciją pateikėme siūlymą, kad asignavimų valdytojai, skirdami dotacijas savivaldybėms, nustatytų joms stebėsenos rodiklius ir siektinas reikšmes.</w:t>
            </w:r>
            <w:r w:rsidR="00943269">
              <w:rPr>
                <w:sz w:val="20"/>
                <w:szCs w:val="20"/>
              </w:rPr>
              <w:t xml:space="preserve"> </w:t>
            </w:r>
            <w:r w:rsidRPr="00CF0BD9">
              <w:rPr>
                <w:sz w:val="20"/>
                <w:szCs w:val="20"/>
              </w:rPr>
              <w:t>Taip pat šiuo metu rengi</w:t>
            </w:r>
            <w:r w:rsidR="00943269">
              <w:rPr>
                <w:sz w:val="20"/>
                <w:szCs w:val="20"/>
              </w:rPr>
              <w:t>ama Valstybės biudžeto lėšų perdav</w:t>
            </w:r>
            <w:r w:rsidRPr="00CF0BD9">
              <w:rPr>
                <w:sz w:val="20"/>
                <w:szCs w:val="20"/>
              </w:rPr>
              <w:t xml:space="preserve">imo kitiems valdymo lygiams metodika, kurioje bus pateiktos rekomendacijos dėl minėtų </w:t>
            </w:r>
            <w:r w:rsidRPr="00CF0BD9">
              <w:rPr>
                <w:sz w:val="20"/>
                <w:szCs w:val="20"/>
              </w:rPr>
              <w:lastRenderedPageBreak/>
              <w:t xml:space="preserve">rodiklių ir jų siektinų reikšmių nustatymo: patys stebėsenos rodikliai bus nustatomi tik vieną kartą ir tas pats stebėsenos rodiklis ar keli rodikliai bus naudojami visų savivaldybių </w:t>
            </w:r>
            <w:proofErr w:type="spellStart"/>
            <w:r w:rsidRPr="00CF0BD9">
              <w:rPr>
                <w:sz w:val="20"/>
                <w:szCs w:val="20"/>
              </w:rPr>
              <w:t>stebėsenai</w:t>
            </w:r>
            <w:proofErr w:type="spellEnd"/>
            <w:r w:rsidRPr="00CF0BD9">
              <w:rPr>
                <w:sz w:val="20"/>
                <w:szCs w:val="20"/>
              </w:rPr>
              <w:t xml:space="preserve"> visais vėlesniais metais. Atskirai kiekvienai savivaldybei bus nustatomos tik stebėsenos rodiklių siektinos reikšmės. Tačiau planuojama, kad pirmaisiais metais siektina stebėsenos rodiklio reikšmė visoms savivaldybėms bus vienoda, o vėlesniais metais, turint informaciją apie rodiklių įvykdymą, rodiklių siektinos reikšmės galėtų būti nustatomi pagal tam tikrus kriterijus apibrėžtoms savivaldybių grupėms arba pagal aiškiai apibrėžtą taisyklę (pvz. siekiama X proc. didesnės reikšmės). Todėl faktiškai vėlesniais metais turėtų būti nustatomos tik to paties rodiklio naujos siektinos reikšmės kelioms, tam tikrus požymius atitinkančioms, savivaldybių grupėms arba visoms savivaldybėms, bet pagal aiškiai apibrėžtą kriterijų.</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lastRenderedPageBreak/>
              <w:t>9.16.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Dėl Metodikos 3 priede nustatytos PP formos III dalyje pateikto 3 paaiškinimo „Jei Programa finansuojama iš ES ar kitų tarptautinių programų lėšų, nurodomi privalomi programos rezultato rodikliai“ – siūlome rašyti „Priemonė finansuojama“. Taip pat siūlome lentelės skiltyje „Priemonės rezultato rodiklio reikšmės“ nenurodyti konkrečių metų (2030 m.), nes tiek programos, tiek priemonės įgyvendinimo trukmė gali būti kita.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Atsižvelgta iš dalies.</w:t>
            </w:r>
          </w:p>
          <w:p w:rsidR="00736DD6" w:rsidRPr="00CF0BD9" w:rsidRDefault="00736DD6" w:rsidP="00551F39">
            <w:pPr>
              <w:rPr>
                <w:sz w:val="20"/>
                <w:szCs w:val="20"/>
              </w:rPr>
            </w:pPr>
            <w:r w:rsidRPr="00CF0BD9">
              <w:rPr>
                <w:sz w:val="20"/>
                <w:szCs w:val="20"/>
              </w:rPr>
              <w:t xml:space="preserve">Atsižvelgta dėl "Priemonė finansuojama". Neatsižvelgta dėl "Priemonės rezultato rodiklio reikšmė" nurodytų </w:t>
            </w:r>
            <w:proofErr w:type="spellStart"/>
            <w:r w:rsidRPr="00CF0BD9">
              <w:rPr>
                <w:sz w:val="20"/>
                <w:szCs w:val="20"/>
              </w:rPr>
              <w:t>kenkrečių</w:t>
            </w:r>
            <w:proofErr w:type="spellEnd"/>
            <w:r w:rsidRPr="00CF0BD9">
              <w:rPr>
                <w:sz w:val="20"/>
                <w:szCs w:val="20"/>
              </w:rPr>
              <w:t xml:space="preserve"> metų (2030 m),  kadangi rezultato rodiklio pasiekimas iki 2030 fiksuojamas bendrąja prasme. Jeigu PP priemonė sieks rodiklio pvz. iki 2025 m. tai tuomet galima prie rodiklio reikšmės nurodyti iki kada konkretus rodiklis bus siekiams.</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9.17.</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 xml:space="preserve">2021–2027 m. Sienų valdymo ir vizų finansinės paramos priemonės, įtrauktos į Integruoto sienų valdymo fondą (toliau – SVVP) ir Vidaus saugumo fondo (toliau – VSF) programų projektai jau daugiau nei metus laiko derinami su Europos Komisija (toliau – EK), todėl siūlytume svarstyti galimybę mažųjų ES fondų (tokių kaip SVVP, VSF) programas rengti pagal Metodiką naujam programavimo laikotarpiui po 2027 m., kol jos dar nebus pradėtos derinti su EK. Dabartiniu 2021–2027 m. laikotarpiu siūlytume išsibandyti strateginio valdymo sistemą biudžeto lėšų ir (arba) ES fondų / kitoms tarptautinėms programoms, kurios dar nepradėtos rengti. </w:t>
            </w:r>
          </w:p>
          <w:p w:rsidR="00736DD6" w:rsidRPr="00CF0BD9" w:rsidRDefault="00736DD6" w:rsidP="00551F39">
            <w:pPr>
              <w:tabs>
                <w:tab w:val="left" w:pos="993"/>
              </w:tabs>
              <w:rPr>
                <w:sz w:val="20"/>
                <w:szCs w:val="20"/>
              </w:rPr>
            </w:pPr>
            <w:r w:rsidRPr="00CF0BD9">
              <w:rPr>
                <w:sz w:val="20"/>
                <w:szCs w:val="20"/>
              </w:rPr>
              <w:t>Siūlome netaikyti alternatyvų vertinimo SVVP ir VSF 2021–2027 m., nes yra įpusėjęs programų derinimas su EK, naujas jų programavimas stabdys naujo laikotarpio mažų ES fondų programų įgyvendinimo pradžią ir lėšų panaudojimą išlaidų tinkamumo laikotarpiu. Visose ES fondų programose nustatomi konkretūs produkto ir rezultato rodikliai, kurie jau numato konkrečią alternatyvą ( pvz., VSF atveju veikla „Policijos registrų ir kitų informacinių sistemų plėtra“, produkto rodiklis – „įsigytos įrangos skaičius“. Vadinasi, alternatyva aiški – investavimas). Todėl siūlome Metodikoje nustatyti atvejus, kai, suderinus su portfelio valdytoju, priemonės įgyvendinimo alternatyvos gali būti nenagrinėjamos.</w:t>
            </w:r>
          </w:p>
          <w:p w:rsidR="00736DD6" w:rsidRPr="00CF0BD9" w:rsidRDefault="00736DD6" w:rsidP="00551F39">
            <w:pPr>
              <w:tabs>
                <w:tab w:val="left" w:pos="993"/>
              </w:tabs>
              <w:rPr>
                <w:sz w:val="20"/>
                <w:szCs w:val="20"/>
              </w:rPr>
            </w:pPr>
            <w:r w:rsidRPr="00CF0BD9">
              <w:rPr>
                <w:sz w:val="20"/>
                <w:szCs w:val="20"/>
              </w:rPr>
              <w:t>Siūlome visas pažangos veiklas, neatsižvelgiant į finansavimo šaltinį, planuoti vadovaujantis Metodika, pažangos veikloms įgyvendinti skirtų projektų administravimo ir įgyvendinimo reikalavimus turėtų detalizuoti vadovaujančiosios institucijos, o valstybės biudžeto lėšomis finansuojamų projektų administravimo ir įgyvendinimo reikalavimus – Portfelio valdytojas.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Atkreiptinas dėmesys, kad vienas strateginio valdymo sistemos tikslų - užtikrinti įgyvendinamų priemonių planavimą remiantis šalies poreikiais, o ne konkretaus finansavimo šaltinio reikalavimais. Pažymėtina, kad bet kokie su Europos Komisija ar kitomis tarptautinėmis organizacijomis suderėti reikalavimai gali būti peržiūrimi turint atliktą išsamią analizę ir skaičiavimus. Tačiau, jeigu analizės, atitinkančios SVM nustatytus reikalavimus, buvo atliktos iki minėtų derybų, jų </w:t>
            </w:r>
            <w:proofErr w:type="spellStart"/>
            <w:r w:rsidRPr="00CF0BD9">
              <w:rPr>
                <w:sz w:val="20"/>
                <w:szCs w:val="20"/>
              </w:rPr>
              <w:t>rezultati</w:t>
            </w:r>
            <w:proofErr w:type="spellEnd"/>
            <w:r w:rsidRPr="00CF0BD9">
              <w:rPr>
                <w:sz w:val="20"/>
                <w:szCs w:val="20"/>
              </w:rPr>
              <w:t xml:space="preserve"> gali būti panaudoti planuojant pažangos priemones ir jų veiklas.</w:t>
            </w:r>
          </w:p>
          <w:p w:rsidR="00736DD6" w:rsidRPr="00CF0BD9" w:rsidRDefault="00736DD6" w:rsidP="00551F39">
            <w:pPr>
              <w:rPr>
                <w:sz w:val="20"/>
                <w:szCs w:val="20"/>
              </w:rPr>
            </w:pPr>
            <w:r w:rsidRPr="00CF0BD9">
              <w:rPr>
                <w:sz w:val="20"/>
                <w:szCs w:val="20"/>
              </w:rPr>
              <w:t>Siūlymas dėl projektų įgyvendinimo (administravimo) tvarkų detalizavimo jau realizuotas, pateiktame derinti projekte, todėl perteklinis.</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9.18.</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 xml:space="preserve">Manome, kad galimybė įgyvendinti jungtinius projektus Metodikoje turėtų būti nustatyta ne tik SVĮ 3 straipsnio 17 dalies 8 punkte nustatytiems subjektams, bet ir vietos veiklos grupėms (jų teisinė forma – asociacija). Vietos veiklos grupių parengtų ir finansavimui atrinktų vietos </w:t>
            </w:r>
            <w:r w:rsidRPr="00CF0BD9">
              <w:rPr>
                <w:sz w:val="20"/>
                <w:szCs w:val="20"/>
              </w:rPr>
              <w:lastRenderedPageBreak/>
              <w:t xml:space="preserve">plėtros strategijų įgyvendinimui tikslinga taikyti jungtinių projektų įgyvendinimo būdą, kadangi, remiantis Europos Parlamento ir Tarybos tvirtinamais Europos Sąjungos sanglaudos politikos reglamentais, vietos veiklos grupės yra atsakingos už projektų, skirtų vietos plėtros strategijoms įgyvendinti, atrinkimą.  </w:t>
            </w:r>
          </w:p>
          <w:p w:rsidR="00736DD6" w:rsidRPr="00CF0BD9" w:rsidRDefault="00736DD6" w:rsidP="00551F39">
            <w:pPr>
              <w:tabs>
                <w:tab w:val="left" w:pos="993"/>
              </w:tabs>
              <w:rPr>
                <w:sz w:val="20"/>
                <w:szCs w:val="20"/>
              </w:rPr>
            </w:pPr>
            <w:r w:rsidRPr="00CF0BD9">
              <w:rPr>
                <w:sz w:val="20"/>
                <w:szCs w:val="20"/>
              </w:rPr>
              <w:t xml:space="preserve">Siūlome Nutarimo priede ,,Strateginio valdymo sistemos dalyvių, galinčių atlikti jungtinių projektų vykdytojų funkcijas, sąrašas“ nustatyti, kad valstybės valdymo, regioninės politikos ir viešojo administravimo valstybės veiklos srityje jungtinių projektų vykdytojų funkcijas gali atlikti </w:t>
            </w:r>
            <w:proofErr w:type="spellStart"/>
            <w:r w:rsidRPr="00CF0BD9">
              <w:rPr>
                <w:sz w:val="20"/>
                <w:szCs w:val="20"/>
              </w:rPr>
              <w:t>VšĮ</w:t>
            </w:r>
            <w:proofErr w:type="spellEnd"/>
            <w:r w:rsidRPr="00CF0BD9">
              <w:rPr>
                <w:sz w:val="20"/>
                <w:szCs w:val="20"/>
              </w:rPr>
              <w:t xml:space="preserve"> Europos socialinio fondo agentūra ir vietos veiklos grupės.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B5E96" w:rsidRPr="007222C9" w:rsidRDefault="00736DD6" w:rsidP="00551F39">
            <w:pPr>
              <w:rPr>
                <w:b/>
                <w:sz w:val="20"/>
                <w:szCs w:val="20"/>
              </w:rPr>
            </w:pPr>
            <w:r w:rsidRPr="00CF0BD9">
              <w:rPr>
                <w:b/>
                <w:sz w:val="20"/>
                <w:szCs w:val="20"/>
              </w:rPr>
              <w:lastRenderedPageBreak/>
              <w:t>Atsižvelgta iš dalies.</w:t>
            </w:r>
          </w:p>
          <w:p w:rsidR="00CB5E96" w:rsidRDefault="00CB5E96" w:rsidP="00551F39">
            <w:pPr>
              <w:rPr>
                <w:sz w:val="20"/>
                <w:szCs w:val="20"/>
              </w:rPr>
            </w:pPr>
            <w:r w:rsidRPr="00CB5E96">
              <w:rPr>
                <w:sz w:val="20"/>
                <w:szCs w:val="20"/>
              </w:rPr>
              <w:t>Nutarimo priede ,,Strateginio valdymo sistemos dalyvių, galinčių atlikti jungtinių projektų vykdyto</w:t>
            </w:r>
            <w:r>
              <w:rPr>
                <w:sz w:val="20"/>
                <w:szCs w:val="20"/>
              </w:rPr>
              <w:t>jų funkcijas, sąrašas“ nustatyta</w:t>
            </w:r>
            <w:r w:rsidRPr="00CB5E96">
              <w:rPr>
                <w:sz w:val="20"/>
                <w:szCs w:val="20"/>
              </w:rPr>
              <w:t xml:space="preserve">, </w:t>
            </w:r>
            <w:r w:rsidRPr="00CB5E96">
              <w:rPr>
                <w:sz w:val="20"/>
                <w:szCs w:val="20"/>
              </w:rPr>
              <w:lastRenderedPageBreak/>
              <w:t xml:space="preserve">kad valstybės valdymo, regioninės politikos ir viešojo administravimo valstybės veiklos srityje jungtinių projektų vykdytojų funkcijas gali atlikti </w:t>
            </w:r>
            <w:proofErr w:type="spellStart"/>
            <w:r w:rsidRPr="00CB5E96">
              <w:rPr>
                <w:sz w:val="20"/>
                <w:szCs w:val="20"/>
              </w:rPr>
              <w:t>VšĮ</w:t>
            </w:r>
            <w:proofErr w:type="spellEnd"/>
            <w:r w:rsidRPr="00CB5E96">
              <w:rPr>
                <w:sz w:val="20"/>
                <w:szCs w:val="20"/>
              </w:rPr>
              <w:t xml:space="preserve"> Europos socialinio fondo agentūra</w:t>
            </w:r>
            <w:r>
              <w:rPr>
                <w:sz w:val="20"/>
                <w:szCs w:val="20"/>
              </w:rPr>
              <w:t>.</w:t>
            </w:r>
          </w:p>
          <w:p w:rsidR="00736DD6" w:rsidRPr="00CF0BD9" w:rsidRDefault="00736DD6" w:rsidP="00CB5E96">
            <w:pPr>
              <w:rPr>
                <w:sz w:val="20"/>
                <w:szCs w:val="20"/>
              </w:rPr>
            </w:pPr>
            <w:r w:rsidRPr="00CF0BD9">
              <w:rPr>
                <w:sz w:val="20"/>
                <w:szCs w:val="20"/>
              </w:rPr>
              <w:t xml:space="preserve">Dėl </w:t>
            </w:r>
            <w:r w:rsidR="00CB5E96">
              <w:rPr>
                <w:sz w:val="20"/>
                <w:szCs w:val="20"/>
              </w:rPr>
              <w:t>Vietos veiklos grupių įtraukimo</w:t>
            </w:r>
            <w:r w:rsidRPr="00CF0BD9">
              <w:rPr>
                <w:sz w:val="20"/>
                <w:szCs w:val="20"/>
              </w:rPr>
              <w:t xml:space="preserve"> šiuo metu būtų reikalingas SVĮ keitimas, pateiktas siūlymas dėl VVG dalyvavimo bus apsvarstytas ir nusprendus VVG įtraukti į jungtinių veiklos vykdytojų sąrašą bus patikslinamos SVĮ  3 straipsnio 17 dalies 8 punkto nuostatos, o vėliau atitinkamai bus </w:t>
            </w:r>
            <w:r w:rsidR="004D5BDB">
              <w:rPr>
                <w:sz w:val="20"/>
                <w:szCs w:val="20"/>
              </w:rPr>
              <w:t>patikslinta</w:t>
            </w:r>
            <w:r w:rsidRPr="00CF0BD9">
              <w:rPr>
                <w:sz w:val="20"/>
                <w:szCs w:val="20"/>
              </w:rPr>
              <w:t xml:space="preserve"> ir </w:t>
            </w:r>
            <w:r w:rsidR="004D5BDB">
              <w:rPr>
                <w:sz w:val="20"/>
                <w:szCs w:val="20"/>
              </w:rPr>
              <w:t>SVM</w:t>
            </w:r>
            <w:r w:rsidRPr="00CF0BD9">
              <w:rPr>
                <w:sz w:val="20"/>
                <w:szCs w:val="20"/>
              </w:rPr>
              <w:t>. Šiuo metu SVĮ  3 straipsnio 17 dalies 8 punkte tokio statuso, kaip asociacijos nėra numatyta.</w:t>
            </w:r>
          </w:p>
        </w:tc>
      </w:tr>
      <w:tr w:rsidR="00A27AD2" w:rsidRPr="00CF0BD9" w:rsidTr="00551F39">
        <w:trPr>
          <w:trHeight w:val="413"/>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A27AD2" w:rsidRPr="00CF0BD9" w:rsidRDefault="00736DD6" w:rsidP="00551F39">
            <w:pPr>
              <w:rPr>
                <w:b/>
                <w:sz w:val="20"/>
                <w:szCs w:val="20"/>
              </w:rPr>
            </w:pPr>
            <w:r w:rsidRPr="00CF0BD9">
              <w:rPr>
                <w:b/>
                <w:sz w:val="20"/>
                <w:szCs w:val="20"/>
              </w:rPr>
              <w:lastRenderedPageBreak/>
              <w:t>10. Lietuvos Respublikos žemės ūkio ministerija</w:t>
            </w:r>
          </w:p>
        </w:tc>
      </w:tr>
      <w:tr w:rsidR="00A27AD2"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A27AD2" w:rsidRPr="00CF0BD9" w:rsidRDefault="00736DD6" w:rsidP="00551F39">
            <w:pPr>
              <w:rPr>
                <w:sz w:val="20"/>
                <w:szCs w:val="20"/>
              </w:rPr>
            </w:pPr>
            <w:r w:rsidRPr="00CF0BD9">
              <w:rPr>
                <w:sz w:val="20"/>
                <w:szCs w:val="20"/>
              </w:rPr>
              <w:t>10.1.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A27AD2" w:rsidRPr="00CF0BD9" w:rsidRDefault="00736DD6" w:rsidP="00551F39">
            <w:pPr>
              <w:tabs>
                <w:tab w:val="left" w:pos="993"/>
              </w:tabs>
              <w:rPr>
                <w:sz w:val="20"/>
                <w:szCs w:val="20"/>
              </w:rPr>
            </w:pPr>
            <w:r w:rsidRPr="00CF0BD9">
              <w:rPr>
                <w:sz w:val="20"/>
                <w:szCs w:val="20"/>
              </w:rPr>
              <w:t>Siūlome visiems 85 punkto papunkčiams pritaikyti nuostatą ,,jeigu konkretus priemonės įgyvendinimo būdas nenustatytas ES ir tarptautiniuose įsipareigojimuose, ES reglamentuose, ES direktyvose, strateginėse ES iniciatyvose, nacionaliniuose dokumentuose, studijose“. Šiuo pakeitimu norime pasakyti tai, kad jei yra parengta analizė, atliktas tyrimas ir pateiktos tyrėjų / mokslininkų išvados ar konkretus įgyvendinimo būdas (galimi pareiškėjai, atrankos būdas, paramos būdas, tikslinė teritorija ir pan.), nustatytas minėtuose teisės aktuose ar kt. dokumentuose, tokiu atveju nereikėtų atlikti ir vertinti priemonės įgyvendinimo alternatyvų ir atlikti kitų Metodikos 85 punkte (ir papunkčiuose) nurodytų  veiksmų. Pavyzdžiui, perkeliant NEKS priemones į PP, jose jau aiškiai įvardytos konkrečios priemonės, jų  apimtys su įgyvendinimo būdu ir lėšomis.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9E294C"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Objektyviomis priežastimis sąlygotos išimtys dėl alternatyvų analizės atlikimo nustatytos tiek SVM, tiek pažangos priemonės aprašo ir jo pagrindimo formose.</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10.2.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Teikiame pastabas dėl Metodikos 85.2 papunkčio nuostatų:</w:t>
            </w:r>
          </w:p>
          <w:p w:rsidR="00736DD6" w:rsidRPr="00CF0BD9" w:rsidRDefault="00736DD6" w:rsidP="00551F39">
            <w:pPr>
              <w:tabs>
                <w:tab w:val="left" w:pos="993"/>
              </w:tabs>
              <w:rPr>
                <w:sz w:val="20"/>
                <w:szCs w:val="20"/>
              </w:rPr>
            </w:pPr>
            <w:r w:rsidRPr="00CF0BD9">
              <w:rPr>
                <w:sz w:val="20"/>
                <w:szCs w:val="20"/>
              </w:rPr>
              <w:t>• PP valdytojas, pažangos priemonės koordinatorius ar Regionų plėtros taryba, jei konkretaus priemonės įgyvendinimo būdo nenustato ES direktyvos ir (arba) reglamentai, kurių nuostatos perkeliamos, turėtų atlikti priemonės įgyvendinimo alternatyvų analizę „taikant sąnaudų ir naudos analizę, sąnaudų veiksmingumo analizę arba kitus Portfelio valdytojo arba jo įgaliotos institucijos patvirtintus metodus“. Tačiau nei Metodikoje, nei Plėtros programos pažangos priemonės pagrindimo formos II skyriaus 4 dalyje nėra nurodyta, kokiame teisės akte yra nustatyta, kaip turėtų būti atliekama priemonės įgyvendinimo alternatyvų analizė, naudojant sąnaudų ir naudos analizės bei sąnaudų veiksmingumo analizės metodus. Siūlome Metodikoje nurodyti teisės aktus ar dokumentus, nustatančius minėtų analizių atlikimo metodus.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Detalios instrukcijos dėl analizių metodų pasirinkimo pateikiamos pažangos priemonės aprašo pagrindimo formoje.</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10.3.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Siūlome 85.2 papunktį papildyti: &lt;...&gt;  Vertinant alternatyvas, turi būti nagrinėjamos įvairaus pobūdžio veiklos arba jų rinkiniai (alternatyvos gali būti nevertinamos, kai konkretų priemonės įgyvendinimo būdą nustato ES direktyvos ir (arba) reglamentai, arba jų nuostatomis atliktos analizės).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Pasiūlymas perteklinis.</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10.4.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Bendra pastaba dėl visos Metodikos. Kai kalbama apie veiksmus, kuriuos reglamentuoja Metodikos prieduose ar kituose teisės aktuose esančios nuostatos, formos, interneto svetainės, šablonai ar pavyzdžiai, reikėtų nurodyti tikslią nuorodą, kur juos galima rasti.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Detalių nuorodų įtraukimas į </w:t>
            </w:r>
            <w:r w:rsidR="004D5BDB">
              <w:rPr>
                <w:sz w:val="20"/>
                <w:szCs w:val="20"/>
              </w:rPr>
              <w:t>SVM</w:t>
            </w:r>
            <w:r w:rsidRPr="00CF0BD9">
              <w:rPr>
                <w:sz w:val="20"/>
                <w:szCs w:val="20"/>
              </w:rPr>
              <w:t>, mūsų nuomone, nėra prasmingas dėl dinamiškos sistemos, todėl  nesiūlome tokiu detalumu reglamentuoti LRV tvirtinamame teisės akte.</w:t>
            </w:r>
          </w:p>
        </w:tc>
      </w:tr>
      <w:tr w:rsidR="00615C84" w:rsidRPr="00CF0BD9" w:rsidTr="00551F39">
        <w:trPr>
          <w:trHeight w:val="315"/>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b/>
                <w:sz w:val="20"/>
                <w:szCs w:val="20"/>
              </w:rPr>
            </w:pPr>
            <w:r w:rsidRPr="00CF0BD9">
              <w:rPr>
                <w:b/>
                <w:sz w:val="20"/>
                <w:szCs w:val="20"/>
              </w:rPr>
              <w:t>11. Nacionalinė teismų administracija</w:t>
            </w:r>
          </w:p>
        </w:tc>
      </w:tr>
      <w:tr w:rsidR="00615C84" w:rsidRPr="00CF0BD9" w:rsidTr="00551F39">
        <w:trPr>
          <w:trHeight w:val="101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sz w:val="20"/>
                <w:szCs w:val="20"/>
              </w:rPr>
            </w:pPr>
            <w:r w:rsidRPr="00CF0BD9">
              <w:rPr>
                <w:sz w:val="20"/>
                <w:szCs w:val="20"/>
              </w:rPr>
              <w:lastRenderedPageBreak/>
              <w:t>11.1.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pStyle w:val="Komentarotekstas"/>
            </w:pPr>
            <w:r w:rsidRPr="00CF0BD9">
              <w:t xml:space="preserve">Metodikos projekto 143 punkte nurodyta, kad „Apibendrintos išvados dėl SVP projektų teikiamos Vyriausybės kanceliarijos organizuojamiems pasitarimams, kuriuose siekiama sutarimo tarp Ministro Pirmininko, finansų ministro ir atitinkamo ministro dėl n–(n + 2) metų planuojamų asignavimų ir siektinų rezultatų atitinkamose valstybės veiklos srityse įgyvendinant NPP nustatytiems pažangos uždaviniams įgyvendinti skirtas nacionalines PP ir vykdant tęstinę veiklą (toliau – pasitarimai Vyriausybės kanceliarijoje). Pasitarimuose Vyriausybės kanceliarijoje gali dalyvauti ir kiti Vyriausybei neatskaitingi asignavimų valdytojai, kurių vadovaujamos įstaigos nepriskiriamos ministro valdymo sričiai, jeigu tai neprieštarauja jų veiklą reglamentuojančių teisės aktų nuostatoms.“  </w:t>
            </w:r>
          </w:p>
          <w:p w:rsidR="00736DD6" w:rsidRPr="00CF0BD9" w:rsidRDefault="00736DD6" w:rsidP="00551F39">
            <w:pPr>
              <w:pStyle w:val="Komentarotekstas"/>
            </w:pPr>
            <w:r w:rsidRPr="00CF0BD9">
              <w:t xml:space="preserve">Metodikos projekto 143 punktą siūloma taisyti išbraukiant įvestą trumpinį „(toliau – pasitarimai Vyriausybės kanceliarijoje)“, kadangi jis reiškia, kad pasitarimais Vyriausybės kanceliarijoje yra vadinami tik pasitarimai „tarp Ministro Pirmininko, finansų ministro ir atitinkamo ministro dėl n–(n + 2) metų planuojamų asignavimų ir siektinų rezultatų atitinkamose valstybės veiklos srityse“ ir būtent juose (o ne atskiruose susitikimuose) gali dalyvauti „ir kiti Vyriausybei neatskaitingi asignavimų valdytojai, kurių vadovaujamos įstaigos nepriskiriamos ministro valdymo sričiai“, tuo būdu apribojant praktikoje taikomą galimybę kviesti nepriklausomas institucijas ir į atskirus pasitarimus. Nebent tokiu reguliavimu tikslingai yra siekiama nustatyti, kad, pavyzdžiui, teismų sistemos atstovai būtų kviečiami į pasitarimus Vyriausybės kanceliarijoje kartu su teisingumo ministru pagal teisingumo valstybės veiklos sritį, o Lietuvos Respublikos Prezidento kanceliarijos, Seimo kanceliarijos, Valstybės kontrolės atstovai – į pasitarimus kartu su vidaus reikalų ministru pagal priskirtą bendrą valstybės valdymo, regioninės politikos ir viešojo administravimo valstybės veiklos sritį. Tai būtų tikslinga, pavyzdžiui, aptariant naujų pažangos priemonių įtraukimą, numatytą Metodikos projekto 170 punkte, kaip aptariamą pasitarimuose Vyriausybės kanceliarijoje, kadangi Administracija bus teismams skirtų pažangos priemonių koordinatore Teisingumo plėtros programoje, tačiau taip pat manytina, kad tokiuose bendruose pasitarimuose ministerijos klausimai užgožtų kitų institucijų klausimus. </w:t>
            </w:r>
          </w:p>
          <w:p w:rsidR="00736DD6" w:rsidRPr="00CF0BD9" w:rsidRDefault="00736DD6" w:rsidP="00551F39">
            <w:pPr>
              <w:pStyle w:val="Komentarotekstas"/>
            </w:pPr>
            <w:r w:rsidRPr="00CF0BD9">
              <w:t xml:space="preserve">Taip pat Metodikos projekto 143 punkte „gali dalyvauti“ siūlome keisti į „kviečiami dalyvauti“, nes nepriklausomos institucijos paprastai nedalyvauja pasitarimuose Vyriausybės kanceliarijoje, jeigu nėra pakviečiamos. </w:t>
            </w:r>
          </w:p>
          <w:p w:rsidR="00736DD6" w:rsidRPr="00CF0BD9" w:rsidRDefault="00736DD6" w:rsidP="00551F39">
            <w:pPr>
              <w:pStyle w:val="Komentarotekstas"/>
            </w:pPr>
            <w:r w:rsidRPr="00CF0BD9">
              <w:t xml:space="preserve">Pažymėtina, kad Teisėjų taryba 2017 m. kovo 9 d. raštu Nr. 36P-46-(7.1.10) kreipėsi į Lietuvos Respublikos Vyriausybę ir Finansų ministeriją, kad Teisėjų tarybos ir Administracijos atstovai būtų pakviesti teismų sistemos biudžeto klausimų aptarimui ir kad tai taptų kasmetine praktika, įtvirtinta teisės aktuose. Į kreipimąsi buvo atsižvelgta: nuo 2017 m. kasmet birželio mėnesį Teisėjų tarybos ir Administracijos atstovai pakviečiami į Lietuvos Respublikos Vyriausybės kanceliariją dėl ateinančių metų biudžeto aptarimo, taip pat Lietuvos Respublikos Vyriausybės 2018 m. balandžio 25 d. nutarimu Nr. 397 Strateginio planavimo metodikos 33 punktas buvo papildytas nuostata, kad „Vyriausybės kanceliarija gali rengti pasitarimus tarp Ministro Pirmininko, finansų ministro ir kitų asignavimų valdytojų“, kuri yra lankstesnė nei Metodikos projekto 143 punktas, nes numato rengti atskirus pasitarimus neužkertant galimybės pakviesti ir į bendrą. Taip pat siekiant tikslumo atkreipiame dėmesį, kad Teisėjų taryba yra strateginio valdymo sistemos dalyvė, teismų savivaldos institucija, atstovaujanti visus teismus – asignavimų valdytojus ir aprobuojanti teismų biudžetų asignavimų projektus, bet pati nėra asignavimų valdytoja, todėl siūlytina patikslinti nurodant „kviečiami dalyvauti ir kiti Vyriausybei neatskaitingi asignavimų </w:t>
            </w:r>
            <w:r w:rsidRPr="00CF0BD9">
              <w:lastRenderedPageBreak/>
              <w:t xml:space="preserve">valdytojai (jų atstovai), kurių vadovaujamos įstaigos nepriskiriamos ministro valdymo sričiai“. </w:t>
            </w:r>
          </w:p>
          <w:p w:rsidR="00615C84" w:rsidRPr="00CF0BD9" w:rsidRDefault="00736DD6" w:rsidP="00551F39">
            <w:pPr>
              <w:pStyle w:val="Komentarotekstas"/>
            </w:pPr>
            <w:r w:rsidRPr="00CF0BD9">
              <w:t xml:space="preserve">Lietuvos Respublikos Konstitucinis Teismas savo nutarimuose (pavyzdžiui, 1999 m. gruodžio 21 d. ar 2004 m. gruodžio 13 d. nutarimai) ne kartą yra pabrėžęs teisminės valdžios nepriklausomumą nuo įstatymų leidžiamosios ir vykdomosios valdžių, teisminės valdžios </w:t>
            </w:r>
            <w:proofErr w:type="spellStart"/>
            <w:r w:rsidRPr="00CF0BD9">
              <w:t>visavertiškumą</w:t>
            </w:r>
            <w:proofErr w:type="spellEnd"/>
            <w:r w:rsidRPr="00CF0BD9">
              <w:t xml:space="preserve">. Teisminės valdžios </w:t>
            </w:r>
            <w:proofErr w:type="spellStart"/>
            <w:r w:rsidRPr="00CF0BD9">
              <w:t>visavertiškumas</w:t>
            </w:r>
            <w:proofErr w:type="spellEnd"/>
            <w:r w:rsidRPr="00CF0BD9">
              <w:t xml:space="preserve"> ir jos nepriklausomumas suponuoja jos savireguliaciją ir savivaldą, apimančią ir teismų darbo organizavimą, ir teisėjų profesinio korpuso veiklą; užtikrinant teisėjo ir teismų nepriklausomumą ypač svarbu aiškiai atriboti teismų veiklą nuo vykdomosios valdžios; teismų veikla nėra ir negali būti laikoma valdymo sritimi, priskirta kuriai nors vykdomosios valdžios institucijai; tik nepriklausoma teismų institucinė sistema gali laiduoti teismo organizacinį, o kartu ir teisėjo procesinį savarankiškumą.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736DD6" w:rsidP="00551F39">
            <w:pPr>
              <w:rPr>
                <w:b/>
                <w:sz w:val="20"/>
                <w:szCs w:val="20"/>
              </w:rPr>
            </w:pPr>
            <w:r w:rsidRPr="00CF0BD9">
              <w:rPr>
                <w:b/>
                <w:sz w:val="20"/>
                <w:szCs w:val="20"/>
              </w:rPr>
              <w:lastRenderedPageBreak/>
              <w:t>Atsižvelgta iš dalies.</w:t>
            </w:r>
          </w:p>
          <w:p w:rsidR="00736DD6" w:rsidRPr="00CF0BD9" w:rsidRDefault="00736DD6" w:rsidP="00551F39">
            <w:pPr>
              <w:rPr>
                <w:sz w:val="20"/>
                <w:szCs w:val="20"/>
              </w:rPr>
            </w:pPr>
            <w:r w:rsidRPr="00CF0BD9">
              <w:rPr>
                <w:sz w:val="20"/>
                <w:szCs w:val="20"/>
              </w:rPr>
              <w:t xml:space="preserve">Patikslinta </w:t>
            </w:r>
            <w:r w:rsidR="00943269">
              <w:rPr>
                <w:sz w:val="20"/>
                <w:szCs w:val="20"/>
              </w:rPr>
              <w:t>SVM</w:t>
            </w:r>
            <w:r w:rsidRPr="00CF0BD9">
              <w:rPr>
                <w:sz w:val="20"/>
                <w:szCs w:val="20"/>
              </w:rPr>
              <w:t xml:space="preserve"> nuostata, kad pasitarimuose Vyriausybės kanceliarijoje kartu su atitinkamų nacionalinių plėtros </w:t>
            </w:r>
            <w:r w:rsidR="004D5BDB">
              <w:rPr>
                <w:sz w:val="20"/>
                <w:szCs w:val="20"/>
              </w:rPr>
              <w:t>programų valdytojais kartu kvie</w:t>
            </w:r>
            <w:r w:rsidRPr="00CF0BD9">
              <w:rPr>
                <w:sz w:val="20"/>
                <w:szCs w:val="20"/>
              </w:rPr>
              <w:t>č</w:t>
            </w:r>
            <w:r w:rsidR="004D5BDB">
              <w:rPr>
                <w:sz w:val="20"/>
                <w:szCs w:val="20"/>
              </w:rPr>
              <w:t>i</w:t>
            </w:r>
            <w:r w:rsidRPr="00CF0BD9">
              <w:rPr>
                <w:sz w:val="20"/>
                <w:szCs w:val="20"/>
              </w:rPr>
              <w:t>ami dalyvauti pažangos priemonių koordinatoriai, kuriais gali būti Vyriausybei nepavaldūs ir (arba) neatskaitingi valstybės biudžeto asignavimų valdytojai, t. y. pasitarimuose Vyriausybės kanceliarijoje šie valstybės biudžeto asignavimų valdytojai galėtų dalyvauti, tik kai būtų tariamasi dėl atitinkamais biudžetiniais metais įgyvendinamų naujų pažangos priemonių.</w:t>
            </w:r>
          </w:p>
          <w:p w:rsidR="00736DD6" w:rsidRPr="00CF0BD9" w:rsidRDefault="00736DD6" w:rsidP="00551F39">
            <w:pPr>
              <w:rPr>
                <w:sz w:val="20"/>
                <w:szCs w:val="20"/>
              </w:rPr>
            </w:pPr>
            <w:r w:rsidRPr="00CF0BD9">
              <w:rPr>
                <w:sz w:val="20"/>
                <w:szCs w:val="20"/>
              </w:rPr>
              <w:t>Kadangi pasitarimai Vyriausybės kanceliarijoje yra apriboti laike (atsižvelgiant į Biudžeto sandaros įstatymo nuostatas, kuriomis nustatomas atitinkamų metų valstybės biudžeto ir savivaldybių biudžetų finansinių rodiklių patvirtinimo įstatymo projekto pateikimo Seimui terminas, minėti pasitarimai turi įvykti per birželio mėnesį), o visų valstybės biudžeto asignavimų valdytojų skaičius apytiksliai sudaro 100, išlieka reali rizika per numatytą laiką nesuspėti surengti visų pasitarimų dėl tęstinės veiklos išlaidų poreikio.</w:t>
            </w:r>
          </w:p>
          <w:p w:rsidR="00736DD6" w:rsidRPr="00CF0BD9" w:rsidRDefault="00736DD6" w:rsidP="00551F39">
            <w:pPr>
              <w:rPr>
                <w:sz w:val="20"/>
                <w:szCs w:val="20"/>
              </w:rPr>
            </w:pPr>
            <w:r w:rsidRPr="00CF0BD9">
              <w:rPr>
                <w:sz w:val="20"/>
                <w:szCs w:val="20"/>
              </w:rPr>
              <w:t xml:space="preserve">Taip pat atkreiptinas dėmesys, kad pasitarimuose Vyriausybės kanceliarijoje yra tariamasi ne tik dėl tęstinės veiklos lėšų poreikio, bet ir dėl siekiamų rezultatų įgyvendinant įstaigos tęstinę veiklą, viešųjų išlaidų peržiūrų atlikimo srities ir jos rezultatų, todėl išlieka rizika pažeisti Vyriausybei </w:t>
            </w:r>
            <w:proofErr w:type="spellStart"/>
            <w:r w:rsidRPr="00CF0BD9">
              <w:rPr>
                <w:sz w:val="20"/>
                <w:szCs w:val="20"/>
              </w:rPr>
              <w:t>neatskaitingų</w:t>
            </w:r>
            <w:proofErr w:type="spellEnd"/>
            <w:r w:rsidRPr="00CF0BD9">
              <w:rPr>
                <w:sz w:val="20"/>
                <w:szCs w:val="20"/>
              </w:rPr>
              <w:t xml:space="preserve"> ir (arba) nepavaldžių asignavimų valdytojų veiklą reglamentuojančias teisės aktų nuostatas.</w:t>
            </w:r>
          </w:p>
        </w:tc>
      </w:tr>
      <w:tr w:rsidR="00736DD6" w:rsidRPr="00CF0BD9" w:rsidTr="00551F39">
        <w:trPr>
          <w:trHeight w:val="101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lastRenderedPageBreak/>
              <w:t>11.2.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pStyle w:val="Komentarotekstas"/>
            </w:pPr>
            <w:r w:rsidRPr="00CF0BD9">
              <w:t>Dėl įtraukimo į jungtinių projektų vykdytojų sąrašą</w:t>
            </w:r>
          </w:p>
          <w:p w:rsidR="00736DD6" w:rsidRPr="00CF0BD9" w:rsidRDefault="00736DD6" w:rsidP="00551F39">
            <w:pPr>
              <w:pStyle w:val="Komentarotekstas"/>
            </w:pPr>
            <w:r w:rsidRPr="00CF0BD9">
              <w:t xml:space="preserve">Nutarimo projekto 3.5 papunktyje yra nurodyta, kad iki 2021 m. sausio 1 d. patvirtintų Ateities ekonomikos DNR plano veiksmų ir (ar) projektų plėtotojai laikomi Strateginio valdymo metodikos 111.2 papunktyje nurodytais strateginio valdymo sistemos dalyviais tiek, kiek tai susiję su Ateities ekonomikos DNR plano veiksmų ir (ar) projektų administravimu ir įgyvendinimu. Atkreipiame dėmesį, kad Administracijos 2021 m. biudžete yra patvirtinta 845 tūkst. eurų lėšų pagal DNR plano investicijų krypties „Skaitmeninė ekonomika ir verslas“ veiksmą „Teismų informacinės sistemos greitaveikos ir saugumo užtikrinimas bei teismų elektroninių paslaugų modernizavimas ir plėtra (LITEKO2), įskaitant LITEKO – PINREG integraciją“. Taip pat šiuo metu Administracija vykdo projektą „Kokybės, paslaugų ir infrastruktūros tobulinimas Lietuvos teismuose“, skirtą įgyvendinti 2014–2021 m. Europos ekonominės erdvės ir Norvegijos finansinių mechanizmų finansuojamą programą „Teisingumas ir vidaus reikalai“, dažnai įgyvendina tarptautinius projektus su projektų partneriais, pasirašo bendradarbiavimo sutartis. </w:t>
            </w:r>
          </w:p>
          <w:p w:rsidR="00736DD6" w:rsidRPr="00CF0BD9" w:rsidRDefault="00736DD6" w:rsidP="00551F39">
            <w:pPr>
              <w:pStyle w:val="Komentarotekstas"/>
            </w:pPr>
            <w:r w:rsidRPr="00CF0BD9">
              <w:t xml:space="preserve">Administracija kartu su teismais vykdys Teisingumo plėtros programos pažangos priemones, skirtas visai teismų sistemai, ir bus šių pažangos priemonių koordinatore, todėl manytume, kad Administracija turėtų būti įtraukta į Strateginio valdymo sistemos dalyvių, galinčių atlikti jungtinių projektų vykdytojų funkcijas, sąrašą teisingumo valstybės veiklos srityje, tačiau reikalinga tikslinti šio sąrašo įvadinį sakinį „priskyrimas ministrų valdymo sritims pagal valstybės veiklos sritis“, nes vykdomajai valdžiai nepavaldžios ir </w:t>
            </w:r>
            <w:proofErr w:type="spellStart"/>
            <w:r w:rsidRPr="00CF0BD9">
              <w:t>neatskaitingos</w:t>
            </w:r>
            <w:proofErr w:type="spellEnd"/>
            <w:r w:rsidRPr="00CF0BD9">
              <w:t xml:space="preserve"> institucijos nėra ministrų valdymo sričių įstaigos ir tai yra dviejų skirtingų sąvokų samplaika.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Nacionalinė teismų administracija nėra suplanavusi jungtinių projektų, todėl nėra tikslinga šiuo metu įtraukti į jungtinių projektų vykdytojų sąrašą. Jeigu ateityje iškils poreikis, NTA galės kreiptis dėl SVM patvirtinto jungtinių projektų vykdytojų sąrašo papildymo ir NTA įtraukimo į jį.</w:t>
            </w:r>
          </w:p>
        </w:tc>
      </w:tr>
      <w:tr w:rsidR="00615C84" w:rsidRPr="00CF0BD9" w:rsidTr="00551F39">
        <w:trPr>
          <w:trHeight w:val="346"/>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b/>
                <w:sz w:val="20"/>
                <w:szCs w:val="20"/>
              </w:rPr>
            </w:pPr>
            <w:r w:rsidRPr="00CF0BD9">
              <w:rPr>
                <w:b/>
                <w:sz w:val="20"/>
                <w:szCs w:val="20"/>
              </w:rPr>
              <w:t>14. Valstybės saugumo departamentas</w:t>
            </w:r>
          </w:p>
        </w:tc>
      </w:tr>
      <w:tr w:rsidR="00615C84" w:rsidRPr="00CF0BD9" w:rsidTr="00551F39">
        <w:trPr>
          <w:trHeight w:val="101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sz w:val="20"/>
                <w:szCs w:val="20"/>
              </w:rPr>
            </w:pPr>
            <w:r w:rsidRPr="00CF0BD9">
              <w:rPr>
                <w:sz w:val="20"/>
                <w:szCs w:val="20"/>
              </w:rPr>
              <w:t>14.1.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736DD6" w:rsidP="00551F39">
            <w:pPr>
              <w:pStyle w:val="Komentarotekstas"/>
            </w:pPr>
            <w:r w:rsidRPr="00CF0BD9">
              <w:t xml:space="preserve">Lietuvos Respublikos valstybės saugumo departamentas, įvertinęs Lietuvos Respublikos Vyriausybės nutarimo „Dėl Lietuvos Respublikos strateginio valdymo įstatymo įgyvendinimo“, kuriuo teikiama tvirtinti Strateginio valdymo metodika (toliau – Metodika), projektą, siūlo apsvarstyti galimybę minėtoje Metodikoje reglamentuoti, kad Metodikos Ketvirtojo skirsnio nuostatos </w:t>
            </w:r>
            <w:proofErr w:type="spellStart"/>
            <w:r w:rsidRPr="00CF0BD9">
              <w:t>mutatis</w:t>
            </w:r>
            <w:proofErr w:type="spellEnd"/>
            <w:r w:rsidRPr="00CF0BD9">
              <w:t xml:space="preserve"> </w:t>
            </w:r>
            <w:proofErr w:type="spellStart"/>
            <w:r w:rsidRPr="00CF0BD9">
              <w:t>mutandis</w:t>
            </w:r>
            <w:proofErr w:type="spellEnd"/>
            <w:r w:rsidRPr="00CF0BD9">
              <w:t xml:space="preserve"> taikomos ir ilgalaikių valstybinių saugumo stiprinimo programų pažangos priemonių įgyvendinimui.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9E294C"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Perteklinis pasiūlymas. Atsižvelgiant į </w:t>
            </w:r>
            <w:r w:rsidR="00AB5EA4">
              <w:rPr>
                <w:sz w:val="20"/>
                <w:szCs w:val="20"/>
              </w:rPr>
              <w:t>SVĮ</w:t>
            </w:r>
            <w:r w:rsidRPr="00CF0BD9">
              <w:rPr>
                <w:sz w:val="20"/>
                <w:szCs w:val="20"/>
              </w:rPr>
              <w:t xml:space="preserve"> nuostatas, kuriose nustatyta, kad ilgalaikėse valstybinės saugumo stiprinimo programose nustatomos valstybės mastu įgyvendinamos pažangos priemonės, visoms nacionalinėms PP </w:t>
            </w:r>
            <w:r w:rsidR="004D5BDB">
              <w:rPr>
                <w:sz w:val="20"/>
                <w:szCs w:val="20"/>
              </w:rPr>
              <w:t>SVM</w:t>
            </w:r>
            <w:r w:rsidRPr="00CF0BD9">
              <w:rPr>
                <w:sz w:val="20"/>
                <w:szCs w:val="20"/>
              </w:rPr>
              <w:t xml:space="preserve"> IV skirsnis yra taikomas.</w:t>
            </w:r>
          </w:p>
        </w:tc>
      </w:tr>
      <w:tr w:rsidR="00615C84" w:rsidRPr="00CF0BD9" w:rsidTr="00551F39">
        <w:trPr>
          <w:trHeight w:val="343"/>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b/>
                <w:sz w:val="20"/>
                <w:szCs w:val="20"/>
              </w:rPr>
            </w:pPr>
            <w:r w:rsidRPr="00CF0BD9">
              <w:rPr>
                <w:b/>
                <w:sz w:val="20"/>
                <w:szCs w:val="20"/>
              </w:rPr>
              <w:t>15. Lietuvos Respublikos specialiųjų tyrimų tarnyba</w:t>
            </w:r>
          </w:p>
        </w:tc>
      </w:tr>
      <w:tr w:rsidR="00615C84" w:rsidRPr="00CF0BD9" w:rsidTr="00551F39">
        <w:trPr>
          <w:trHeight w:val="69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sz w:val="20"/>
                <w:szCs w:val="20"/>
              </w:rPr>
            </w:pPr>
            <w:r w:rsidRPr="00CF0BD9">
              <w:rPr>
                <w:sz w:val="20"/>
                <w:szCs w:val="20"/>
              </w:rPr>
              <w:t>15.1.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pStyle w:val="Komentarotekstas"/>
            </w:pPr>
            <w:r w:rsidRPr="00CF0BD9">
              <w:t>Dėl dalyvavimo pasitarimuose</w:t>
            </w:r>
          </w:p>
          <w:p w:rsidR="00736DD6" w:rsidRPr="00CF0BD9" w:rsidRDefault="00736DD6" w:rsidP="00551F39">
            <w:pPr>
              <w:pStyle w:val="Komentarotekstas"/>
            </w:pPr>
            <w:r w:rsidRPr="00CF0BD9">
              <w:t xml:space="preserve">SVM 143 p. nurodytas Vyriausybės kanceliarijos pasitarimų organizavimas ir numatomas siekis sutarti tarp Ministro Pirmininko, finansų ministro ir atitinkamo ministro dėl n–(n + 2) </w:t>
            </w:r>
            <w:r w:rsidRPr="00CF0BD9">
              <w:lastRenderedPageBreak/>
              <w:t xml:space="preserve">metų planuojamų asignavimų ir siektinų rezultatų atitinkamose valstybės veiklos srityse. Šioje normoje išskirtina tai, kad numatoma galimybė pasitarimuose Vyriausybės kanceliarijoje dalyvauti ir kitiems Vyriausybei </w:t>
            </w:r>
            <w:proofErr w:type="spellStart"/>
            <w:r w:rsidRPr="00CF0BD9">
              <w:t>neatskaitingiems</w:t>
            </w:r>
            <w:proofErr w:type="spellEnd"/>
            <w:r w:rsidRPr="00CF0BD9">
              <w:t xml:space="preserve"> asignavimų valdytojams.</w:t>
            </w:r>
          </w:p>
          <w:p w:rsidR="00615C84" w:rsidRPr="00CF0BD9" w:rsidRDefault="00736DD6" w:rsidP="00551F39">
            <w:pPr>
              <w:pStyle w:val="Komentarotekstas"/>
            </w:pPr>
            <w:r w:rsidRPr="00CF0BD9">
              <w:t>Siūlomas teisinis reguliavimas aiškiai neapibrėžia, kuriais atvejais Vyriausybei neatskaitingi asignavimų valdytojai, kurių vadovaujamos įstaigos nepriskiriamos ministro valdymo sričiai, galėtų dalyvautų tokio pobūdžio pasitarimuose. Siekiant teisinio aiškumo, siūlytina papildyti 143 p. minėtu aspektu ir nustatyti aiškią tvarką, kada ir kokiais atvejais Vyriausybei nepavaldūs asignavimų valdytojai turėtų dalyvauti tokio pobūdžio svarstymuose, pavyzdžiui numatyti šią formuluotę: „Į pasitarimus Vyriausybės kanceliarijoje kviečiami ir kiti Vyriausybei neatskaitingi asignavimų valdytojai, jei pasitarimuose planuojama nagrinėti su asignavimų valdytojų vykdoma veikla susijusi ministro kuruojama sritis“.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736DD6" w:rsidP="00551F39">
            <w:pPr>
              <w:rPr>
                <w:b/>
                <w:sz w:val="20"/>
                <w:szCs w:val="20"/>
              </w:rPr>
            </w:pPr>
            <w:r w:rsidRPr="00CF0BD9">
              <w:rPr>
                <w:b/>
                <w:sz w:val="20"/>
                <w:szCs w:val="20"/>
              </w:rPr>
              <w:lastRenderedPageBreak/>
              <w:t>Atsižvelgta iš dalies.</w:t>
            </w:r>
          </w:p>
          <w:p w:rsidR="00736DD6" w:rsidRPr="00CF0BD9" w:rsidRDefault="004D5BDB" w:rsidP="00551F39">
            <w:pPr>
              <w:rPr>
                <w:sz w:val="20"/>
                <w:szCs w:val="20"/>
              </w:rPr>
            </w:pPr>
            <w:r>
              <w:rPr>
                <w:sz w:val="20"/>
                <w:szCs w:val="20"/>
              </w:rPr>
              <w:t>Paaiškinimas pateiktas prie Nacionalinės teismų administracijos pateiktos 11.1. p. pastabos.</w:t>
            </w:r>
          </w:p>
        </w:tc>
      </w:tr>
      <w:tr w:rsidR="00615C84" w:rsidRPr="00CF0BD9" w:rsidTr="00551F39">
        <w:trPr>
          <w:trHeight w:val="355"/>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b/>
                <w:sz w:val="20"/>
                <w:szCs w:val="20"/>
              </w:rPr>
            </w:pPr>
            <w:r w:rsidRPr="00CF0BD9">
              <w:rPr>
                <w:b/>
                <w:sz w:val="20"/>
                <w:szCs w:val="20"/>
              </w:rPr>
              <w:lastRenderedPageBreak/>
              <w:t>16. Lietuvos Respublikos vaiko teisių apsaugos kontrolieriaus įstaiga</w:t>
            </w:r>
          </w:p>
        </w:tc>
      </w:tr>
      <w:tr w:rsidR="00615C84"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sz w:val="20"/>
                <w:szCs w:val="20"/>
              </w:rPr>
            </w:pPr>
            <w:r w:rsidRPr="00CF0BD9">
              <w:rPr>
                <w:sz w:val="20"/>
                <w:szCs w:val="20"/>
              </w:rPr>
              <w:t>16.1.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Siūlytina apsvarstyti tikslingumą tobulinti Projekto 42 punkto formuluotę, papildant dėstomą teisės normą išimtimis, numatytomis Strateginio valdymo įstatymo 17 straipsnio 1 dalyje.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Perteklinis reguliavimas. Išimtys nustatytos </w:t>
            </w:r>
            <w:r w:rsidR="00AB5EA4">
              <w:rPr>
                <w:sz w:val="20"/>
                <w:szCs w:val="20"/>
              </w:rPr>
              <w:t>SVĮ</w:t>
            </w:r>
            <w:r w:rsidRPr="00CF0BD9">
              <w:rPr>
                <w:sz w:val="20"/>
                <w:szCs w:val="20"/>
              </w:rPr>
              <w:t xml:space="preserve">. Pažymime, kad </w:t>
            </w:r>
            <w:r w:rsidR="00943269">
              <w:rPr>
                <w:sz w:val="20"/>
                <w:szCs w:val="20"/>
              </w:rPr>
              <w:t>SVM</w:t>
            </w:r>
            <w:r w:rsidRPr="00CF0BD9">
              <w:rPr>
                <w:sz w:val="20"/>
                <w:szCs w:val="20"/>
              </w:rPr>
              <w:t xml:space="preserve"> detalizuoja </w:t>
            </w:r>
            <w:r w:rsidR="00AB5EA4">
              <w:rPr>
                <w:sz w:val="20"/>
                <w:szCs w:val="20"/>
              </w:rPr>
              <w:t>SVĮ</w:t>
            </w:r>
            <w:r w:rsidRPr="00CF0BD9">
              <w:rPr>
                <w:sz w:val="20"/>
                <w:szCs w:val="20"/>
              </w:rPr>
              <w:t xml:space="preserve"> įgyvendinimą.</w:t>
            </w:r>
          </w:p>
        </w:tc>
      </w:tr>
      <w:tr w:rsidR="00736DD6"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16.2.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 xml:space="preserve">Tikslinti Projekto 143 punktą dalyje „Finansų ministerija, įvertinusi ankstesniais metais įstaigų, kurių vadovai yra valstybės biudžeto asignavimų valdytojai, pasiektus rezultatus [...], išnagrinėja šių įstaigų pateiktus SVP projektus ir planuojamus tęstinės veiklos rezultatus“, įvertinant Vaiko teisių apsaugos kontrolieriaus įstaigos 2019-04-15 rašte Nr. (1.19-2019-291)2-382  bei 2020-10-05 rašte  Nr. (1.19-2020-686)2-1071 išdėstytus argumentus dėl vaiko teisių apsaugos kontrolieriaus, vykdančio (jam priskirtos kompetencijos ribose) priežiūros ir kontrolės funkcijas vykdomosios valdžios institucijų atžvilgiu, nepriklausomumo nuo vykdomosios valdžios garantijų bei jų užtikrinimo mechanizmų strateginio planavimo bei asignavimų skyrimo procese įtvirtinimo. </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 xml:space="preserve">Siūlytina tobulinti Projekto 143 punktą ir dalyje dėl konsultacijų (pasitarimų) dėl asignavimų skyrimo su Vyriausybei </w:t>
            </w:r>
            <w:proofErr w:type="spellStart"/>
            <w:r w:rsidRPr="00CF0BD9">
              <w:rPr>
                <w:rFonts w:eastAsia="Times New Roman"/>
                <w:kern w:val="0"/>
                <w:sz w:val="20"/>
                <w:szCs w:val="20"/>
                <w:lang w:eastAsia="en-US"/>
              </w:rPr>
              <w:t>neatskaitingais</w:t>
            </w:r>
            <w:proofErr w:type="spellEnd"/>
            <w:r w:rsidRPr="00CF0BD9">
              <w:rPr>
                <w:rFonts w:eastAsia="Times New Roman"/>
                <w:kern w:val="0"/>
                <w:sz w:val="20"/>
                <w:szCs w:val="20"/>
                <w:lang w:eastAsia="en-US"/>
              </w:rPr>
              <w:t xml:space="preserve"> asignavimų valdytojais, įtvirtinant pareigą rengti pasitarimus dėl asignavimų skyrimo ir su Vyriausybei </w:t>
            </w:r>
            <w:proofErr w:type="spellStart"/>
            <w:r w:rsidRPr="00CF0BD9">
              <w:rPr>
                <w:rFonts w:eastAsia="Times New Roman"/>
                <w:kern w:val="0"/>
                <w:sz w:val="20"/>
                <w:szCs w:val="20"/>
                <w:lang w:eastAsia="en-US"/>
              </w:rPr>
              <w:t>neatskaitingais</w:t>
            </w:r>
            <w:proofErr w:type="spellEnd"/>
            <w:r w:rsidRPr="00CF0BD9">
              <w:rPr>
                <w:rFonts w:eastAsia="Times New Roman"/>
                <w:kern w:val="0"/>
                <w:sz w:val="20"/>
                <w:szCs w:val="20"/>
                <w:lang w:eastAsia="en-US"/>
              </w:rPr>
              <w:t xml:space="preserve"> biudžeto asignavimų valdytojais. Projektų rengėjų siūlymu, šiame punkte yra numatyta, kad „pasitarimuose Vyriausybės kanceliarijoje gali dalyvauti ir kiti Vyriausybei neatskaitingi asignavimų valdytojai, kurių vadovaujamos įstaigos nepriskiriamos ministro valdymo sričiai, jeigu tai neprieštarauja jų veiklą reglamentuojančių teisės aktų nuostatoms“, o tai reiškia, kad ir toliau bus palaikoma praktika, kai su nepriklausomomis ir vykdomosios valdžios institucijų grandžiai nepriskiriamomis institucijomis atskiri pasitarimai nebus rengiami ir nebus konsultuojamasi dėl asignavimų joms skyrimo (Vaiko teisių apsaugos kontrolieriaus įstaiga nebuvo kviečiama į tokio pobūdžio pasitarimus).</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Argumentuojant aukščiau pateiktus siūlymus dėl Projekto 143 punkto tobulinimo, pakartotinai atkreiptinas dėmesys, kad Vaiko teisių apsaugos kontrolieriaus įstatymo 3 straipsnio 3 punkte, laikantis Jungtinių Tautų Paryžiaus principų bei Europos Tarybos Venecijos komisijos Apsaugos ir pagalbos ombudsmenų institucijoms principų („Venecijos principų“)    dėl pakankamų ir nepriklausomų biudžeto lėšų ir veiklos nepriklausomumo užtikrinimo, yra įtvirtintos vaiko teisių apsaugos kontrolieriaus veiklos laisvės, savarankiškumo ir nepriklausomumo garantijos, išsaugant finansinį ir veiklos nepriklausomumą nuo vykdomosios valdžios institucijų.</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 xml:space="preserve">Siūlomas strateginio planavimo ir biudžeto formavimo modelis, kai Finansų ministerija </w:t>
            </w:r>
            <w:r w:rsidRPr="00CF0BD9">
              <w:rPr>
                <w:rFonts w:eastAsia="Times New Roman"/>
                <w:kern w:val="0"/>
                <w:sz w:val="20"/>
                <w:szCs w:val="20"/>
                <w:lang w:eastAsia="en-US"/>
              </w:rPr>
              <w:lastRenderedPageBreak/>
              <w:t xml:space="preserve">įvertins ankstesniais metais pasiektus rezultatus ir panaudotus asignavimus, nagrinės pateiktus SVP projektus ir planuojamus pasiekti tęstinės veiklos rezultatus (jų vertinimo rodiklius, rodiklių siektinas reikšmes) iškreipia valstybės valdžios institucijų sistemą ir institucijų sąveiką, Vaiko teisių apsaugos kontrolieriaus įstaigą daro ekonominiu ir strateginio planavimo aspektais priklausomą nuo vykdomosios valdžios institucijų. </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 xml:space="preserve">Vaiko teisių apsaugos kontrolierė, kreipimuose į Finansų ministeriją, taip pat į Seimą, ne kartą pabrėžė, kad ir šiuo metu egzistuojantis (ir toliau siūlomas) įstaigos finansavimo modelis, kai Vyriausybė (Finansų ministerija) biudžeto asignavimus Vaiko teisių apsaugos kontrolieriaus įstaigai skiria ne pagal institucijos poreikius (užsibrėžtus strateginius tikslus, jiems pasiekti numatomas priemones), o pagal iš anksto nustatytus limitus, apriboja galimybę pačiai institucijai apsispręsti dėl veiklos krypčių ir jų masto, veiklos prioritetų, pažeidžia vaiko teisių apsaugos kontrolieriaus nepriklausomumo principą (daroma įtaka planuojant įstaigos veiklą, numatant strategines veiklos kryptis, organizuojant įstaigos darbą ir pan.) ir apriboja galimybės veiksmingai vykdyti įstatymu suteiktus įgaliojimus. </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Aukščiau paminėtuose Europos Tarybos Venecijos komisijos patvirtintuose Apsaugos ir pagalbos ombudsmenų institucijoms principuose nustatyta ne tik tai, „įstatymas turi numatyti, kad biudžeto lėšų skyrimas ombudsmeno institucijai turi atitikti poreikį užtikrinti visišką, nepriklausomą ir veiksmingą savo pareigų ir funkcijų vykdymą“, bet ir tai, kad su ombudsmenu turi būti konsultuojamasi ir prašoma pateikti ateinančių finansinių metų biudžeto projektą. Nepriklausomo ombudsmeno biudžeto audito metu atsižvelgiama tik į finansinių procedūrų teisėtumą, o ne į prioritetų pasirinkimą vykdant įgaliojimus.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lastRenderedPageBreak/>
              <w:t>Atsižvelgta iš dalies.</w:t>
            </w:r>
          </w:p>
          <w:p w:rsidR="00736DD6" w:rsidRPr="00CF0BD9" w:rsidRDefault="004D5BDB" w:rsidP="00551F39">
            <w:pPr>
              <w:rPr>
                <w:b/>
                <w:sz w:val="20"/>
                <w:szCs w:val="20"/>
              </w:rPr>
            </w:pPr>
            <w:r>
              <w:rPr>
                <w:sz w:val="20"/>
                <w:szCs w:val="20"/>
              </w:rPr>
              <w:t>Paaiškinimas pateiktas prie Nacionalinės teismų administracijos pateiktos11.1 p. pastabos.</w:t>
            </w:r>
          </w:p>
        </w:tc>
      </w:tr>
      <w:tr w:rsidR="00736DD6"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lastRenderedPageBreak/>
              <w:t>16.3.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Ankstesniame punkte nurodyti argumentai dėl nepriklausomumo garantijų reikšmingi ir veiklos rezultatų stebėseną atliekančių subjektų bei subjektų, kuriems atsiskaitoma už metinius veiklos rezultatus aspektu. Taip pat atkreiptinas dėmesys į ombudsmenų veiklos efektyvumo vertinimo specifiką, į tai, kad jų veiklos ataskaitos pateikiamos Lietuvos Respublikos Seimui.</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 xml:space="preserve">Todėl siūlytina įvertinti poreikį tobulinti Projekto V skyrių, įvertinant biudžeto asignavimų valdytojų, nepriklausančių vykdomosios valdžios institucijų sistemai ir nedalyvaujančių plėtros programos ir (ar) Vyriausybės programos įgyvendinime, specifiką, taip pat įvertinant poreikį tobulinti šių institucijų efektyvumo rodiklių stebėseną (peržiūrėti ją vykdančius subjektus), atsiskaitymą už rezultatus, duomenų pateikimo į centralizuotą Stebėsenos informacinę sistemą tikslingumą.  </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Įvertinta.</w:t>
            </w:r>
          </w:p>
          <w:p w:rsidR="00736DD6" w:rsidRPr="00CF0BD9" w:rsidRDefault="00736DD6" w:rsidP="00FB5CBF">
            <w:pPr>
              <w:rPr>
                <w:sz w:val="20"/>
                <w:szCs w:val="20"/>
              </w:rPr>
            </w:pPr>
            <w:r w:rsidRPr="00CF0BD9">
              <w:rPr>
                <w:sz w:val="20"/>
                <w:szCs w:val="20"/>
              </w:rPr>
              <w:t>Diegiant Strateginio valdymo informacinę sistemą (SVIS), pakeisiančią šiuo metu taikomą Stebėsenos informacinę sistemą (SIS) bus siūloma įtraukti platesnį dalyvių ir stebėsenos rodiklių ratą.</w:t>
            </w:r>
          </w:p>
        </w:tc>
      </w:tr>
      <w:tr w:rsidR="00650D6A" w:rsidRPr="00CF0BD9" w:rsidTr="00551F39">
        <w:trPr>
          <w:trHeight w:val="426"/>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50D6A" w:rsidRPr="00CF0BD9" w:rsidRDefault="00736DD6" w:rsidP="00551F39">
            <w:pPr>
              <w:rPr>
                <w:b/>
                <w:sz w:val="20"/>
                <w:szCs w:val="20"/>
              </w:rPr>
            </w:pPr>
            <w:r w:rsidRPr="00CF0BD9">
              <w:rPr>
                <w:b/>
                <w:sz w:val="20"/>
                <w:szCs w:val="20"/>
              </w:rPr>
              <w:t>17. Valstybinė energetikos reguliavimo tarnyba</w:t>
            </w:r>
          </w:p>
        </w:tc>
      </w:tr>
      <w:tr w:rsidR="00650D6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50D6A" w:rsidRPr="00CF0BD9" w:rsidRDefault="00736DD6" w:rsidP="00551F39">
            <w:pPr>
              <w:rPr>
                <w:sz w:val="20"/>
                <w:szCs w:val="20"/>
              </w:rPr>
            </w:pPr>
            <w:r w:rsidRPr="00CF0BD9">
              <w:rPr>
                <w:sz w:val="20"/>
                <w:szCs w:val="20"/>
              </w:rPr>
              <w:t>17.1.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4F44A5"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Metodikos 225 punkte numatyta, kad stebėsenos duomenys teikiami į centralizuotą Stebėsenos informacinę sistemą. Pažymėtina, kad Taryba nesinaudoja Stebėsenos informacine sistema. Tarybos atitinkamų metų SVP numatyti kriterijai ir jų pasiektos reikšmės iki šiol buvo pateikiamos metinėje veiklos ataskaitoje. Atsižvelgdama į tai, Taryba siūlo Metodikoje aiškiai reglamentuoti, kad Tarybos (galimai kitų, nepriklausomo reguliuotojo statusą turinčių, institucijų)  stebėsenos duomenys nebūtų teikiami į centralizuotą Stebėsenos informacinę sistemą, o būtų pateikiami tik Tarybos metinės veiklos ataskaitoje.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9C47F6" w:rsidRPr="00CF0BD9" w:rsidRDefault="00736DD6" w:rsidP="00551F39">
            <w:pPr>
              <w:rPr>
                <w:sz w:val="20"/>
                <w:szCs w:val="20"/>
              </w:rPr>
            </w:pPr>
            <w:r w:rsidRPr="00CF0BD9">
              <w:rPr>
                <w:sz w:val="20"/>
                <w:szCs w:val="20"/>
              </w:rPr>
              <w:t>Stebėsenos informacinės sistemos (SIS) subjektų ratas plečiamas nebus, t. y. Valstybinė energetikos reguliavimo tarnyba, kaip ir iki šiol, duomenis apie stebėsenos rodiklių įvykdymą pateiktų savo veiklos ataskaitoje. Kuriant Strateginio valdymo informacinę sistemą (SVIS), nuo 2024 m. pakeisiančią SIS, galėtų būti svarstoma praplėsti sistemos naudotojų ratą ir įtraukti visus valstybės biudžeto asignavimų valdytojus, jeigu tai nepažeistų jų veiklą reglamentuojančių teisės aktų nuostatų.</w:t>
            </w:r>
          </w:p>
        </w:tc>
      </w:tr>
      <w:tr w:rsidR="004F44A5" w:rsidRPr="00CF0BD9" w:rsidTr="00551F39">
        <w:trPr>
          <w:trHeight w:val="355"/>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4F44A5" w:rsidRPr="00CF0BD9" w:rsidRDefault="007A4E2A" w:rsidP="00551F39">
            <w:pPr>
              <w:rPr>
                <w:b/>
                <w:sz w:val="20"/>
                <w:szCs w:val="20"/>
              </w:rPr>
            </w:pPr>
            <w:r w:rsidRPr="00CF0BD9">
              <w:rPr>
                <w:b/>
                <w:sz w:val="20"/>
                <w:szCs w:val="20"/>
              </w:rPr>
              <w:t>18. Etninės kultūros globos taryba</w:t>
            </w:r>
          </w:p>
        </w:tc>
      </w:tr>
      <w:tr w:rsidR="004F44A5"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4F44A5" w:rsidRPr="00CF0BD9" w:rsidRDefault="007A4E2A" w:rsidP="00551F39">
            <w:pPr>
              <w:rPr>
                <w:sz w:val="20"/>
                <w:szCs w:val="20"/>
              </w:rPr>
            </w:pPr>
            <w:r w:rsidRPr="00CF0BD9">
              <w:rPr>
                <w:sz w:val="20"/>
                <w:szCs w:val="20"/>
              </w:rPr>
              <w:lastRenderedPageBreak/>
              <w:t>18.1.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Visų pirma norime pabrėžti, kad Metodikoje pasigendame aiškesnio Seimui </w:t>
            </w:r>
            <w:proofErr w:type="spellStart"/>
            <w:r w:rsidRPr="00CF0BD9">
              <w:rPr>
                <w:rFonts w:eastAsia="Times New Roman"/>
                <w:kern w:val="0"/>
                <w:sz w:val="20"/>
                <w:szCs w:val="20"/>
                <w:lang w:eastAsia="lt-LT"/>
              </w:rPr>
              <w:t>atskaitingų</w:t>
            </w:r>
            <w:proofErr w:type="spellEnd"/>
            <w:r w:rsidRPr="00CF0BD9">
              <w:rPr>
                <w:rFonts w:eastAsia="Times New Roman"/>
                <w:kern w:val="0"/>
                <w:sz w:val="20"/>
                <w:szCs w:val="20"/>
                <w:lang w:eastAsia="lt-LT"/>
              </w:rPr>
              <w:t xml:space="preserve"> institucijų vaidmens įvardijimo, nors šios institucijos patenka į strateginio valdymo sistemos dalyvių sampratą remiantis Lietuvos Respublikos strateginio valdymo įstatymo (toliau – SVĮ) 3 straipsnio 17 dalies 3 punktu. Siūlome Seimui </w:t>
            </w:r>
            <w:proofErr w:type="spellStart"/>
            <w:r w:rsidRPr="00CF0BD9">
              <w:rPr>
                <w:rFonts w:eastAsia="Times New Roman"/>
                <w:kern w:val="0"/>
                <w:sz w:val="20"/>
                <w:szCs w:val="20"/>
                <w:lang w:eastAsia="lt-LT"/>
              </w:rPr>
              <w:t>atskaitingas</w:t>
            </w:r>
            <w:proofErr w:type="spellEnd"/>
            <w:r w:rsidRPr="00CF0BD9">
              <w:rPr>
                <w:rFonts w:eastAsia="Times New Roman"/>
                <w:kern w:val="0"/>
                <w:sz w:val="20"/>
                <w:szCs w:val="20"/>
                <w:lang w:eastAsia="lt-LT"/>
              </w:rPr>
              <w:t xml:space="preserve"> institucijas įtraukti į įvairių planavimo dokumentų rengimo procesus, atsižvelgiant į jų kompetencijas tam tikrose valstybės veiklos srityse. Šis siūlymas grindžiamas pastebėjimu, kad vertinant kai kurių sričių pažangą ne viskas pamatuojama vien kiekybiniais rodikliais, neretai daug svarbesnis kokybinis vertinimas, kurį gali atlikti tik aukštą kompetenciją atitinkamoje srityje turinčios Seimui </w:t>
            </w:r>
            <w:proofErr w:type="spellStart"/>
            <w:r w:rsidRPr="00CF0BD9">
              <w:rPr>
                <w:rFonts w:eastAsia="Times New Roman"/>
                <w:kern w:val="0"/>
                <w:sz w:val="20"/>
                <w:szCs w:val="20"/>
                <w:lang w:eastAsia="lt-LT"/>
              </w:rPr>
              <w:t>atskaitingos</w:t>
            </w:r>
            <w:proofErr w:type="spellEnd"/>
            <w:r w:rsidRPr="00CF0BD9">
              <w:rPr>
                <w:rFonts w:eastAsia="Times New Roman"/>
                <w:kern w:val="0"/>
                <w:sz w:val="20"/>
                <w:szCs w:val="20"/>
                <w:lang w:eastAsia="lt-LT"/>
              </w:rPr>
              <w:t xml:space="preserve"> institucijos. </w:t>
            </w:r>
          </w:p>
          <w:p w:rsidR="004F44A5" w:rsidRPr="00CF0BD9" w:rsidRDefault="007A4E2A" w:rsidP="00551F39">
            <w:pPr>
              <w:widowControl/>
              <w:suppressAutoHyphens w:val="0"/>
              <w:rPr>
                <w:rFonts w:eastAsia="Times New Roman"/>
                <w:kern w:val="0"/>
                <w:sz w:val="20"/>
                <w:szCs w:val="20"/>
                <w:lang w:val="en-US" w:eastAsia="lt-LT"/>
              </w:rPr>
            </w:pPr>
            <w:r w:rsidRPr="00CF0BD9">
              <w:rPr>
                <w:rFonts w:eastAsia="Times New Roman"/>
                <w:kern w:val="0"/>
                <w:sz w:val="20"/>
                <w:szCs w:val="20"/>
                <w:lang w:eastAsia="lt-LT"/>
              </w:rPr>
              <w:t xml:space="preserve">Pavyzdžiui, siūlome įrašyti Seimui </w:t>
            </w:r>
            <w:proofErr w:type="spellStart"/>
            <w:r w:rsidRPr="00CF0BD9">
              <w:rPr>
                <w:rFonts w:eastAsia="Times New Roman"/>
                <w:kern w:val="0"/>
                <w:sz w:val="20"/>
                <w:szCs w:val="20"/>
                <w:lang w:eastAsia="lt-LT"/>
              </w:rPr>
              <w:t>atskaitingas</w:t>
            </w:r>
            <w:proofErr w:type="spellEnd"/>
            <w:r w:rsidRPr="00CF0BD9">
              <w:rPr>
                <w:rFonts w:eastAsia="Times New Roman"/>
                <w:kern w:val="0"/>
                <w:sz w:val="20"/>
                <w:szCs w:val="20"/>
                <w:lang w:eastAsia="lt-LT"/>
              </w:rPr>
              <w:t xml:space="preserve"> institucijas į Metodikos 19 punktą, kuriame kalbama apie Seimo komitetų ir komisijų, Savivaldybių asociacijos ir kitų organizacijų bei institucijų įtraukimą į Valstybės pažangos strategijos rengimo procesą. Taip pat siūlome į Metodikos 20 punktą įtraukti nuostatą, kad po Valstybės pažangos strategijos inicijavimo STRATA turi pristatyti aplinkos analizės rezultatus ne tik ministerijoms, bet ir Seimui </w:t>
            </w:r>
            <w:proofErr w:type="spellStart"/>
            <w:r w:rsidRPr="00CF0BD9">
              <w:rPr>
                <w:rFonts w:eastAsia="Times New Roman"/>
                <w:kern w:val="0"/>
                <w:sz w:val="20"/>
                <w:szCs w:val="20"/>
                <w:lang w:eastAsia="lt-LT"/>
              </w:rPr>
              <w:t>atskaitingoms</w:t>
            </w:r>
            <w:proofErr w:type="spellEnd"/>
            <w:r w:rsidRPr="00CF0BD9">
              <w:rPr>
                <w:rFonts w:eastAsia="Times New Roman"/>
                <w:kern w:val="0"/>
                <w:sz w:val="20"/>
                <w:szCs w:val="20"/>
                <w:lang w:eastAsia="lt-LT"/>
              </w:rPr>
              <w:t xml:space="preserve"> institucijoms.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Atsižvelgta iš dalies.</w:t>
            </w:r>
          </w:p>
          <w:p w:rsidR="000161D8" w:rsidRPr="00CF0BD9" w:rsidRDefault="004D5BDB" w:rsidP="00551F39">
            <w:pPr>
              <w:rPr>
                <w:sz w:val="20"/>
                <w:szCs w:val="20"/>
              </w:rPr>
            </w:pPr>
            <w:r>
              <w:rPr>
                <w:sz w:val="20"/>
                <w:szCs w:val="20"/>
              </w:rPr>
              <w:t>SVM</w:t>
            </w:r>
            <w:r w:rsidR="007A4E2A" w:rsidRPr="00CF0BD9">
              <w:rPr>
                <w:sz w:val="20"/>
                <w:szCs w:val="20"/>
              </w:rPr>
              <w:t xml:space="preserve"> punktai patikslinti, pakeičiant institucijas strateginio valdymo sistemos dalyviais. </w:t>
            </w:r>
            <w:r>
              <w:rPr>
                <w:sz w:val="20"/>
                <w:szCs w:val="20"/>
              </w:rPr>
              <w:t>SVM</w:t>
            </w:r>
            <w:r w:rsidR="007A4E2A" w:rsidRPr="00CF0BD9">
              <w:rPr>
                <w:sz w:val="20"/>
                <w:szCs w:val="20"/>
              </w:rPr>
              <w:t xml:space="preserve"> konkretūs dalyviai įvardijami tik tada kai jie įvardijami </w:t>
            </w:r>
            <w:r w:rsidR="00AB5EA4">
              <w:rPr>
                <w:sz w:val="20"/>
                <w:szCs w:val="20"/>
              </w:rPr>
              <w:t>SVĮ</w:t>
            </w:r>
            <w:r w:rsidR="007A4E2A" w:rsidRPr="00CF0BD9">
              <w:rPr>
                <w:sz w:val="20"/>
                <w:szCs w:val="20"/>
              </w:rPr>
              <w:t>.</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18.2.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Siūlome keisti Metodikos 143 punktą, kuriame nurodoma, jog Vyriausybei neatskaitingi asignavimų valdytojai pasitarimuose Vyriausybės kanceliarijoje tik gali dalyvauti. Reikėtų įtvirtinti nuostatą, kad minėti Vyriausybei neatskaitingi asignavimų valdytojai dalyvauja pasitarimuose Vyriausybės kanceliarijoje, jei svarstomi su jų vadovaujama įstaiga susiję klausimai.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Atsižvelgta iš dalies.</w:t>
            </w:r>
          </w:p>
          <w:p w:rsidR="007A4E2A" w:rsidRPr="00CF0BD9" w:rsidRDefault="005210CE" w:rsidP="00551F39">
            <w:pPr>
              <w:rPr>
                <w:sz w:val="20"/>
                <w:szCs w:val="20"/>
              </w:rPr>
            </w:pPr>
            <w:r>
              <w:rPr>
                <w:sz w:val="20"/>
                <w:szCs w:val="20"/>
              </w:rPr>
              <w:t>Paaiškinimas pateiktas prie Nacionalinės teismų administracijos pateiktos 11.1. p. pastabos.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18.3.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Trūksta kai kurių sąvokų apibrėžimų: pavyzdžiui, kas yra „jungtinis projektas”, „fondų fondas”.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 xml:space="preserve">Jungtinis projektas apibrėžtas 111.2 p., fondų fondas </w:t>
            </w:r>
            <w:r w:rsidR="00AB5EA4">
              <w:rPr>
                <w:sz w:val="20"/>
                <w:szCs w:val="20"/>
              </w:rPr>
              <w:t>–</w:t>
            </w:r>
            <w:r w:rsidRPr="00CF0BD9">
              <w:rPr>
                <w:sz w:val="20"/>
                <w:szCs w:val="20"/>
              </w:rPr>
              <w:t xml:space="preserve"> 125 p. nurodyta, kad apibrėžta Lietuvos Respublikos nacionalinių plėtros įstaigų įstatyme.</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18.4.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Strateginio valdymo sistemos dalyvių, galinčių atlikti jungtinių projektų vykdytojų funkcijas, sąrašo projektas (toliau – JP vykdytojų sąrašas)</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Aptariant pateiktą JP vykdytojų sąrašo projektą Finansų ministerijos lydraštyje tvirtinama, kad SVĮ 3 straipsnio 17 dalies 8 punkte nurodomos Vyriausybės patvirtintos</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biudžetinės įstaigos, nacionalinės plėtros įstaigos ir viešosios įstaigos, atsakingos už projektų administravimą ir vystymą. Tačiau atkreipiame dėmesį, kad SVĮ 3 straipsnio 17 dalies 8 punkte nurodytas kitoks Vyriausybės vaidmuo paminėtų įstaigų atžvilgiu – Vyriausybė tvirtina sąrašą viešųjų įstaigų, atsakingų „už metodologinę pagalbą rengiant nacionalines plėtros programas, jas įgyvendinančias pažangos priemones ir projektus, projektų administravimą ir vystymą“. Tokia SVĮ 3 straipsnio 17 dalies 8 punkto formuluotė leistų į JP vykdytojų sąrašą įtraukti ir kitas, ne vien Vyriausybės patvirtintas viešąsias įstaigas: pavyzdžiui, </w:t>
            </w:r>
            <w:proofErr w:type="spellStart"/>
            <w:r w:rsidRPr="00CF0BD9">
              <w:rPr>
                <w:rFonts w:eastAsia="Times New Roman"/>
                <w:kern w:val="0"/>
                <w:sz w:val="20"/>
                <w:szCs w:val="20"/>
                <w:lang w:eastAsia="lt-LT"/>
              </w:rPr>
              <w:t>VšĮ</w:t>
            </w:r>
            <w:proofErr w:type="spellEnd"/>
            <w:r w:rsidRPr="00CF0BD9">
              <w:rPr>
                <w:rFonts w:eastAsia="Times New Roman"/>
                <w:kern w:val="0"/>
                <w:sz w:val="20"/>
                <w:szCs w:val="20"/>
                <w:lang w:eastAsia="lt-LT"/>
              </w:rPr>
              <w:t xml:space="preserve"> Spaudos, radijo ir televizijos</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rėmimo fondą.</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Taip pat reikia pažymėti, kad metodologinę pagalbą dėl nacionalinių plėtros programų, jas įgyvendinančių pažangos priemonių ir projektų gali teikti įvairios Seimui </w:t>
            </w:r>
            <w:proofErr w:type="spellStart"/>
            <w:r w:rsidRPr="00CF0BD9">
              <w:rPr>
                <w:rFonts w:eastAsia="Times New Roman"/>
                <w:kern w:val="0"/>
                <w:sz w:val="20"/>
                <w:szCs w:val="20"/>
                <w:lang w:eastAsia="lt-LT"/>
              </w:rPr>
              <w:t>atskaitingos</w:t>
            </w:r>
            <w:proofErr w:type="spellEnd"/>
            <w:r w:rsidRPr="00CF0BD9">
              <w:rPr>
                <w:rFonts w:eastAsia="Times New Roman"/>
                <w:kern w:val="0"/>
                <w:sz w:val="20"/>
                <w:szCs w:val="20"/>
                <w:lang w:eastAsia="lt-LT"/>
              </w:rPr>
              <w:t xml:space="preserve"> institucijos, kurios pasižymi aukšta kompetencija tam tikroje srityje. Pavyzdžiui, etninės kultūros srityje bene didžiausia kompetencija pasižymi kolegiali ekspertinė institucija EKGT, kurios vienas iš uždavinių – „dalyvauti įgyvendinant programinį ir konkursinį etninės kultūros plėtros ir nematerialaus kultūros paveldo apsaugos finansavimą” (EKVGPĮ 61 straipsnio 6 dalies 5 punktas), o viena iš funkcijų – teikti „siūlymus ir išvadas Seimui, Vyriausybei ir savivaldybėms</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lastRenderedPageBreak/>
              <w:t>dėl etninei kultūrai, nematerialaus kultūros paveldo apsaugai skiriamų valstybės biudžeto asignavimų, dėl finansavimo tvarkos tobulinimo, programinio ir konkursinio finansavimo, lėšų naudojimo veiksmingumo” (EKVGPĮ 61 straipsnio 7 dalies 5 punktas). Tuo remiantis siūlome į JJ vykdytojų sąrašą įrašyti Etninės kultūros globos tarybą.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lastRenderedPageBreak/>
              <w:t>Neatsižvelgta.</w:t>
            </w:r>
          </w:p>
          <w:p w:rsidR="007A4E2A" w:rsidRPr="00CF0BD9" w:rsidRDefault="007A4E2A" w:rsidP="00551F39">
            <w:pPr>
              <w:rPr>
                <w:sz w:val="20"/>
                <w:szCs w:val="20"/>
              </w:rPr>
            </w:pPr>
            <w:r w:rsidRPr="00CF0BD9">
              <w:rPr>
                <w:sz w:val="20"/>
                <w:szCs w:val="20"/>
              </w:rPr>
              <w:t>Jungtinių projektų vykdytojų siūlymus teikė ministerijos, šį siūlymą pateikė Etninės kultūros globos taryba, t.y. netinkamas subjektas. Siūlytume kreiptis į atitinkamą ministeriją, kuri apsvarstytų EKGT įtraukimą ir esant teigiamam sprendimui - kreiptųsi dėl SVM priedo patikslinimo ir EKGT įtraukimo į jungtinių projektų vykdytojų sąrašą.</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lastRenderedPageBreak/>
              <w:t>18.5.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Lietuvos Respublikos Vyriausybės nutarimo „Dėl Lietuvos Respublikos strateginio valdymo įstatymo įgyvendinimo“ projektas (toliau – Nutarimo projektas)</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1. Nutarimo projekto 3.4. papunktyje nurodoma, kad Lietuvos Respublikos Vyriausybės kanceliarija „kartu su ministerijomis nustato nacionalinių plėtros programų ir (arba) jų priemonių atitiktį Vyriausybės programos prioritetams ir nacionalinių plėtros programų ir jų priemonių keitimo arba naujų priemonių rengimo poreikius ir galimybes”. Siūlome į šiuos vertinimus įtraukti ne tik ministerijas, bet ir Seimui </w:t>
            </w:r>
            <w:proofErr w:type="spellStart"/>
            <w:r w:rsidRPr="00CF0BD9">
              <w:rPr>
                <w:rFonts w:eastAsia="Times New Roman"/>
                <w:kern w:val="0"/>
                <w:sz w:val="20"/>
                <w:szCs w:val="20"/>
                <w:lang w:eastAsia="lt-LT"/>
              </w:rPr>
              <w:t>atskaitingas</w:t>
            </w:r>
            <w:proofErr w:type="spellEnd"/>
            <w:r w:rsidRPr="00CF0BD9">
              <w:rPr>
                <w:rFonts w:eastAsia="Times New Roman"/>
                <w:kern w:val="0"/>
                <w:sz w:val="20"/>
                <w:szCs w:val="20"/>
                <w:lang w:eastAsia="lt-LT"/>
              </w:rPr>
              <w:t xml:space="preserve"> institucijas, kurioms teisės aktais priskirta atlikti ne tik Seimo, bet ir Vyriausybės eksperto bei patarėjo misiją tam tikrose valstybės veiklos srityse.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Atsižvelgta iš dalies.</w:t>
            </w:r>
          </w:p>
          <w:p w:rsidR="007A4E2A" w:rsidRPr="00CF0BD9" w:rsidRDefault="007A4E2A" w:rsidP="00551F39">
            <w:pPr>
              <w:rPr>
                <w:sz w:val="20"/>
                <w:szCs w:val="20"/>
              </w:rPr>
            </w:pPr>
            <w:r w:rsidRPr="00CF0BD9">
              <w:rPr>
                <w:sz w:val="20"/>
                <w:szCs w:val="20"/>
              </w:rPr>
              <w:t xml:space="preserve">Atsisakyta nuostatos. Pažymime, kad </w:t>
            </w:r>
            <w:r w:rsidR="00AB5EA4">
              <w:rPr>
                <w:sz w:val="20"/>
                <w:szCs w:val="20"/>
              </w:rPr>
              <w:t>SVĮ</w:t>
            </w:r>
            <w:r w:rsidRPr="00CF0BD9">
              <w:rPr>
                <w:sz w:val="20"/>
                <w:szCs w:val="20"/>
              </w:rPr>
              <w:t xml:space="preserve"> 17 str. 1 d. nustatyta, kad rengiant nacionalines plėtros programas valstybės veiklos srityse, kuriose veikia Vyriausybei nepavaldūs ir (arba) neatskaitingi strateginio valdymo sistemos dalyviai, dalyvauja suinteresuoti Vyriausybei nepavaldūs ir (arba) neatskaitingi strateginio valdymo sistemos dalyviai, kiek tai neprieštarauja jų veiklą reglamentuojantiems įstatymams.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18.6.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2. Nutarimo projekto 3.7. papunktyje nurodoma, kad planavimo dokumentai, parengti ir patvirtinti iki 2021 m. sausio 1 d., turi būti įgyvendinami tik iki 2022 m. gruodžio 31 d. Atkreipiame dėmesį, kad šis sprendimas nulemtų ilgai laukto ir neseniai parengto Kultūros paveldo išsaugojimo ir aktualizavimo politikos 2020–2024 metų veiksmų plano (patvirtinto Lietuvos Respublikos kultūros ministro įsakymu 2020 m. lapkričio 16 d. Nr. ĮV-1374) įgyvendinimo nutraukimą, paliekant galimybę įgyvendinti tik pusę suplanuotų priemonių, nors šio planavimo dokumento įgyvendinimas yra itin svarbus kultūros sričiai. Todėl siūlome lanksčiau suformuluoti Nutarimo 3.7. papunktį, paliekant galimybę pilnai įgyvendinti trumpo laikotarpio planavimo dokumentus.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Atsižvelgta iš dalies.</w:t>
            </w:r>
          </w:p>
          <w:p w:rsidR="007A4E2A" w:rsidRPr="00CF0BD9" w:rsidRDefault="007A4E2A" w:rsidP="00551F39">
            <w:pPr>
              <w:rPr>
                <w:sz w:val="20"/>
                <w:szCs w:val="20"/>
              </w:rPr>
            </w:pPr>
            <w:r w:rsidRPr="00CF0BD9">
              <w:rPr>
                <w:sz w:val="20"/>
                <w:szCs w:val="20"/>
              </w:rPr>
              <w:t>Patikslintas punktas, nurodant, kad nuostata taikoma planavimo dokumentams, kuriais įgyvendi</w:t>
            </w:r>
            <w:r w:rsidR="00AB5EA4">
              <w:rPr>
                <w:sz w:val="20"/>
                <w:szCs w:val="20"/>
              </w:rPr>
              <w:t>n</w:t>
            </w:r>
            <w:r w:rsidRPr="00CF0BD9">
              <w:rPr>
                <w:sz w:val="20"/>
                <w:szCs w:val="20"/>
              </w:rPr>
              <w:t>amos 2014-2020 m. ES finansinės paramos lėšomis finansuojamos  priemonės.</w:t>
            </w:r>
          </w:p>
        </w:tc>
      </w:tr>
      <w:tr w:rsidR="007A4E2A" w:rsidRPr="00CF0BD9" w:rsidTr="00551F39">
        <w:trPr>
          <w:trHeight w:val="77"/>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F448BD">
            <w:pPr>
              <w:rPr>
                <w:b/>
                <w:sz w:val="20"/>
                <w:szCs w:val="20"/>
              </w:rPr>
            </w:pPr>
            <w:r w:rsidRPr="00CF0BD9">
              <w:rPr>
                <w:b/>
                <w:sz w:val="20"/>
                <w:szCs w:val="20"/>
              </w:rPr>
              <w:t>19. Viešoji įstaiga Spaudos, radijo ir tele</w:t>
            </w:r>
            <w:r w:rsidR="00F448BD">
              <w:rPr>
                <w:b/>
                <w:sz w:val="20"/>
                <w:szCs w:val="20"/>
              </w:rPr>
              <w:t>v</w:t>
            </w:r>
            <w:r w:rsidRPr="00CF0BD9">
              <w:rPr>
                <w:b/>
                <w:sz w:val="20"/>
                <w:szCs w:val="20"/>
              </w:rPr>
              <w:t>izijos rėmimo fondas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19.1.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Nelabai suprantama, kodėl ir kokiu pagrindu Projektas paveda Centrinei projektų valdymo agentūrai (CPVA) "projektų, kuriais įgyvendinami regionų plėtros planai" administravimą (Projekto 5.2). Čia matome akivaizdų interesų konfliktą. CPVA prižiūri programų ir projektų įgyvendinimą tiek, kiek tai susiję su ES lėšų panaudojimu. CPVA negali tuo pat metu ir prižiūrėti projektus ir kartu juos administruoti. Taip pat, mūsų nuomone pagrįstas ir pavedimas CPVA atlikti "viešųjų išlaidų peržiūras" (Projekto 4.3. ir SVM 199 p.). Joks įstatymas tokių funkcijų šiai institucijai nenumato. Išvadas dėl viešųjų finansų panaudojimo efektyvumo/neefektyvumo teikia ir kitos institucijos (Valstybės kontrolė), todėl mūsų nuomone, SVM 197 p. reikėtų performuluoti taip, kad Valstybės kontrolė ne tik "gali" bet ir atlieka tokias peržiūras, o 199 p. performuoti taip, kad CPVA teikia tik metodinę pagalbą, arba šio punkto iš viso atsisakyti, o Projekto 4.3. performuoti taip, kad būtų aišku, jog CPVA "viešųjų finansų peržiūros" srityje tik teikia ar gali teikti savo ekspertines išvadas bei pasiūlymus.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 xml:space="preserve">Dėl viešųjų išlaidų peržiūrų. Viešųjų išlaidų peržiūra, kaip tai yra suprantama tarptautinių organizacijų (Ekonominio bendradarbiavimo ir plėtros organizacijos, Europos Komisijos ir kt.), kurios ir teikė rekomendacijas Lietuvai įsivesti viešųjų išlaidų peržiūras į biudžeto formavimo procesą, yra platesnis </w:t>
            </w:r>
            <w:r w:rsidR="00F448BD">
              <w:rPr>
                <w:sz w:val="20"/>
                <w:szCs w:val="20"/>
              </w:rPr>
              <w:t>su</w:t>
            </w:r>
            <w:r w:rsidRPr="00CF0BD9">
              <w:rPr>
                <w:sz w:val="20"/>
                <w:szCs w:val="20"/>
              </w:rPr>
              <w:t xml:space="preserve">pratimas nei Valstybės kontrolės atliekami auditai atitinkamose srityse ir yra nepakankami viešųjų išlaidų peržiūros tikslams pasiekti. Be to, į Projekto ir SVM nuostatas įrašius, kad viešųjų išlaidų peržiūras atlieka Valstybės kontrolė, jai būtų pavesta papildoma funkcija, kurios šiuo metu Valstybės kontrolė neatlieka ir kuriai atlikti atitinkamai reikėtų numatyti žmogiškuosius išteklius, užtikrinti personalo apmokymą ir pan., o Finansų ministerija kartu su CPVA, atlikdamos pilotines viešųjų išlaidų peržiūras 2019 m. ir 2020 m. buvo apmokytos jas atlikti. T. y. be </w:t>
            </w:r>
            <w:r w:rsidR="00943269" w:rsidRPr="00CF0BD9">
              <w:rPr>
                <w:sz w:val="20"/>
                <w:szCs w:val="20"/>
              </w:rPr>
              <w:t>abipusio</w:t>
            </w:r>
            <w:r w:rsidRPr="00CF0BD9">
              <w:rPr>
                <w:sz w:val="20"/>
                <w:szCs w:val="20"/>
              </w:rPr>
              <w:t xml:space="preserve"> suderinimo atsižvelgti į šį pasiūlymą nematome galimybės. Taip pat pažymime, kad viešųjų išlaidų peržiūros bus atliekamos tik ministrų valdymo sričių įstaigoms.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19.2.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Mūsų nuomone, tiek Projektas, tiek su juo patvirtinama SVM dar tobulintini. SVM yra sudėtingas, didelės apimties dokumentas ir redakcinių pasiūlymų galėtų būti daug. Antai, SVM 143 p. pasakyta, kad rengiant Strateginės veiklos planus pasitarimuose Vyriausybės kanceliarijoje "gali dalyvauti ir kiti Vyriausybei neatskaitingi asignavimų valdytojai, kurių </w:t>
            </w:r>
            <w:r w:rsidRPr="00CF0BD9">
              <w:rPr>
                <w:rFonts w:eastAsia="Times New Roman"/>
                <w:kern w:val="0"/>
                <w:sz w:val="20"/>
                <w:szCs w:val="20"/>
                <w:lang w:eastAsia="lt-LT"/>
              </w:rPr>
              <w:lastRenderedPageBreak/>
              <w:t>vadovaujamos įstaigos nepriskiriamos ministro valdymo sričiai" (tarp tokių pagal įstatymą yra ir SRTRF). Siūlytume šią vietą redaguoti taip, kad į tokius pasitarimus Vyriausybės kanceliarijoje "yra kviečiami ir kiti Vyriausybei neatskaitingi asignavimų valdytojai /.../.</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lastRenderedPageBreak/>
              <w:t>Atsižvelgta iš dalies.</w:t>
            </w:r>
          </w:p>
          <w:p w:rsidR="007A4E2A" w:rsidRPr="00CF0BD9" w:rsidRDefault="005210CE" w:rsidP="00551F39">
            <w:pPr>
              <w:rPr>
                <w:b/>
                <w:sz w:val="20"/>
                <w:szCs w:val="20"/>
              </w:rPr>
            </w:pPr>
            <w:r>
              <w:rPr>
                <w:sz w:val="20"/>
                <w:szCs w:val="20"/>
              </w:rPr>
              <w:t>Paaiškinimas pateiktas prie Nacionalinės teismų administracijos pateiktos 11.1. p. pastabos.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lastRenderedPageBreak/>
              <w:t>19.3.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Dėl "jungtinių projektų vykdytojų".</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Siūlome į "Strateginio valdymo sistemos dalyvių, galinčių atlikti jungtinių projektų vykdytojų funkcijas, sąrašą" prie 8 p. įtraukti 8...."Viešoji įstaiga "Spaudos, radijo ir televizijos rėmimo fondas".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 xml:space="preserve">Siūlymus dėl jungtinių projektų vykdytojų teikė ministerijos, šiuo atveju siūlymą pateikė </w:t>
            </w:r>
            <w:proofErr w:type="spellStart"/>
            <w:r w:rsidRPr="00CF0BD9">
              <w:rPr>
                <w:sz w:val="20"/>
                <w:szCs w:val="20"/>
              </w:rPr>
              <w:t>VšĮ</w:t>
            </w:r>
            <w:proofErr w:type="spellEnd"/>
            <w:r w:rsidRPr="00CF0BD9">
              <w:rPr>
                <w:sz w:val="20"/>
                <w:szCs w:val="20"/>
              </w:rPr>
              <w:t xml:space="preserve"> „Spaudos, radijo ir televizijos rėmimo fondas“. Siūlytume kreiptis į atitinkamą ministeriją, kuri apsvarstytų ir esant teigiamam sprendimui – kreiptųsi dėl SVM priedo patikslinimo ir įstaigos įtraukimo į jungtinių projektų vykdytojų sąrašą.</w:t>
            </w:r>
          </w:p>
        </w:tc>
      </w:tr>
      <w:tr w:rsidR="007A4E2A" w:rsidRPr="00CF0BD9" w:rsidTr="00551F39">
        <w:trPr>
          <w:trHeight w:val="77"/>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b/>
                <w:sz w:val="20"/>
                <w:szCs w:val="20"/>
              </w:rPr>
            </w:pPr>
            <w:r w:rsidRPr="00CF0BD9">
              <w:rPr>
                <w:b/>
                <w:sz w:val="20"/>
                <w:szCs w:val="20"/>
              </w:rPr>
              <w:t>20. Lietuvos statistikos departamentas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20.1.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Lietuvos statistikos departamentas (toliau – departamentas) pagal kompetenciją išnagrinėjo Jūsų pateiktą išvadoms gauti Lietuvos Respublikos Vyriausybės nutarimo ,,Dėl Lietuvos Respublikos strateginio valdymo įstatymo įgyvendinimo“ projektą (toliau – Nutarimo projektas) ir pagal kompetenciją teikia pastabas Nutarimo projektu teikiamam tvirtinti Valstybės veiklos sritims priskiriamų įstaigų, kurių vadovai yra valstybės biudžeto asignavimų valdytojai, sąrašo projektui. Pastabos buvo teiktos departamento 2020 m. spalio 7 d. rašte Nr. SD-560 ,,Dėl Vyriausybės nutarimo ,,Dėl Valstybės veiklos sritims priskirtų įstaigų“ projekto“ (pridedama).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Atsižvelgta iš dalies.</w:t>
            </w:r>
          </w:p>
          <w:p w:rsidR="007A4E2A" w:rsidRPr="00CF0BD9" w:rsidRDefault="007A4E2A" w:rsidP="00551F39">
            <w:pPr>
              <w:rPr>
                <w:sz w:val="20"/>
                <w:szCs w:val="20"/>
              </w:rPr>
            </w:pPr>
            <w:r w:rsidRPr="00CF0BD9">
              <w:rPr>
                <w:sz w:val="20"/>
                <w:szCs w:val="20"/>
              </w:rPr>
              <w:t xml:space="preserve">Atkreipiame dėmesį, kad valstybės veiklos sričių sąrašas yra patvirtintas </w:t>
            </w:r>
            <w:r w:rsidR="00AB5EA4">
              <w:rPr>
                <w:sz w:val="20"/>
                <w:szCs w:val="20"/>
              </w:rPr>
              <w:t>SVĮ</w:t>
            </w:r>
            <w:r w:rsidRPr="00CF0BD9">
              <w:rPr>
                <w:sz w:val="20"/>
                <w:szCs w:val="20"/>
              </w:rPr>
              <w:t xml:space="preserve"> 3 straipsnio 26 dalyje, todėl Projekte negali būti nurodyti kitokie valstybės veiklos sričių pavadinimai, nei nustatyti įstatymu.</w:t>
            </w:r>
          </w:p>
          <w:p w:rsidR="007A4E2A" w:rsidRPr="00CF0BD9" w:rsidRDefault="007A4E2A" w:rsidP="00551F39">
            <w:pPr>
              <w:rPr>
                <w:sz w:val="20"/>
                <w:szCs w:val="20"/>
              </w:rPr>
            </w:pPr>
            <w:r w:rsidRPr="00CF0BD9">
              <w:rPr>
                <w:sz w:val="20"/>
                <w:szCs w:val="20"/>
              </w:rPr>
              <w:t>Kadangi oficialioji statistika yra finansų ministrui pavesta valdymo sritis, atitinkamai Lietuvos statistikos departamentas turėtų būti priskirtas tai valstybės veiklos sričiai, kuriai priskiriama ir Finansų ministerija.</w:t>
            </w:r>
          </w:p>
          <w:p w:rsidR="007A4E2A" w:rsidRPr="00CF0BD9" w:rsidRDefault="007A4E2A" w:rsidP="00551F39">
            <w:pPr>
              <w:rPr>
                <w:b/>
                <w:sz w:val="20"/>
                <w:szCs w:val="20"/>
              </w:rPr>
            </w:pPr>
            <w:r w:rsidRPr="00CF0BD9">
              <w:rPr>
                <w:sz w:val="20"/>
                <w:szCs w:val="20"/>
              </w:rPr>
              <w:t xml:space="preserve">Sutikdami su antruoju Jūsų siūlomu variantu pažymime, kad, ateityje esant poreikiui tikslinti atitinkamas </w:t>
            </w:r>
            <w:r w:rsidR="00AB5EA4">
              <w:rPr>
                <w:sz w:val="20"/>
                <w:szCs w:val="20"/>
              </w:rPr>
              <w:t>SVĮ</w:t>
            </w:r>
            <w:r w:rsidRPr="00CF0BD9">
              <w:rPr>
                <w:sz w:val="20"/>
                <w:szCs w:val="20"/>
              </w:rPr>
              <w:t xml:space="preserve"> nuostatas, bus apsvarstyta galimybė tikslinti šio įstatymo 3 straipsnio 26 dalies 4 punkto nuostatas, t. y. patikslinti viešųjų finansų valstybės veiklos srities pavadinimą į viešųjų finansų ir oficialiosios statistikos valstybės veiklos sritį.</w:t>
            </w:r>
          </w:p>
        </w:tc>
      </w:tr>
      <w:tr w:rsidR="007A4E2A" w:rsidRPr="00CF0BD9" w:rsidTr="00551F39">
        <w:trPr>
          <w:trHeight w:val="77"/>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b/>
                <w:sz w:val="20"/>
                <w:szCs w:val="20"/>
              </w:rPr>
            </w:pPr>
            <w:r w:rsidRPr="00CF0BD9">
              <w:rPr>
                <w:b/>
                <w:sz w:val="20"/>
                <w:szCs w:val="20"/>
              </w:rPr>
              <w:t xml:space="preserve">21. Mykolo </w:t>
            </w:r>
            <w:proofErr w:type="spellStart"/>
            <w:r w:rsidRPr="00CF0BD9">
              <w:rPr>
                <w:b/>
                <w:sz w:val="20"/>
                <w:szCs w:val="20"/>
              </w:rPr>
              <w:t>Romerio</w:t>
            </w:r>
            <w:proofErr w:type="spellEnd"/>
            <w:r w:rsidRPr="00CF0BD9">
              <w:rPr>
                <w:b/>
                <w:sz w:val="20"/>
                <w:szCs w:val="20"/>
              </w:rPr>
              <w:t xml:space="preserve"> universitetas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21.1.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Metodikos II skyriaus 3 skirsnyje „Nacionalinis pažangos planas“ trūksta nuostatų, kuriomis būtų nurodyta, kaip šio strateginio lygmens planavimo dokumento, detalizuojančio Valstybės pažangos strategiją ir skirto numatyti strateginius tikslus ir pažangos uždavinius 10-metų, rengimo, svarstymo ir tvirtinimo, o vėliau ir įgyvendinimo stebėsenos, pažangos vertinimo procesuose dalyvauja jau ne tik Seimo Ateities komitetas, bet ir kiti Seimo komitetai.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Nurodyti komitetai, ir nėra įvardintas nė vienas komitetas ir komisija, todėl nesuprantama kodėl teikiama tokia pastaba.</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21.2.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Metodikoje (kaip ir įstatyme) nustatyta, kad Nacionalinį pažangos planą tvirtina Vyriausybė. Visgi, manytina, kad prieš tvirtinant šį planą (Vyriausybės nutarimu), tikslinga numatyti tam tikrą šio planavimo dokumento suderinimo su Seimu formą, pvz. Seimui pritarus. Tai išplaukia iš to, kad Lietuva yra parlamentinė respublika, o šis planavimo dokumentas – 10 metų trukmės (ilgesnė trukmė, nei vienos Vyriausybės kadencija).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 xml:space="preserve">Pažymime, kad </w:t>
            </w:r>
            <w:r w:rsidR="00AB5EA4">
              <w:rPr>
                <w:sz w:val="20"/>
                <w:szCs w:val="20"/>
              </w:rPr>
              <w:t>SVĮ</w:t>
            </w:r>
            <w:r w:rsidRPr="00CF0BD9">
              <w:rPr>
                <w:sz w:val="20"/>
                <w:szCs w:val="20"/>
              </w:rPr>
              <w:t xml:space="preserve"> apibrėžia Seimo dalyvavimą rengiant NPP.</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21.3.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Metodikos 186 punkte tikslinga atskirai paminėti vieną savivaldybės darbuotojų (atitinkamai - padalinių) kategoriją – seniūnus (ir atitinkamai - seniūnijas), nes seniūnas nėra savivaldybės administracijos darbuotojas, o seniūnija nėra (bent iki šiol) atskira savivaldybės biudžetinė įstaiga – seniūnijos veiklos forma yra savivaldybės administracijos filialas. Manytina, kad seniūnai turi būti įtraukti į siūlomos sudaryti grupės sudėtį (ir tas turi būti aiškiai nustatyta, be galimybės interpretuoti);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CF0BD9" w:rsidP="00551F39">
            <w:pPr>
              <w:rPr>
                <w:sz w:val="20"/>
                <w:szCs w:val="20"/>
              </w:rPr>
            </w:pPr>
            <w:r w:rsidRPr="00CF0BD9">
              <w:rPr>
                <w:sz w:val="20"/>
                <w:szCs w:val="20"/>
              </w:rPr>
              <w:t xml:space="preserve">Vietos savivaldos įstatymo 32 str. 3 d. apibrėžia seniūno funkcijas strateginiame planavime: 3)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proofErr w:type="spellStart"/>
            <w:r w:rsidRPr="00CF0BD9">
              <w:rPr>
                <w:sz w:val="20"/>
                <w:szCs w:val="20"/>
              </w:rPr>
              <w:t>seniūnaičių</w:t>
            </w:r>
            <w:proofErr w:type="spellEnd"/>
            <w:r w:rsidRPr="00CF0BD9">
              <w:rPr>
                <w:sz w:val="20"/>
                <w:szCs w:val="20"/>
              </w:rPr>
              <w:t xml:space="preserve"> sueigoje; supažindina </w:t>
            </w:r>
            <w:proofErr w:type="spellStart"/>
            <w:r w:rsidRPr="00CF0BD9">
              <w:rPr>
                <w:sz w:val="20"/>
                <w:szCs w:val="20"/>
              </w:rPr>
              <w:lastRenderedPageBreak/>
              <w:t>seniūnaičius</w:t>
            </w:r>
            <w:proofErr w:type="spellEnd"/>
            <w:r w:rsidRPr="00CF0BD9">
              <w:rPr>
                <w:sz w:val="20"/>
                <w:szCs w:val="20"/>
              </w:rPr>
              <w:t xml:space="preserve"> ir vietos gyventojus su patvirtintu seniūnijos metiniu veiklos planu ir aptaria seniūnijos metinio veiklos plano įgyvendinimo ataskaitą. Todėl manome, kad Savivaldybės administracijos direktorius turi teisę apsispręsti, kokio dydžio darbo grupę sudaryti ir kokius specialistus į grupę skirti.</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CF0BD9" w:rsidP="00551F39">
            <w:pPr>
              <w:rPr>
                <w:sz w:val="20"/>
                <w:szCs w:val="20"/>
              </w:rPr>
            </w:pPr>
            <w:r w:rsidRPr="00CF0BD9">
              <w:rPr>
                <w:sz w:val="20"/>
                <w:szCs w:val="20"/>
              </w:rPr>
              <w:lastRenderedPageBreak/>
              <w:t>21.4.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Manytina, kad Valstybės pažangos taryba nėra funkcionali, nes ji pagal narių skaičių per didelė, o jos numatomas darbas susirinkti pora kartų per metus nėra nei nuoseklus, nei </w:t>
            </w:r>
            <w:proofErr w:type="spellStart"/>
            <w:r w:rsidRPr="00CF0BD9">
              <w:rPr>
                <w:rFonts w:eastAsia="Times New Roman"/>
                <w:kern w:val="0"/>
                <w:sz w:val="20"/>
                <w:szCs w:val="20"/>
                <w:lang w:eastAsia="lt-LT"/>
              </w:rPr>
              <w:t>sistemiškas</w:t>
            </w:r>
            <w:proofErr w:type="spellEnd"/>
            <w:r w:rsidRPr="00CF0BD9">
              <w:rPr>
                <w:rFonts w:eastAsia="Times New Roman"/>
                <w:kern w:val="0"/>
                <w:sz w:val="20"/>
                <w:szCs w:val="20"/>
                <w:lang w:eastAsia="lt-LT"/>
              </w:rPr>
              <w:t>. Geriau svarstyti galimybes turėti mažesnę ekspertų tarybą, jei apskritai tokios reikia. Ekspertų ir interesų grupių dalyvavimas būtų svarbus sektorinėse programose.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CF0BD9" w:rsidP="00551F39">
            <w:pPr>
              <w:rPr>
                <w:b/>
                <w:sz w:val="20"/>
                <w:szCs w:val="20"/>
              </w:rPr>
            </w:pPr>
            <w:r w:rsidRPr="00CF0BD9">
              <w:rPr>
                <w:b/>
                <w:sz w:val="20"/>
                <w:szCs w:val="20"/>
              </w:rPr>
              <w:t>Atsižvelgta iš dalies.</w:t>
            </w:r>
          </w:p>
          <w:p w:rsidR="00CF0BD9" w:rsidRPr="00CF0BD9" w:rsidRDefault="00CF0BD9" w:rsidP="00551F39">
            <w:pPr>
              <w:rPr>
                <w:sz w:val="20"/>
                <w:szCs w:val="20"/>
              </w:rPr>
            </w:pPr>
            <w:r w:rsidRPr="00CF0BD9">
              <w:rPr>
                <w:sz w:val="20"/>
                <w:szCs w:val="20"/>
              </w:rPr>
              <w:t xml:space="preserve">Atsižvelgiant į tai, kad Valstybės pažangos tarybos sudėtį apsprendžia Seimo nutarimas, todėl nuostatų apie Valstybės pažangos tarybą </w:t>
            </w:r>
            <w:r w:rsidR="00943269">
              <w:rPr>
                <w:sz w:val="20"/>
                <w:szCs w:val="20"/>
              </w:rPr>
              <w:t>SVM</w:t>
            </w:r>
            <w:r w:rsidRPr="00CF0BD9">
              <w:rPr>
                <w:sz w:val="20"/>
                <w:szCs w:val="20"/>
              </w:rPr>
              <w:t xml:space="preserve"> atsisakyta.</w:t>
            </w:r>
          </w:p>
        </w:tc>
      </w:tr>
      <w:tr w:rsidR="00CF0BD9" w:rsidRPr="00CF0BD9" w:rsidTr="00551F39">
        <w:trPr>
          <w:trHeight w:val="77"/>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CF0BD9" w:rsidRPr="00CF0BD9" w:rsidRDefault="00CF0BD9" w:rsidP="00551F39">
            <w:pPr>
              <w:rPr>
                <w:b/>
                <w:sz w:val="20"/>
                <w:szCs w:val="20"/>
              </w:rPr>
            </w:pPr>
            <w:r w:rsidRPr="00CF0BD9">
              <w:rPr>
                <w:b/>
                <w:sz w:val="20"/>
                <w:szCs w:val="20"/>
              </w:rPr>
              <w:t>22. Lietuvos vyriausiojo archyvaro tarnyba</w:t>
            </w:r>
          </w:p>
        </w:tc>
      </w:tr>
      <w:tr w:rsidR="00CF0BD9"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F0BD9" w:rsidRPr="00CF0BD9" w:rsidRDefault="00CF0BD9" w:rsidP="00551F39">
            <w:pPr>
              <w:rPr>
                <w:sz w:val="20"/>
                <w:szCs w:val="20"/>
              </w:rPr>
            </w:pPr>
            <w:r w:rsidRPr="00CF0BD9">
              <w:rPr>
                <w:sz w:val="20"/>
                <w:szCs w:val="20"/>
              </w:rPr>
              <w:t>22.1.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F0BD9"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Atkreipiame dėmesį į tai, kad Nutarimo projektu tvirtinamos Strateginio valdymo metodikos (toliau – Metodika) 2 priedas nelaikytinas dokumentų forma, nes jame nėra įforminti visi dokumentų pagrindiniai elementai bei metaduomenys, nustatyti Dokumentų rengimo taisyklių, patvirtintų Lietuvos vyriausiojo archyvaro 2011 m. liepos 4 d. įsakymu Nr. V-117 „Dėl Dokumentų rengimo taisyklių patvirtinimo“, 6 ir 10 punktuose. Minėtame 2 priede pateikiamas tik vienas iš dokumento elementų – tekstas – ir vienas iš privalomųjų metaduomenų – dokumento pavadinimas. Kiti privalomieji elementai, tokie kaip dokumento autentiškumo ir vientisumo užtikrinimo duomenys, bei kiti privalomieji metaduomenys nėra įforminti. Taigi tuo atveju, jei šiame 2 priede norima nustatyti dokumento formą, ją reikėtų papildyti visais privalomaisiais dokumentų elementais ir metaduomenimis. Kitu atveju ši forma turėtų būti įforminama kaip kito dokumento priedas arba pačioje formoje turėtų būti nurodyta, kad ji pateikiama tik su siunčiamu dokumentu (lydraščiu). Būtent taip įformintas Metodikos 4 priedas, nurodant, kad jis pateikiamas su kitais dokumentais, todėl pastabų dėl 4 priedo neturime.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F0BD9" w:rsidRPr="00CF0BD9" w:rsidRDefault="00CF0BD9" w:rsidP="00551F39">
            <w:pPr>
              <w:rPr>
                <w:b/>
                <w:sz w:val="20"/>
                <w:szCs w:val="20"/>
              </w:rPr>
            </w:pPr>
            <w:r w:rsidRPr="00CF0BD9">
              <w:rPr>
                <w:b/>
                <w:sz w:val="20"/>
                <w:szCs w:val="20"/>
              </w:rPr>
              <w:t>Neatsižvelgta.</w:t>
            </w:r>
          </w:p>
          <w:p w:rsidR="00CF0BD9" w:rsidRPr="00CF0BD9" w:rsidRDefault="00CF0BD9" w:rsidP="00551F39">
            <w:pPr>
              <w:rPr>
                <w:sz w:val="20"/>
                <w:szCs w:val="20"/>
              </w:rPr>
            </w:pPr>
            <w:r w:rsidRPr="00CF0BD9">
              <w:rPr>
                <w:sz w:val="20"/>
                <w:szCs w:val="20"/>
              </w:rPr>
              <w:t>SVM 2 priedas nėra savarankiškas dokumentas, o bus tvirtinamas ministro įsakymu. SVM 4 priedas nėra savarankiškas dokumentas, o bus tvirtinamas Vyriausybės nutarimu.</w:t>
            </w:r>
          </w:p>
        </w:tc>
      </w:tr>
      <w:tr w:rsidR="00CF0BD9"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F0BD9" w:rsidRPr="00CF0BD9" w:rsidRDefault="00CF0BD9" w:rsidP="00551F39">
            <w:pPr>
              <w:rPr>
                <w:sz w:val="20"/>
                <w:szCs w:val="20"/>
              </w:rPr>
            </w:pPr>
            <w:r w:rsidRPr="007222C9">
              <w:rPr>
                <w:sz w:val="20"/>
                <w:szCs w:val="20"/>
              </w:rPr>
              <w:t>22.2.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F0BD9"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Metodikos 84 ir 97 punktuose numatyta, kad 3 ir 5 prieduose pateiktus dokumentus tvirtina Vyriausybė, o Metodikos 107 punktas numato, kad 6 priede pateiktą dokumentą tvirtina Regionų plėtros taryba. Šiuose prieduose, be teksto ir dokumento pavadinimo, nėra įforminti kiti privalomi dokumentų elementai ir metaduomenys, nes galima numanyti, kad šie dokumentai bus tvirtinami teisės aktais. Tokiu atveju šiose dokumentų formose turėtų būti įforminta tvirtinimo žyma. Jos įforminimas, kai dokumentas tvirtinamas teisės aktu, reglamentuotas Teisės aktų projektų rengimo rekomendacijų, patvirtintų Lietuvos Respublikos teisingumo ministro 2013 m. gruodžio 23 d. įsakymu Nr. 1R-298 „Dėl Teisės aktų projektų rengimo rekomendacijų patvirtinimo“, 65 punkte, todėl siūlome Metodikos 3, 5, 6 bei 8 prieduose pateikiamose dokumentų formose tvirtinimo žymos vietą įforminti skliausteliuose. </w:t>
            </w:r>
          </w:p>
          <w:p w:rsidR="00CF0BD9"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Tuo atveju, jei būtų neatsižvelgta į siūlymą pastaruosiuose Metodikos prieduose įforminti visus privalomus dokumentų  elementus ir metaduomenis arba tvirtinimo žymas, šie priedai nebūtų laikytini dokumentų formomis ir reikėtų taisyti priedų pavadinimus aiškiai nurodant, kad prieduose pateikiama tik dokumento teksto ir pavadinimo forma. </w:t>
            </w:r>
          </w:p>
          <w:p w:rsidR="00CF0BD9"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Siūlymas dėl tvirtinimo žymos arba visų privalomų elementų bei metaduomenų išdėstymo teikiamas ir Įsakymo projektu tvirtinamoms dokumentų formoms.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F0BD9" w:rsidRPr="00CF0BD9" w:rsidRDefault="00CF0BD9" w:rsidP="00551F39">
            <w:pPr>
              <w:rPr>
                <w:b/>
                <w:sz w:val="20"/>
                <w:szCs w:val="20"/>
              </w:rPr>
            </w:pPr>
            <w:r w:rsidRPr="00CF0BD9">
              <w:rPr>
                <w:b/>
                <w:sz w:val="20"/>
                <w:szCs w:val="20"/>
              </w:rPr>
              <w:t>Neatsižvelgta.</w:t>
            </w:r>
          </w:p>
          <w:p w:rsidR="00CF0BD9" w:rsidRPr="00CF0BD9" w:rsidRDefault="00CF0BD9" w:rsidP="00F448BD">
            <w:pPr>
              <w:rPr>
                <w:sz w:val="20"/>
                <w:szCs w:val="20"/>
              </w:rPr>
            </w:pPr>
            <w:r w:rsidRPr="00CF0BD9">
              <w:rPr>
                <w:sz w:val="20"/>
                <w:szCs w:val="20"/>
              </w:rPr>
              <w:t>Formos tvirtinamos įsakymais, nutarimais ir yra jų priedai, o ne savarankiški dokumentai.</w:t>
            </w:r>
          </w:p>
        </w:tc>
      </w:tr>
    </w:tbl>
    <w:p w:rsidR="005E66BE" w:rsidRDefault="005E66BE" w:rsidP="002A12D5">
      <w:pPr>
        <w:jc w:val="center"/>
      </w:pPr>
    </w:p>
    <w:p w:rsidR="00D2692F" w:rsidRDefault="002A12D5" w:rsidP="002A12D5">
      <w:pPr>
        <w:jc w:val="center"/>
      </w:pPr>
      <w:r>
        <w:t>___________________________________________</w:t>
      </w:r>
    </w:p>
    <w:sectPr w:rsidR="00D2692F" w:rsidSect="003F039C">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0B7" w:rsidRDefault="00D040B7" w:rsidP="009D11E4">
      <w:r>
        <w:separator/>
      </w:r>
    </w:p>
  </w:endnote>
  <w:endnote w:type="continuationSeparator" w:id="0">
    <w:p w:rsidR="00D040B7" w:rsidRDefault="00D040B7" w:rsidP="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0B7" w:rsidRDefault="00D040B7" w:rsidP="009D11E4">
      <w:r>
        <w:separator/>
      </w:r>
    </w:p>
  </w:footnote>
  <w:footnote w:type="continuationSeparator" w:id="0">
    <w:p w:rsidR="00D040B7" w:rsidRDefault="00D040B7" w:rsidP="009D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A92"/>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CE04D1F"/>
    <w:multiLevelType w:val="hybridMultilevel"/>
    <w:tmpl w:val="41527016"/>
    <w:lvl w:ilvl="0" w:tplc="D320FCD6">
      <w:start w:val="1"/>
      <w:numFmt w:val="bullet"/>
      <w:lvlText w:val="-"/>
      <w:lvlJc w:val="left"/>
      <w:pPr>
        <w:ind w:left="761" w:hanging="360"/>
      </w:pPr>
      <w:rPr>
        <w:rFonts w:ascii="Times New Roman" w:eastAsia="Andale Sans UI" w:hAnsi="Times New Roman" w:cs="Times New Roman"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abstractNum w:abstractNumId="2">
    <w:nsid w:val="35DE3B63"/>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8EE3267"/>
    <w:multiLevelType w:val="hybridMultilevel"/>
    <w:tmpl w:val="FA82E44E"/>
    <w:lvl w:ilvl="0" w:tplc="94CA95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4BBE7E81"/>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6A3F3135"/>
    <w:multiLevelType w:val="multilevel"/>
    <w:tmpl w:val="09824582"/>
    <w:lvl w:ilvl="0">
      <w:start w:val="1"/>
      <w:numFmt w:val="decimal"/>
      <w:pStyle w:val="KTpstrnum"/>
      <w:lvlText w:val="(%1)"/>
      <w:lvlJc w:val="left"/>
      <w:pPr>
        <w:ind w:left="0" w:firstLine="567"/>
      </w:pPr>
      <w:rPr>
        <w:rFonts w:ascii="Times New Roman" w:hAnsi="Times New Roman" w:hint="default"/>
        <w:b w:val="0"/>
        <w:i w:val="0"/>
        <w:iCs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nsid w:val="70B942F5"/>
    <w:multiLevelType w:val="hybridMultilevel"/>
    <w:tmpl w:val="BE4AB5BA"/>
    <w:lvl w:ilvl="0" w:tplc="C13EF4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E8"/>
    <w:rsid w:val="00001FF0"/>
    <w:rsid w:val="0000731C"/>
    <w:rsid w:val="00014BDC"/>
    <w:rsid w:val="000153D9"/>
    <w:rsid w:val="000161D8"/>
    <w:rsid w:val="0002095E"/>
    <w:rsid w:val="000258CA"/>
    <w:rsid w:val="00027128"/>
    <w:rsid w:val="0004070B"/>
    <w:rsid w:val="00042751"/>
    <w:rsid w:val="0004661F"/>
    <w:rsid w:val="00047DA0"/>
    <w:rsid w:val="00053A45"/>
    <w:rsid w:val="000545C1"/>
    <w:rsid w:val="0006571B"/>
    <w:rsid w:val="00071703"/>
    <w:rsid w:val="000758A0"/>
    <w:rsid w:val="00083EFD"/>
    <w:rsid w:val="00094DE9"/>
    <w:rsid w:val="000A0829"/>
    <w:rsid w:val="000A30F5"/>
    <w:rsid w:val="000B25FC"/>
    <w:rsid w:val="000B5ACB"/>
    <w:rsid w:val="000C1F90"/>
    <w:rsid w:val="000C432C"/>
    <w:rsid w:val="000D00E3"/>
    <w:rsid w:val="000D20A2"/>
    <w:rsid w:val="000F207D"/>
    <w:rsid w:val="001021D1"/>
    <w:rsid w:val="001049D2"/>
    <w:rsid w:val="001259DC"/>
    <w:rsid w:val="00125E6D"/>
    <w:rsid w:val="00133C81"/>
    <w:rsid w:val="00134FE5"/>
    <w:rsid w:val="0014383C"/>
    <w:rsid w:val="00146214"/>
    <w:rsid w:val="001463A0"/>
    <w:rsid w:val="00157EE8"/>
    <w:rsid w:val="001621C8"/>
    <w:rsid w:val="00162A41"/>
    <w:rsid w:val="00163AC8"/>
    <w:rsid w:val="00170E23"/>
    <w:rsid w:val="00176373"/>
    <w:rsid w:val="00182413"/>
    <w:rsid w:val="00182BEE"/>
    <w:rsid w:val="001A05BB"/>
    <w:rsid w:val="001A7876"/>
    <w:rsid w:val="001C17F0"/>
    <w:rsid w:val="001C59F2"/>
    <w:rsid w:val="001D0E66"/>
    <w:rsid w:val="001D5B42"/>
    <w:rsid w:val="001E434D"/>
    <w:rsid w:val="001E78F8"/>
    <w:rsid w:val="002107A4"/>
    <w:rsid w:val="002154F4"/>
    <w:rsid w:val="0022451E"/>
    <w:rsid w:val="00235624"/>
    <w:rsid w:val="002472B3"/>
    <w:rsid w:val="002572A4"/>
    <w:rsid w:val="00270FCC"/>
    <w:rsid w:val="002A00ED"/>
    <w:rsid w:val="002A12D5"/>
    <w:rsid w:val="002A4BB6"/>
    <w:rsid w:val="002A7FCB"/>
    <w:rsid w:val="002B3F54"/>
    <w:rsid w:val="002B6AC8"/>
    <w:rsid w:val="002C0504"/>
    <w:rsid w:val="002C19B5"/>
    <w:rsid w:val="002D3249"/>
    <w:rsid w:val="002D51AE"/>
    <w:rsid w:val="002E1166"/>
    <w:rsid w:val="002E1613"/>
    <w:rsid w:val="002E4270"/>
    <w:rsid w:val="002E7973"/>
    <w:rsid w:val="002F3DFF"/>
    <w:rsid w:val="00301241"/>
    <w:rsid w:val="00316652"/>
    <w:rsid w:val="00320CF4"/>
    <w:rsid w:val="00324FB4"/>
    <w:rsid w:val="00326990"/>
    <w:rsid w:val="00342363"/>
    <w:rsid w:val="00351044"/>
    <w:rsid w:val="00352D62"/>
    <w:rsid w:val="00357494"/>
    <w:rsid w:val="00362DBA"/>
    <w:rsid w:val="00366F30"/>
    <w:rsid w:val="003744FB"/>
    <w:rsid w:val="00374698"/>
    <w:rsid w:val="003A08B1"/>
    <w:rsid w:val="003A29F0"/>
    <w:rsid w:val="003B11DF"/>
    <w:rsid w:val="003B4BCA"/>
    <w:rsid w:val="003C0189"/>
    <w:rsid w:val="003C0752"/>
    <w:rsid w:val="003C71F8"/>
    <w:rsid w:val="003D03F4"/>
    <w:rsid w:val="003D06EC"/>
    <w:rsid w:val="003D72A7"/>
    <w:rsid w:val="003E04C2"/>
    <w:rsid w:val="003F039C"/>
    <w:rsid w:val="003F20CC"/>
    <w:rsid w:val="003F5901"/>
    <w:rsid w:val="003F7326"/>
    <w:rsid w:val="003F7B46"/>
    <w:rsid w:val="004008B6"/>
    <w:rsid w:val="0040520A"/>
    <w:rsid w:val="004064C4"/>
    <w:rsid w:val="00424D99"/>
    <w:rsid w:val="00433E52"/>
    <w:rsid w:val="00445C20"/>
    <w:rsid w:val="0045347C"/>
    <w:rsid w:val="00460FE9"/>
    <w:rsid w:val="00467A46"/>
    <w:rsid w:val="00472155"/>
    <w:rsid w:val="004744B3"/>
    <w:rsid w:val="00476C5B"/>
    <w:rsid w:val="00493214"/>
    <w:rsid w:val="004A2492"/>
    <w:rsid w:val="004C7EE0"/>
    <w:rsid w:val="004D5BDB"/>
    <w:rsid w:val="004E3272"/>
    <w:rsid w:val="004F44A5"/>
    <w:rsid w:val="004F53C9"/>
    <w:rsid w:val="005210CE"/>
    <w:rsid w:val="0053318A"/>
    <w:rsid w:val="00551F39"/>
    <w:rsid w:val="0057051B"/>
    <w:rsid w:val="00576001"/>
    <w:rsid w:val="00583388"/>
    <w:rsid w:val="0058586D"/>
    <w:rsid w:val="00590251"/>
    <w:rsid w:val="0059262A"/>
    <w:rsid w:val="00593CF4"/>
    <w:rsid w:val="005A369B"/>
    <w:rsid w:val="005A7B9E"/>
    <w:rsid w:val="005B296A"/>
    <w:rsid w:val="005B29BE"/>
    <w:rsid w:val="005B7EA1"/>
    <w:rsid w:val="005C5D74"/>
    <w:rsid w:val="005D4C9A"/>
    <w:rsid w:val="005D69F7"/>
    <w:rsid w:val="005E66BE"/>
    <w:rsid w:val="00601A59"/>
    <w:rsid w:val="00607A99"/>
    <w:rsid w:val="006122EB"/>
    <w:rsid w:val="0061331E"/>
    <w:rsid w:val="00613F3D"/>
    <w:rsid w:val="00615C84"/>
    <w:rsid w:val="00615F89"/>
    <w:rsid w:val="00627CC5"/>
    <w:rsid w:val="0063504C"/>
    <w:rsid w:val="00642E14"/>
    <w:rsid w:val="00644C8F"/>
    <w:rsid w:val="006469EF"/>
    <w:rsid w:val="00650D6A"/>
    <w:rsid w:val="006534DE"/>
    <w:rsid w:val="00654E17"/>
    <w:rsid w:val="006655A2"/>
    <w:rsid w:val="00666402"/>
    <w:rsid w:val="006728F6"/>
    <w:rsid w:val="00673B16"/>
    <w:rsid w:val="00685E66"/>
    <w:rsid w:val="00690145"/>
    <w:rsid w:val="00692D12"/>
    <w:rsid w:val="00695328"/>
    <w:rsid w:val="006A114F"/>
    <w:rsid w:val="006A4DB9"/>
    <w:rsid w:val="006A6B8B"/>
    <w:rsid w:val="006C3CFC"/>
    <w:rsid w:val="006D5906"/>
    <w:rsid w:val="006F11E7"/>
    <w:rsid w:val="006F798F"/>
    <w:rsid w:val="00710F0F"/>
    <w:rsid w:val="00712908"/>
    <w:rsid w:val="00720F1F"/>
    <w:rsid w:val="007210E1"/>
    <w:rsid w:val="007222C9"/>
    <w:rsid w:val="00723D46"/>
    <w:rsid w:val="00726349"/>
    <w:rsid w:val="0072773A"/>
    <w:rsid w:val="00732DA6"/>
    <w:rsid w:val="00736DD6"/>
    <w:rsid w:val="00744190"/>
    <w:rsid w:val="00753A4C"/>
    <w:rsid w:val="0076081B"/>
    <w:rsid w:val="00764F82"/>
    <w:rsid w:val="00776F25"/>
    <w:rsid w:val="00781BCF"/>
    <w:rsid w:val="00786ECA"/>
    <w:rsid w:val="00792876"/>
    <w:rsid w:val="007A261A"/>
    <w:rsid w:val="007A4E2A"/>
    <w:rsid w:val="007A77A4"/>
    <w:rsid w:val="007B100F"/>
    <w:rsid w:val="007B2E14"/>
    <w:rsid w:val="007C5057"/>
    <w:rsid w:val="007E1ADE"/>
    <w:rsid w:val="007E51FE"/>
    <w:rsid w:val="007F123A"/>
    <w:rsid w:val="0080152E"/>
    <w:rsid w:val="0080773A"/>
    <w:rsid w:val="008248C8"/>
    <w:rsid w:val="0083630E"/>
    <w:rsid w:val="00837871"/>
    <w:rsid w:val="00841113"/>
    <w:rsid w:val="00843076"/>
    <w:rsid w:val="00850540"/>
    <w:rsid w:val="00855FE9"/>
    <w:rsid w:val="00872B73"/>
    <w:rsid w:val="00887BCE"/>
    <w:rsid w:val="0089013B"/>
    <w:rsid w:val="008A0A19"/>
    <w:rsid w:val="008A48FD"/>
    <w:rsid w:val="008A52FC"/>
    <w:rsid w:val="008B3FD5"/>
    <w:rsid w:val="008C17C1"/>
    <w:rsid w:val="008D0B06"/>
    <w:rsid w:val="008D713F"/>
    <w:rsid w:val="008E31D1"/>
    <w:rsid w:val="008E3DE1"/>
    <w:rsid w:val="008F2AC3"/>
    <w:rsid w:val="008F66EE"/>
    <w:rsid w:val="009175BC"/>
    <w:rsid w:val="009202FC"/>
    <w:rsid w:val="009277CA"/>
    <w:rsid w:val="00943269"/>
    <w:rsid w:val="00953C64"/>
    <w:rsid w:val="009546DE"/>
    <w:rsid w:val="0096087B"/>
    <w:rsid w:val="00962F42"/>
    <w:rsid w:val="00966848"/>
    <w:rsid w:val="009777AA"/>
    <w:rsid w:val="00984A06"/>
    <w:rsid w:val="009A545F"/>
    <w:rsid w:val="009B0CD3"/>
    <w:rsid w:val="009B10E1"/>
    <w:rsid w:val="009B41F4"/>
    <w:rsid w:val="009C0D14"/>
    <w:rsid w:val="009C47F6"/>
    <w:rsid w:val="009D0490"/>
    <w:rsid w:val="009D11E4"/>
    <w:rsid w:val="009D455B"/>
    <w:rsid w:val="009E294C"/>
    <w:rsid w:val="009E2EA0"/>
    <w:rsid w:val="009F64DD"/>
    <w:rsid w:val="00A0176C"/>
    <w:rsid w:val="00A04D40"/>
    <w:rsid w:val="00A06C3A"/>
    <w:rsid w:val="00A13FC6"/>
    <w:rsid w:val="00A27AD2"/>
    <w:rsid w:val="00A412D4"/>
    <w:rsid w:val="00A45B9A"/>
    <w:rsid w:val="00A508CF"/>
    <w:rsid w:val="00A55999"/>
    <w:rsid w:val="00A61C76"/>
    <w:rsid w:val="00A62923"/>
    <w:rsid w:val="00A62F10"/>
    <w:rsid w:val="00A729EA"/>
    <w:rsid w:val="00A73DA1"/>
    <w:rsid w:val="00A7493F"/>
    <w:rsid w:val="00A85572"/>
    <w:rsid w:val="00A91C68"/>
    <w:rsid w:val="00AA3A53"/>
    <w:rsid w:val="00AB160B"/>
    <w:rsid w:val="00AB175A"/>
    <w:rsid w:val="00AB5EA4"/>
    <w:rsid w:val="00AE641A"/>
    <w:rsid w:val="00AF0616"/>
    <w:rsid w:val="00B34AA6"/>
    <w:rsid w:val="00B509B9"/>
    <w:rsid w:val="00B52F98"/>
    <w:rsid w:val="00B629E9"/>
    <w:rsid w:val="00B64DC9"/>
    <w:rsid w:val="00B661CF"/>
    <w:rsid w:val="00B67EDA"/>
    <w:rsid w:val="00B73A3B"/>
    <w:rsid w:val="00B759F5"/>
    <w:rsid w:val="00B76044"/>
    <w:rsid w:val="00B858B4"/>
    <w:rsid w:val="00B94ADC"/>
    <w:rsid w:val="00BA0EC5"/>
    <w:rsid w:val="00BB33C2"/>
    <w:rsid w:val="00BC08B7"/>
    <w:rsid w:val="00BC2E1C"/>
    <w:rsid w:val="00BE23CD"/>
    <w:rsid w:val="00BE568D"/>
    <w:rsid w:val="00BE68AF"/>
    <w:rsid w:val="00BF2FA8"/>
    <w:rsid w:val="00BF465C"/>
    <w:rsid w:val="00C105C2"/>
    <w:rsid w:val="00C121F1"/>
    <w:rsid w:val="00C30408"/>
    <w:rsid w:val="00C32EA1"/>
    <w:rsid w:val="00C34044"/>
    <w:rsid w:val="00C43EF3"/>
    <w:rsid w:val="00C45D8D"/>
    <w:rsid w:val="00C60A92"/>
    <w:rsid w:val="00C60EA1"/>
    <w:rsid w:val="00C61366"/>
    <w:rsid w:val="00C63EB5"/>
    <w:rsid w:val="00C65BB0"/>
    <w:rsid w:val="00C678FA"/>
    <w:rsid w:val="00C72A95"/>
    <w:rsid w:val="00C813D5"/>
    <w:rsid w:val="00C834EB"/>
    <w:rsid w:val="00C86800"/>
    <w:rsid w:val="00C94612"/>
    <w:rsid w:val="00C95ABA"/>
    <w:rsid w:val="00C96002"/>
    <w:rsid w:val="00CA0DAE"/>
    <w:rsid w:val="00CA7B54"/>
    <w:rsid w:val="00CB5E96"/>
    <w:rsid w:val="00CC437A"/>
    <w:rsid w:val="00CD1AF2"/>
    <w:rsid w:val="00CE44BF"/>
    <w:rsid w:val="00CE6614"/>
    <w:rsid w:val="00CF0BD9"/>
    <w:rsid w:val="00CF3F16"/>
    <w:rsid w:val="00CF5FA2"/>
    <w:rsid w:val="00CF717E"/>
    <w:rsid w:val="00D00C68"/>
    <w:rsid w:val="00D02B96"/>
    <w:rsid w:val="00D040B7"/>
    <w:rsid w:val="00D05D2B"/>
    <w:rsid w:val="00D14291"/>
    <w:rsid w:val="00D2289B"/>
    <w:rsid w:val="00D23E29"/>
    <w:rsid w:val="00D25A03"/>
    <w:rsid w:val="00D2645C"/>
    <w:rsid w:val="00D2692F"/>
    <w:rsid w:val="00D337FD"/>
    <w:rsid w:val="00D364D3"/>
    <w:rsid w:val="00D47178"/>
    <w:rsid w:val="00D5190A"/>
    <w:rsid w:val="00D51A7D"/>
    <w:rsid w:val="00D6305E"/>
    <w:rsid w:val="00D675A7"/>
    <w:rsid w:val="00D70EF3"/>
    <w:rsid w:val="00D73A44"/>
    <w:rsid w:val="00D839FF"/>
    <w:rsid w:val="00D902C2"/>
    <w:rsid w:val="00D95AA7"/>
    <w:rsid w:val="00DB56F2"/>
    <w:rsid w:val="00DD5AB1"/>
    <w:rsid w:val="00DD7B4A"/>
    <w:rsid w:val="00DE0D6D"/>
    <w:rsid w:val="00DF4F62"/>
    <w:rsid w:val="00DF7B72"/>
    <w:rsid w:val="00E01F77"/>
    <w:rsid w:val="00E0313A"/>
    <w:rsid w:val="00E14FD8"/>
    <w:rsid w:val="00E166E3"/>
    <w:rsid w:val="00E31438"/>
    <w:rsid w:val="00E3248C"/>
    <w:rsid w:val="00E34709"/>
    <w:rsid w:val="00E357B4"/>
    <w:rsid w:val="00E515AF"/>
    <w:rsid w:val="00E66854"/>
    <w:rsid w:val="00E74330"/>
    <w:rsid w:val="00E8790A"/>
    <w:rsid w:val="00E87ACE"/>
    <w:rsid w:val="00E90175"/>
    <w:rsid w:val="00E91538"/>
    <w:rsid w:val="00E93BDB"/>
    <w:rsid w:val="00EA76BC"/>
    <w:rsid w:val="00EB1148"/>
    <w:rsid w:val="00EB4670"/>
    <w:rsid w:val="00EC3D0C"/>
    <w:rsid w:val="00EF1CB0"/>
    <w:rsid w:val="00F03B48"/>
    <w:rsid w:val="00F21C92"/>
    <w:rsid w:val="00F22388"/>
    <w:rsid w:val="00F3009E"/>
    <w:rsid w:val="00F30C9E"/>
    <w:rsid w:val="00F368EB"/>
    <w:rsid w:val="00F41EFA"/>
    <w:rsid w:val="00F448BD"/>
    <w:rsid w:val="00F52358"/>
    <w:rsid w:val="00F77243"/>
    <w:rsid w:val="00F90A03"/>
    <w:rsid w:val="00F91178"/>
    <w:rsid w:val="00FA465B"/>
    <w:rsid w:val="00FB0666"/>
    <w:rsid w:val="00FB18EB"/>
    <w:rsid w:val="00FB5CBF"/>
    <w:rsid w:val="00FB5F29"/>
    <w:rsid w:val="00FD382E"/>
    <w:rsid w:val="00FE1FCB"/>
    <w:rsid w:val="00FE631C"/>
    <w:rsid w:val="00FF3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unhideWhenUsed/>
    <w:rsid w:val="003F039C"/>
    <w:rPr>
      <w:sz w:val="20"/>
      <w:szCs w:val="20"/>
    </w:rPr>
  </w:style>
  <w:style w:type="character" w:customStyle="1" w:styleId="KomentarotekstasDiagrama">
    <w:name w:val="Komentaro tekstas Diagrama"/>
    <w:basedOn w:val="Numatytasispastraiposriftas"/>
    <w:link w:val="Komentarotekstas"/>
    <w:uiPriority w:val="99"/>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 w:type="paragraph" w:customStyle="1" w:styleId="KTpstrnum">
    <w:name w:val="KT pstr num"/>
    <w:basedOn w:val="prastasis"/>
    <w:link w:val="KTpstrnumChar"/>
    <w:qFormat/>
    <w:rsid w:val="00FF384B"/>
    <w:pPr>
      <w:widowControl/>
      <w:numPr>
        <w:numId w:val="2"/>
      </w:numPr>
      <w:suppressAutoHyphens w:val="0"/>
      <w:jc w:val="both"/>
    </w:pPr>
    <w:rPr>
      <w:rFonts w:eastAsiaTheme="minorHAnsi" w:cstheme="minorBidi"/>
      <w:kern w:val="0"/>
      <w:lang w:eastAsia="en-US"/>
    </w:rPr>
  </w:style>
  <w:style w:type="character" w:customStyle="1" w:styleId="KTpstrnumChar">
    <w:name w:val="KT pstr num Char"/>
    <w:basedOn w:val="Numatytasispastraiposriftas"/>
    <w:link w:val="KTpstrnum"/>
    <w:rsid w:val="00FF384B"/>
    <w:rPr>
      <w:rFonts w:ascii="Times New Roman" w:hAnsi="Times New Roman"/>
      <w:sz w:val="24"/>
      <w:szCs w:val="24"/>
    </w:rPr>
  </w:style>
  <w:style w:type="paragraph" w:styleId="Betarp">
    <w:name w:val="No Spacing"/>
    <w:uiPriority w:val="1"/>
    <w:qFormat/>
    <w:rsid w:val="00D25A03"/>
    <w:pPr>
      <w:spacing w:after="0" w:line="240" w:lineRule="auto"/>
    </w:pPr>
  </w:style>
  <w:style w:type="paragraph" w:styleId="Sraopastraipa">
    <w:name w:val="List Paragraph"/>
    <w:aliases w:val="Teksto skyrius,ERP-List Paragraph,List Paragraph11,Bullet EY,List Paragraph1"/>
    <w:basedOn w:val="prastasis"/>
    <w:link w:val="SraopastraipaDiagrama"/>
    <w:uiPriority w:val="34"/>
    <w:qFormat/>
    <w:rsid w:val="00D25A03"/>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SraopastraipaDiagrama">
    <w:name w:val="Sąrašo pastraipa Diagrama"/>
    <w:aliases w:val="Teksto skyrius Diagrama,ERP-List Paragraph Diagrama,List Paragraph11 Diagrama,Bullet EY Diagrama,List Paragraph1 Diagrama"/>
    <w:link w:val="Sraopastraipa"/>
    <w:uiPriority w:val="34"/>
    <w:locked/>
    <w:rsid w:val="00D25A03"/>
    <w:rPr>
      <w:rFonts w:ascii="Calibri" w:eastAsia="Calibri" w:hAnsi="Calibri" w:cs="Times New Roman"/>
    </w:rPr>
  </w:style>
  <w:style w:type="table" w:styleId="Lentelstinklelis">
    <w:name w:val="Table Grid"/>
    <w:basedOn w:val="prastojilentel"/>
    <w:rsid w:val="002F3D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15C84"/>
  </w:style>
  <w:style w:type="paragraph" w:styleId="prastasistinklapis">
    <w:name w:val="Normal (Web)"/>
    <w:basedOn w:val="prastasis"/>
    <w:uiPriority w:val="99"/>
    <w:unhideWhenUsed/>
    <w:rsid w:val="009E2EA0"/>
    <w:pPr>
      <w:widowControl/>
      <w:suppressAutoHyphens w:val="0"/>
      <w:spacing w:before="100" w:beforeAutospacing="1" w:after="100" w:afterAutospacing="1"/>
    </w:pPr>
    <w:rPr>
      <w:rFonts w:eastAsia="Times New Roman"/>
      <w:kern w:val="0"/>
      <w:lang w:eastAsia="lt-LT"/>
    </w:rPr>
  </w:style>
  <w:style w:type="character" w:styleId="Grietas">
    <w:name w:val="Strong"/>
    <w:basedOn w:val="Numatytasispastraiposriftas"/>
    <w:uiPriority w:val="22"/>
    <w:qFormat/>
    <w:rsid w:val="002C05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unhideWhenUsed/>
    <w:rsid w:val="003F039C"/>
    <w:rPr>
      <w:sz w:val="20"/>
      <w:szCs w:val="20"/>
    </w:rPr>
  </w:style>
  <w:style w:type="character" w:customStyle="1" w:styleId="KomentarotekstasDiagrama">
    <w:name w:val="Komentaro tekstas Diagrama"/>
    <w:basedOn w:val="Numatytasispastraiposriftas"/>
    <w:link w:val="Komentarotekstas"/>
    <w:uiPriority w:val="99"/>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 w:type="paragraph" w:customStyle="1" w:styleId="KTpstrnum">
    <w:name w:val="KT pstr num"/>
    <w:basedOn w:val="prastasis"/>
    <w:link w:val="KTpstrnumChar"/>
    <w:qFormat/>
    <w:rsid w:val="00FF384B"/>
    <w:pPr>
      <w:widowControl/>
      <w:numPr>
        <w:numId w:val="2"/>
      </w:numPr>
      <w:suppressAutoHyphens w:val="0"/>
      <w:jc w:val="both"/>
    </w:pPr>
    <w:rPr>
      <w:rFonts w:eastAsiaTheme="minorHAnsi" w:cstheme="minorBidi"/>
      <w:kern w:val="0"/>
      <w:lang w:eastAsia="en-US"/>
    </w:rPr>
  </w:style>
  <w:style w:type="character" w:customStyle="1" w:styleId="KTpstrnumChar">
    <w:name w:val="KT pstr num Char"/>
    <w:basedOn w:val="Numatytasispastraiposriftas"/>
    <w:link w:val="KTpstrnum"/>
    <w:rsid w:val="00FF384B"/>
    <w:rPr>
      <w:rFonts w:ascii="Times New Roman" w:hAnsi="Times New Roman"/>
      <w:sz w:val="24"/>
      <w:szCs w:val="24"/>
    </w:rPr>
  </w:style>
  <w:style w:type="paragraph" w:styleId="Betarp">
    <w:name w:val="No Spacing"/>
    <w:uiPriority w:val="1"/>
    <w:qFormat/>
    <w:rsid w:val="00D25A03"/>
    <w:pPr>
      <w:spacing w:after="0" w:line="240" w:lineRule="auto"/>
    </w:pPr>
  </w:style>
  <w:style w:type="paragraph" w:styleId="Sraopastraipa">
    <w:name w:val="List Paragraph"/>
    <w:aliases w:val="Teksto skyrius,ERP-List Paragraph,List Paragraph11,Bullet EY,List Paragraph1"/>
    <w:basedOn w:val="prastasis"/>
    <w:link w:val="SraopastraipaDiagrama"/>
    <w:uiPriority w:val="34"/>
    <w:qFormat/>
    <w:rsid w:val="00D25A03"/>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SraopastraipaDiagrama">
    <w:name w:val="Sąrašo pastraipa Diagrama"/>
    <w:aliases w:val="Teksto skyrius Diagrama,ERP-List Paragraph Diagrama,List Paragraph11 Diagrama,Bullet EY Diagrama,List Paragraph1 Diagrama"/>
    <w:link w:val="Sraopastraipa"/>
    <w:uiPriority w:val="34"/>
    <w:locked/>
    <w:rsid w:val="00D25A03"/>
    <w:rPr>
      <w:rFonts w:ascii="Calibri" w:eastAsia="Calibri" w:hAnsi="Calibri" w:cs="Times New Roman"/>
    </w:rPr>
  </w:style>
  <w:style w:type="table" w:styleId="Lentelstinklelis">
    <w:name w:val="Table Grid"/>
    <w:basedOn w:val="prastojilentel"/>
    <w:rsid w:val="002F3D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15C84"/>
  </w:style>
  <w:style w:type="paragraph" w:styleId="prastasistinklapis">
    <w:name w:val="Normal (Web)"/>
    <w:basedOn w:val="prastasis"/>
    <w:uiPriority w:val="99"/>
    <w:unhideWhenUsed/>
    <w:rsid w:val="009E2EA0"/>
    <w:pPr>
      <w:widowControl/>
      <w:suppressAutoHyphens w:val="0"/>
      <w:spacing w:before="100" w:beforeAutospacing="1" w:after="100" w:afterAutospacing="1"/>
    </w:pPr>
    <w:rPr>
      <w:rFonts w:eastAsia="Times New Roman"/>
      <w:kern w:val="0"/>
      <w:lang w:eastAsia="lt-LT"/>
    </w:rPr>
  </w:style>
  <w:style w:type="character" w:styleId="Grietas">
    <w:name w:val="Strong"/>
    <w:basedOn w:val="Numatytasispastraiposriftas"/>
    <w:uiPriority w:val="22"/>
    <w:qFormat/>
    <w:rsid w:val="002C0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969">
      <w:bodyDiv w:val="1"/>
      <w:marLeft w:val="0"/>
      <w:marRight w:val="0"/>
      <w:marTop w:val="0"/>
      <w:marBottom w:val="0"/>
      <w:divBdr>
        <w:top w:val="none" w:sz="0" w:space="0" w:color="auto"/>
        <w:left w:val="none" w:sz="0" w:space="0" w:color="auto"/>
        <w:bottom w:val="none" w:sz="0" w:space="0" w:color="auto"/>
        <w:right w:val="none" w:sz="0" w:space="0" w:color="auto"/>
      </w:divBdr>
    </w:div>
    <w:div w:id="695622131">
      <w:bodyDiv w:val="1"/>
      <w:marLeft w:val="0"/>
      <w:marRight w:val="0"/>
      <w:marTop w:val="0"/>
      <w:marBottom w:val="0"/>
      <w:divBdr>
        <w:top w:val="none" w:sz="0" w:space="0" w:color="auto"/>
        <w:left w:val="none" w:sz="0" w:space="0" w:color="auto"/>
        <w:bottom w:val="none" w:sz="0" w:space="0" w:color="auto"/>
        <w:right w:val="none" w:sz="0" w:space="0" w:color="auto"/>
      </w:divBdr>
    </w:div>
    <w:div w:id="697584614">
      <w:bodyDiv w:val="1"/>
      <w:marLeft w:val="0"/>
      <w:marRight w:val="0"/>
      <w:marTop w:val="0"/>
      <w:marBottom w:val="0"/>
      <w:divBdr>
        <w:top w:val="none" w:sz="0" w:space="0" w:color="auto"/>
        <w:left w:val="none" w:sz="0" w:space="0" w:color="auto"/>
        <w:bottom w:val="none" w:sz="0" w:space="0" w:color="auto"/>
        <w:right w:val="none" w:sz="0" w:space="0" w:color="auto"/>
      </w:divBdr>
    </w:div>
    <w:div w:id="1398358892">
      <w:bodyDiv w:val="1"/>
      <w:marLeft w:val="0"/>
      <w:marRight w:val="0"/>
      <w:marTop w:val="0"/>
      <w:marBottom w:val="0"/>
      <w:divBdr>
        <w:top w:val="none" w:sz="0" w:space="0" w:color="auto"/>
        <w:left w:val="none" w:sz="0" w:space="0" w:color="auto"/>
        <w:bottom w:val="none" w:sz="0" w:space="0" w:color="auto"/>
        <w:right w:val="none" w:sz="0" w:space="0" w:color="auto"/>
      </w:divBdr>
    </w:div>
    <w:div w:id="1415054243">
      <w:bodyDiv w:val="1"/>
      <w:marLeft w:val="0"/>
      <w:marRight w:val="0"/>
      <w:marTop w:val="0"/>
      <w:marBottom w:val="0"/>
      <w:divBdr>
        <w:top w:val="none" w:sz="0" w:space="0" w:color="auto"/>
        <w:left w:val="none" w:sz="0" w:space="0" w:color="auto"/>
        <w:bottom w:val="none" w:sz="0" w:space="0" w:color="auto"/>
        <w:right w:val="none" w:sz="0" w:space="0" w:color="auto"/>
      </w:divBdr>
    </w:div>
    <w:div w:id="1443646878">
      <w:bodyDiv w:val="1"/>
      <w:marLeft w:val="0"/>
      <w:marRight w:val="0"/>
      <w:marTop w:val="0"/>
      <w:marBottom w:val="0"/>
      <w:divBdr>
        <w:top w:val="none" w:sz="0" w:space="0" w:color="auto"/>
        <w:left w:val="none" w:sz="0" w:space="0" w:color="auto"/>
        <w:bottom w:val="none" w:sz="0" w:space="0" w:color="auto"/>
        <w:right w:val="none" w:sz="0" w:space="0" w:color="auto"/>
      </w:divBdr>
    </w:div>
    <w:div w:id="169726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C9046-C3C5-4A29-8E04-623690A4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78934</Words>
  <Characters>44993</Characters>
  <Application>Microsoft Office Word</Application>
  <DocSecurity>0</DocSecurity>
  <Lines>374</Lines>
  <Paragraphs>247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123680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Kolpakovienė</dc:creator>
  <cp:lastModifiedBy>Aušra Kolpakovienė</cp:lastModifiedBy>
  <cp:revision>11</cp:revision>
  <cp:lastPrinted>2019-11-12T08:31:00Z</cp:lastPrinted>
  <dcterms:created xsi:type="dcterms:W3CDTF">2021-03-30T06:17:00Z</dcterms:created>
  <dcterms:modified xsi:type="dcterms:W3CDTF">2021-04-26T12:47:00Z</dcterms:modified>
</cp:coreProperties>
</file>