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A7" w:rsidRDefault="00EF4110" w:rsidP="00712DA7">
      <w:pPr>
        <w:jc w:val="center"/>
        <w:rPr>
          <w:b/>
        </w:rPr>
      </w:pPr>
      <w:proofErr w:type="gramStart"/>
      <w:r w:rsidRPr="00645B3D">
        <w:rPr>
          <w:b/>
        </w:rPr>
        <w:t xml:space="preserve">LIETUVOS </w:t>
      </w:r>
      <w:r w:rsidR="00712DA7">
        <w:rPr>
          <w:b/>
        </w:rPr>
        <w:t>RESPUBLIKOS VYRIAUSYBĖS</w:t>
      </w:r>
      <w:proofErr w:type="gramEnd"/>
      <w:r w:rsidR="00712DA7">
        <w:rPr>
          <w:b/>
        </w:rPr>
        <w:t xml:space="preserve"> NUTARIMŲ</w:t>
      </w:r>
      <w:r w:rsidRPr="00645B3D">
        <w:rPr>
          <w:b/>
        </w:rPr>
        <w:t xml:space="preserve"> </w:t>
      </w:r>
      <w:r w:rsidRPr="00440D88">
        <w:rPr>
          <w:b/>
        </w:rPr>
        <w:t>NR. 528</w:t>
      </w:r>
      <w:r w:rsidRPr="00440D88">
        <w:rPr>
          <w:rStyle w:val="Puslapioinaosnuoroda"/>
          <w:b/>
        </w:rPr>
        <w:footnoteReference w:id="1"/>
      </w:r>
      <w:r w:rsidRPr="00440D88">
        <w:rPr>
          <w:b/>
        </w:rPr>
        <w:t xml:space="preserve"> IR</w:t>
      </w:r>
      <w:r w:rsidRPr="00645B3D">
        <w:rPr>
          <w:b/>
        </w:rPr>
        <w:t xml:space="preserve"> NR. 1090</w:t>
      </w:r>
      <w:r w:rsidRPr="00645B3D">
        <w:rPr>
          <w:rStyle w:val="Puslapioinaosnuoroda"/>
          <w:b/>
        </w:rPr>
        <w:footnoteReference w:id="2"/>
      </w:r>
      <w:r w:rsidRPr="00645B3D">
        <w:rPr>
          <w:b/>
        </w:rPr>
        <w:t xml:space="preserve"> PAKEITIMŲ PROJEKTŲ</w:t>
      </w:r>
      <w:r w:rsidR="00712DA7" w:rsidRPr="00712DA7">
        <w:rPr>
          <w:b/>
        </w:rPr>
        <w:t xml:space="preserve"> </w:t>
      </w:r>
    </w:p>
    <w:p w:rsidR="00712DA7" w:rsidRPr="00645B3D" w:rsidRDefault="00712DA7" w:rsidP="00712DA7">
      <w:pPr>
        <w:jc w:val="center"/>
        <w:rPr>
          <w:b/>
        </w:rPr>
      </w:pPr>
      <w:r w:rsidRPr="00645B3D">
        <w:rPr>
          <w:b/>
        </w:rPr>
        <w:t xml:space="preserve">DERINIMO PAŽYMA </w:t>
      </w:r>
    </w:p>
    <w:p w:rsidR="00EF4110" w:rsidRDefault="00EF4110" w:rsidP="00EF4110">
      <w:pPr>
        <w:jc w:val="center"/>
        <w:rPr>
          <w:b/>
        </w:rPr>
      </w:pPr>
    </w:p>
    <w:p w:rsidR="00EF4110" w:rsidRDefault="00EF4110" w:rsidP="00EF4110">
      <w:pPr>
        <w:jc w:val="center"/>
        <w:rPr>
          <w:b/>
        </w:rPr>
      </w:pPr>
    </w:p>
    <w:p w:rsidR="00EF4110" w:rsidRPr="00645B3D" w:rsidRDefault="00EF4110" w:rsidP="00EF4110">
      <w:pPr>
        <w:jc w:val="cente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3"/>
        <w:gridCol w:w="2551"/>
        <w:gridCol w:w="5386"/>
        <w:gridCol w:w="5039"/>
      </w:tblGrid>
      <w:tr w:rsidR="00EF4110" w:rsidRPr="000E251D" w:rsidTr="002F496E">
        <w:trPr>
          <w:trHeight w:val="754"/>
          <w:tblHeader/>
        </w:trPr>
        <w:tc>
          <w:tcPr>
            <w:tcW w:w="437"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EF4110" w:rsidRPr="00F64DD8" w:rsidRDefault="00EF4110" w:rsidP="0022712E">
            <w:pPr>
              <w:tabs>
                <w:tab w:val="left" w:pos="7560"/>
              </w:tabs>
              <w:jc w:val="center"/>
              <w:rPr>
                <w:b/>
              </w:rPr>
            </w:pPr>
            <w:r w:rsidRPr="00F64DD8">
              <w:rPr>
                <w:b/>
              </w:rPr>
              <w:t>Pastabos numeris</w:t>
            </w:r>
          </w:p>
        </w:tc>
        <w:tc>
          <w:tcPr>
            <w:tcW w:w="897" w:type="pct"/>
            <w:tcBorders>
              <w:top w:val="single" w:sz="4" w:space="0" w:color="auto"/>
              <w:left w:val="single" w:sz="4" w:space="0" w:color="auto"/>
              <w:bottom w:val="single" w:sz="4" w:space="0" w:color="auto"/>
              <w:right w:val="single" w:sz="4" w:space="0" w:color="auto"/>
            </w:tcBorders>
            <w:shd w:val="clear" w:color="auto" w:fill="EEECE1"/>
            <w:vAlign w:val="center"/>
          </w:tcPr>
          <w:p w:rsidR="00EF4110" w:rsidRPr="00F64DD8" w:rsidRDefault="00EF4110" w:rsidP="0022712E">
            <w:pPr>
              <w:tabs>
                <w:tab w:val="left" w:pos="7560"/>
              </w:tabs>
              <w:jc w:val="center"/>
              <w:rPr>
                <w:b/>
              </w:rPr>
            </w:pPr>
            <w:r>
              <w:rPr>
                <w:b/>
              </w:rPr>
              <w:t>Įstaiga, pateikusi</w:t>
            </w:r>
            <w:r w:rsidRPr="00F64DD8">
              <w:rPr>
                <w:b/>
              </w:rPr>
              <w:t xml:space="preserve"> </w:t>
            </w:r>
            <w:r>
              <w:rPr>
                <w:b/>
              </w:rPr>
              <w:t>p</w:t>
            </w:r>
            <w:r w:rsidRPr="00F64DD8">
              <w:rPr>
                <w:b/>
              </w:rPr>
              <w:t>astab</w:t>
            </w:r>
            <w:r>
              <w:rPr>
                <w:b/>
              </w:rPr>
              <w:t>ų</w:t>
            </w:r>
            <w:r w:rsidRPr="00F64DD8">
              <w:rPr>
                <w:b/>
              </w:rPr>
              <w:t xml:space="preserve"> </w:t>
            </w:r>
            <w:r>
              <w:rPr>
                <w:b/>
              </w:rPr>
              <w:t>ar pasiūlymų</w:t>
            </w:r>
            <w:r w:rsidRPr="00F64DD8">
              <w:rPr>
                <w:b/>
              </w:rPr>
              <w:t xml:space="preserve"> </w:t>
            </w:r>
          </w:p>
        </w:tc>
        <w:tc>
          <w:tcPr>
            <w:tcW w:w="1894" w:type="pct"/>
            <w:tcBorders>
              <w:top w:val="single" w:sz="4" w:space="0" w:color="auto"/>
              <w:left w:val="single" w:sz="4" w:space="0" w:color="auto"/>
              <w:bottom w:val="single" w:sz="4" w:space="0" w:color="auto"/>
              <w:right w:val="single" w:sz="4" w:space="0" w:color="auto"/>
            </w:tcBorders>
            <w:shd w:val="clear" w:color="auto" w:fill="EEECE1"/>
            <w:vAlign w:val="center"/>
            <w:hideMark/>
          </w:tcPr>
          <w:p w:rsidR="00EF4110" w:rsidRPr="00F64DD8" w:rsidRDefault="00EF4110" w:rsidP="0022712E">
            <w:pPr>
              <w:tabs>
                <w:tab w:val="left" w:pos="7560"/>
              </w:tabs>
              <w:jc w:val="center"/>
              <w:rPr>
                <w:b/>
              </w:rPr>
            </w:pPr>
            <w:r w:rsidRPr="00F64DD8">
              <w:rPr>
                <w:b/>
              </w:rPr>
              <w:t>Pastab</w:t>
            </w:r>
            <w:r>
              <w:rPr>
                <w:b/>
              </w:rPr>
              <w:t>os ir pasiūlymai</w:t>
            </w:r>
          </w:p>
        </w:tc>
        <w:tc>
          <w:tcPr>
            <w:tcW w:w="1772" w:type="pct"/>
            <w:tcBorders>
              <w:top w:val="single" w:sz="4" w:space="0" w:color="auto"/>
              <w:left w:val="single" w:sz="4" w:space="0" w:color="auto"/>
              <w:bottom w:val="single" w:sz="4" w:space="0" w:color="auto"/>
              <w:right w:val="single" w:sz="4" w:space="0" w:color="auto"/>
            </w:tcBorders>
            <w:shd w:val="clear" w:color="auto" w:fill="EEECE1"/>
            <w:vAlign w:val="center"/>
          </w:tcPr>
          <w:p w:rsidR="00EF4110" w:rsidRPr="00F64DD8" w:rsidRDefault="00EF4110" w:rsidP="0022712E">
            <w:pPr>
              <w:tabs>
                <w:tab w:val="left" w:pos="7560"/>
              </w:tabs>
              <w:jc w:val="center"/>
              <w:rPr>
                <w:b/>
              </w:rPr>
            </w:pPr>
            <w:r w:rsidRPr="00FF7029">
              <w:rPr>
                <w:b/>
              </w:rPr>
              <w:t>Argumentai dėl pastabų ir pasiūlymų, į kuriuos neatsižvelgta arba iš dalies atsižvelgta</w:t>
            </w:r>
          </w:p>
        </w:tc>
      </w:tr>
      <w:tr w:rsidR="00EF4110" w:rsidRPr="00126601" w:rsidTr="002F496E">
        <w:tc>
          <w:tcPr>
            <w:tcW w:w="437" w:type="pct"/>
            <w:tcBorders>
              <w:top w:val="single" w:sz="4" w:space="0" w:color="auto"/>
              <w:left w:val="single" w:sz="4" w:space="0" w:color="auto"/>
              <w:bottom w:val="single" w:sz="4" w:space="0" w:color="auto"/>
              <w:right w:val="single" w:sz="4" w:space="0" w:color="auto"/>
            </w:tcBorders>
            <w:shd w:val="clear" w:color="auto" w:fill="auto"/>
          </w:tcPr>
          <w:p w:rsidR="00EF4110" w:rsidRPr="00447D9E" w:rsidRDefault="00EF4110" w:rsidP="0022712E">
            <w:pPr>
              <w:pStyle w:val="Sraopastraipa"/>
              <w:numPr>
                <w:ilvl w:val="0"/>
                <w:numId w:val="1"/>
              </w:numPr>
              <w:spacing w:after="0" w:line="240" w:lineRule="auto"/>
              <w:jc w:val="both"/>
              <w:rPr>
                <w:rFonts w:ascii="Times New Roman" w:hAnsi="Times New Roman" w:cs="Times New Roman"/>
                <w:b/>
                <w:sz w:val="24"/>
                <w:szCs w:val="24"/>
              </w:rPr>
            </w:pPr>
          </w:p>
        </w:tc>
        <w:tc>
          <w:tcPr>
            <w:tcW w:w="897" w:type="pct"/>
            <w:tcBorders>
              <w:top w:val="single" w:sz="4" w:space="0" w:color="auto"/>
              <w:left w:val="single" w:sz="4" w:space="0" w:color="auto"/>
              <w:bottom w:val="single" w:sz="4" w:space="0" w:color="auto"/>
              <w:right w:val="single" w:sz="4" w:space="0" w:color="auto"/>
            </w:tcBorders>
            <w:shd w:val="clear" w:color="auto" w:fill="auto"/>
          </w:tcPr>
          <w:p w:rsidR="00EF4110" w:rsidRPr="00226E18" w:rsidRDefault="00521532" w:rsidP="0022712E">
            <w:pPr>
              <w:jc w:val="both"/>
            </w:pPr>
            <w:r w:rsidRPr="00447D9E">
              <w:t>Lietuvos Respublikos teisingumo ministerija (toliau – TM)</w:t>
            </w:r>
            <w:r w:rsidR="00DF760F">
              <w:t>.</w:t>
            </w:r>
          </w:p>
          <w:p w:rsidR="00226E18" w:rsidRPr="00C9164A" w:rsidRDefault="00226E18" w:rsidP="0022712E">
            <w:pPr>
              <w:jc w:val="both"/>
            </w:pPr>
            <w:r w:rsidRPr="00C9164A">
              <w:t>2021-08-13 raštas Nr.</w:t>
            </w:r>
          </w:p>
          <w:p w:rsidR="00226E18" w:rsidRPr="00447D9E" w:rsidRDefault="00226E18" w:rsidP="0022712E">
            <w:pPr>
              <w:jc w:val="both"/>
            </w:pPr>
            <w:r w:rsidRPr="00C9164A">
              <w:rPr>
                <w:shd w:val="clear" w:color="auto" w:fill="FFFFFF"/>
              </w:rPr>
              <w:t>21</w:t>
            </w:r>
            <w:proofErr w:type="gramStart"/>
            <w:r w:rsidRPr="00C9164A">
              <w:rPr>
                <w:shd w:val="clear" w:color="auto" w:fill="FFFFFF"/>
              </w:rPr>
              <w:t>-</w:t>
            </w:r>
            <w:proofErr w:type="gramEnd"/>
            <w:r w:rsidRPr="00C9164A">
              <w:rPr>
                <w:shd w:val="clear" w:color="auto" w:fill="FFFFFF"/>
              </w:rPr>
              <w:t>28182 (TAIS)</w:t>
            </w:r>
            <w:r w:rsidR="00DF760F" w:rsidRPr="00C9164A">
              <w:rPr>
                <w:shd w:val="clear" w:color="auto" w:fill="FFFFFF"/>
              </w:rPr>
              <w:t>.</w:t>
            </w:r>
          </w:p>
        </w:tc>
        <w:tc>
          <w:tcPr>
            <w:tcW w:w="1894" w:type="pct"/>
            <w:tcBorders>
              <w:top w:val="single" w:sz="4" w:space="0" w:color="auto"/>
              <w:left w:val="single" w:sz="4" w:space="0" w:color="auto"/>
              <w:bottom w:val="single" w:sz="4" w:space="0" w:color="auto"/>
              <w:right w:val="single" w:sz="4" w:space="0" w:color="auto"/>
            </w:tcBorders>
            <w:shd w:val="clear" w:color="auto" w:fill="auto"/>
          </w:tcPr>
          <w:p w:rsidR="000C762A" w:rsidRDefault="000C762A" w:rsidP="000C762A">
            <w:pPr>
              <w:tabs>
                <w:tab w:val="left" w:pos="739"/>
                <w:tab w:val="left" w:pos="1017"/>
              </w:tabs>
              <w:suppressAutoHyphens/>
              <w:jc w:val="both"/>
              <w:rPr>
                <w:rFonts w:eastAsia="Calibri"/>
                <w:iCs/>
                <w:color w:val="000000"/>
                <w:lang w:eastAsia="lt-LT"/>
              </w:rPr>
            </w:pPr>
            <w:r>
              <w:rPr>
                <w:color w:val="000000"/>
              </w:rPr>
              <w:t xml:space="preserve">1. Nutarimo Nr. 528 pakeitimo projekte dėstomame </w:t>
            </w:r>
            <w:r>
              <w:rPr>
                <w:rFonts w:eastAsiaTheme="minorHAnsi"/>
                <w:color w:val="000000"/>
              </w:rPr>
              <w:t>Atsakomybės ir funkcijų paskirstymo tarp institucijų, įgyvendinant 2014</w:t>
            </w:r>
            <w:proofErr w:type="gramStart"/>
            <w:r>
              <w:rPr>
                <w:rFonts w:eastAsiaTheme="minorHAnsi"/>
                <w:color w:val="000000"/>
              </w:rPr>
              <w:t>-</w:t>
            </w:r>
            <w:proofErr w:type="gramEnd"/>
            <w:r>
              <w:rPr>
                <w:rFonts w:eastAsiaTheme="minorHAnsi"/>
                <w:color w:val="000000"/>
              </w:rPr>
              <w:t>2020 metų Europos Sąjungos fondų investicijų veiksmų programą ir rengiantis įgyvendinti 2021-2027 metų Europos Sąjungos fondų investicijų programą, taisyklių (toliau – Taisyklės)</w:t>
            </w:r>
            <w:r>
              <w:rPr>
                <w:bCs/>
                <w:color w:val="000000"/>
              </w:rPr>
              <w:t xml:space="preserve"> </w:t>
            </w:r>
            <w:r>
              <w:rPr>
                <w:color w:val="000000"/>
              </w:rPr>
              <w:t>9</w:t>
            </w:r>
            <w:r>
              <w:rPr>
                <w:color w:val="000000"/>
                <w:vertAlign w:val="superscript"/>
              </w:rPr>
              <w:t>1</w:t>
            </w:r>
            <w:r>
              <w:rPr>
                <w:color w:val="000000"/>
              </w:rPr>
              <w:t xml:space="preserve"> p. siūloma </w:t>
            </w:r>
            <w:r>
              <w:rPr>
                <w:rFonts w:eastAsia="Calibri"/>
                <w:color w:val="000000"/>
                <w:lang w:eastAsia="lt-LT"/>
              </w:rPr>
              <w:t>viešajai įstaigai</w:t>
            </w:r>
            <w:bookmarkStart w:id="0" w:name="_GoBack"/>
            <w:bookmarkEnd w:id="0"/>
            <w:r>
              <w:rPr>
                <w:rFonts w:eastAsia="Calibri"/>
                <w:color w:val="000000"/>
                <w:lang w:eastAsia="lt-LT"/>
              </w:rPr>
              <w:t xml:space="preserve"> Centrinei projektų valdymo agentūrai (toliau – VŠĮ CPVA) pavesti atlikti tam tikras funkcijas, kurios gali būti siejamos su tam tikrais įgaliojimais viešojo administravimo srityje (o būtent, su Lietuvos Respublikos viešojo administravimo įstatymo (toliau – VAĮ) 6 str. 2 ir 4 p. nurodytomis viešojo administravimo sritimis: administracinių sprendimų priėmimas (žr. Taisyklių 9</w:t>
            </w:r>
            <w:r>
              <w:rPr>
                <w:rFonts w:eastAsia="Calibri"/>
                <w:color w:val="000000"/>
                <w:vertAlign w:val="superscript"/>
                <w:lang w:eastAsia="lt-LT"/>
              </w:rPr>
              <w:t>1</w:t>
            </w:r>
            <w:r>
              <w:rPr>
                <w:rFonts w:eastAsia="Calibri"/>
                <w:color w:val="000000"/>
                <w:lang w:eastAsia="lt-LT"/>
              </w:rPr>
              <w:t>.4 p.) ir teisės aktų ir administracinių sprendimų įgyvendinimo ir laikymosi priežiūra (žr. Taisyklių 9</w:t>
            </w:r>
            <w:r>
              <w:rPr>
                <w:rFonts w:eastAsia="Calibri"/>
                <w:color w:val="000000"/>
                <w:vertAlign w:val="superscript"/>
                <w:lang w:eastAsia="lt-LT"/>
              </w:rPr>
              <w:t>1</w:t>
            </w:r>
            <w:r>
              <w:rPr>
                <w:rFonts w:eastAsia="Calibri"/>
                <w:color w:val="000000"/>
                <w:lang w:eastAsia="lt-LT"/>
              </w:rPr>
              <w:t>.1, 9</w:t>
            </w:r>
            <w:r>
              <w:rPr>
                <w:rFonts w:eastAsia="Calibri"/>
                <w:color w:val="000000"/>
                <w:vertAlign w:val="superscript"/>
                <w:lang w:eastAsia="lt-LT"/>
              </w:rPr>
              <w:t>1</w:t>
            </w:r>
            <w:r>
              <w:rPr>
                <w:rFonts w:eastAsia="Calibri"/>
                <w:color w:val="000000"/>
                <w:lang w:eastAsia="lt-LT"/>
              </w:rPr>
              <w:t>.5, 9</w:t>
            </w:r>
            <w:r>
              <w:rPr>
                <w:rFonts w:eastAsia="Calibri"/>
                <w:color w:val="000000"/>
                <w:vertAlign w:val="superscript"/>
                <w:lang w:eastAsia="lt-LT"/>
              </w:rPr>
              <w:t>1</w:t>
            </w:r>
            <w:r>
              <w:rPr>
                <w:rFonts w:eastAsia="Calibri"/>
                <w:color w:val="000000"/>
                <w:lang w:eastAsia="lt-LT"/>
              </w:rPr>
              <w:t xml:space="preserve">.6 p.). Atkreiptinas dėmesys į tai, kad pagal VAĮ 5 str. 2 d. 2 p. nuostatas viešosioms įstaigoms, kurių savininkė ar dalininkė yra valstybė ar savivaldybė &lt;...&gt; gali būti suteikiami įgaliojimai atlikti funkcijas tik VAĮ 6 str. 2, 3 ir 4 punktuose nustatytose viešojo administravimo srityse, kai tokie </w:t>
            </w:r>
            <w:r>
              <w:rPr>
                <w:rFonts w:eastAsia="Calibri"/>
                <w:color w:val="000000"/>
                <w:lang w:eastAsia="lt-LT"/>
              </w:rPr>
              <w:lastRenderedPageBreak/>
              <w:t xml:space="preserve">įgaliojimai yra tiesiogiai susiję su viešosios įstaigos ar asociacijos veiklos tikslais </w:t>
            </w:r>
            <w:r>
              <w:rPr>
                <w:rFonts w:eastAsia="Calibri"/>
                <w:i/>
                <w:iCs/>
                <w:color w:val="000000"/>
                <w:lang w:eastAsia="lt-LT"/>
              </w:rPr>
              <w:t>ir kai nėra valstybės ar savivaldybių institucijų ar įstaigų, kurioms šie įgaliojimai gali būti suteikti</w:t>
            </w:r>
            <w:r>
              <w:rPr>
                <w:rFonts w:eastAsia="Calibri"/>
                <w:iCs/>
                <w:color w:val="000000"/>
                <w:lang w:eastAsia="lt-LT"/>
              </w:rPr>
              <w:t xml:space="preserve">. Be to, vadovaujantis VAĮ 5 str. 1 d. 2 p. nuostatomis, viešosioms įstaigoms, kurių savininkė ar dalininkė yra valstybė ar savivaldybė, viešojo administravimo įgaliojimai gali būti suteikti </w:t>
            </w:r>
            <w:r>
              <w:rPr>
                <w:rFonts w:eastAsia="Calibri"/>
                <w:i/>
                <w:iCs/>
                <w:color w:val="000000"/>
                <w:lang w:eastAsia="lt-LT"/>
              </w:rPr>
              <w:t>tik įstatymais, tiesiogiai taikomu Europos Sąjungos teisės aktu, ratifikuota Lietuvos Respublikos tarptautine sutartimi, kai tame teisės akte nurodomas konkretus veikiantis ar numatomas steigti viešojo administravimo subjektas</w:t>
            </w:r>
            <w:r>
              <w:rPr>
                <w:rFonts w:eastAsia="Calibri"/>
                <w:iCs/>
                <w:color w:val="000000"/>
                <w:lang w:eastAsia="lt-LT"/>
              </w:rPr>
              <w:t xml:space="preserve"> (jo pavadinimas, paskirtis, teisinė forma, santykiai su kitais viešojo administravimo subjektais) ir nustatomas baigtinis konkrečių tokiam subjektui suteikiamų viešojo administravimo įgaliojimų sąrašas. Taip pat pažymėtina, kad pagal 2020 m. gegužės 28 d. Viešojo administravimo įstatymo Nr. VIII-1234 pakeitimo įstatymo Nr. XIII-2987 2 str. 10 d. Vyriausybė, ministerijos ar savivaldybės institucijos peržiūri &lt;...&gt; </w:t>
            </w:r>
            <w:r>
              <w:rPr>
                <w:rFonts w:eastAsia="Calibri"/>
                <w:i/>
                <w:iCs/>
                <w:color w:val="000000"/>
                <w:lang w:eastAsia="lt-LT"/>
              </w:rPr>
              <w:t>viešosioms įstaigoms &lt;...&gt;</w:t>
            </w:r>
            <w:r>
              <w:rPr>
                <w:rFonts w:eastAsia="Calibri"/>
                <w:iCs/>
                <w:color w:val="000000"/>
                <w:lang w:eastAsia="lt-LT"/>
              </w:rPr>
              <w:t xml:space="preserve"> iki šio įstatymo įsigaliojimo suteiktus viešojo administravimo įgaliojimus ir iki 2025 m. sausio 1 d. parengia reikiamų teisės aktų pakeitimus, kuriais iki šio įstatymo įsigaliojimo vykdyti viešojo administravimo įgaliojimai būtų </w:t>
            </w:r>
            <w:r>
              <w:rPr>
                <w:rFonts w:eastAsia="Calibri"/>
                <w:i/>
                <w:iCs/>
                <w:color w:val="000000"/>
                <w:lang w:eastAsia="lt-LT"/>
              </w:rPr>
              <w:t>perduoti laikantis šiame įstatyme nustatytos tvarkos ir reikalavimų</w:t>
            </w:r>
            <w:r>
              <w:rPr>
                <w:rFonts w:eastAsia="Calibri"/>
                <w:color w:val="000000"/>
                <w:lang w:eastAsia="lt-LT"/>
              </w:rPr>
              <w:t>, o i</w:t>
            </w:r>
            <w:r>
              <w:rPr>
                <w:rFonts w:eastAsia="Calibri"/>
                <w:iCs/>
                <w:color w:val="000000"/>
                <w:lang w:eastAsia="lt-LT"/>
              </w:rPr>
              <w:t xml:space="preserve">ki įsigalios viešojo administravimo įgaliojimų perdavimą reglamentuojančių teisės aktų pakeitimai, viešojo administravimo įgaliojimai vykdomi vadovaujantis iki šio įstatymo įsigaliojimo nustatyta tvarka. Kartu pastebėtina, kad pagal VAĮ 1 str. 2 d. </w:t>
            </w:r>
            <w:r>
              <w:rPr>
                <w:rFonts w:eastAsia="Calibri"/>
                <w:iCs/>
                <w:color w:val="000000"/>
                <w:lang w:eastAsia="lt-LT"/>
              </w:rPr>
              <w:lastRenderedPageBreak/>
              <w:t>nuostatas VAĮ antrojo ir trečiojo skyrių nuostatos viešojo administravimo subjektams, atliekantiems funkcijas pagal kituose įstatymuose, Europos Sąjungos teisės aktuose ar Lietuvos Respublikos tarptautinėse sutartyse nustatytą tvarką, taikomos tiek, kiek jų veiklos priimant administracinius sprendimus, teikiant administracines paslaugas, priimant ir nagrinėjat prašymus ar skundus nenustato kiti tokią veiklą reglamentuojantys įstatymai, Europos Sąjungos teisės aktai ar Lietuvos Respublikos tarptautinės sutartys. Atsižvelgiant į tai, kas išdėstyta, siūlytina lydimojoje medžiagoje pagrįsti minėtų Taisyklių  9</w:t>
            </w:r>
            <w:r>
              <w:rPr>
                <w:rFonts w:eastAsia="Calibri"/>
                <w:iCs/>
                <w:color w:val="000000"/>
                <w:vertAlign w:val="superscript"/>
                <w:lang w:eastAsia="lt-LT"/>
              </w:rPr>
              <w:t>1</w:t>
            </w:r>
            <w:r>
              <w:rPr>
                <w:rFonts w:eastAsia="Calibri"/>
                <w:iCs/>
                <w:color w:val="000000"/>
                <w:lang w:eastAsia="lt-LT"/>
              </w:rPr>
              <w:t>.1, 9</w:t>
            </w:r>
            <w:r>
              <w:rPr>
                <w:rFonts w:eastAsia="Calibri"/>
                <w:iCs/>
                <w:color w:val="000000"/>
                <w:vertAlign w:val="superscript"/>
                <w:lang w:eastAsia="lt-LT"/>
              </w:rPr>
              <w:t>1</w:t>
            </w:r>
            <w:r>
              <w:rPr>
                <w:rFonts w:eastAsia="Calibri"/>
                <w:iCs/>
                <w:color w:val="000000"/>
                <w:lang w:eastAsia="lt-LT"/>
              </w:rPr>
              <w:t>.4, 9</w:t>
            </w:r>
            <w:r>
              <w:rPr>
                <w:rFonts w:eastAsia="Calibri"/>
                <w:iCs/>
                <w:color w:val="000000"/>
                <w:vertAlign w:val="superscript"/>
                <w:lang w:eastAsia="lt-LT"/>
              </w:rPr>
              <w:t>1</w:t>
            </w:r>
            <w:r>
              <w:rPr>
                <w:rFonts w:eastAsia="Calibri"/>
                <w:iCs/>
                <w:color w:val="000000"/>
                <w:lang w:eastAsia="lt-LT"/>
              </w:rPr>
              <w:t>.5, 9</w:t>
            </w:r>
            <w:r>
              <w:rPr>
                <w:rFonts w:eastAsia="Calibri"/>
                <w:iCs/>
                <w:color w:val="000000"/>
                <w:vertAlign w:val="superscript"/>
                <w:lang w:eastAsia="lt-LT"/>
              </w:rPr>
              <w:t>1</w:t>
            </w:r>
            <w:r>
              <w:rPr>
                <w:rFonts w:eastAsia="Calibri"/>
                <w:iCs/>
                <w:color w:val="000000"/>
                <w:lang w:eastAsia="lt-LT"/>
              </w:rPr>
              <w:t>.6 p. atitiktį minėtoms VAĮ nuostatoms.</w:t>
            </w:r>
          </w:p>
          <w:p w:rsidR="00E82D2E" w:rsidRDefault="000C762A" w:rsidP="000C762A">
            <w:pPr>
              <w:tabs>
                <w:tab w:val="left" w:pos="739"/>
                <w:tab w:val="left" w:pos="1017"/>
              </w:tabs>
              <w:suppressAutoHyphens/>
              <w:jc w:val="both"/>
              <w:rPr>
                <w:rFonts w:eastAsia="Calibri"/>
                <w:iCs/>
                <w:color w:val="000000"/>
                <w:lang w:eastAsia="lt-LT"/>
              </w:rPr>
            </w:pPr>
            <w:r>
              <w:rPr>
                <w:rFonts w:eastAsia="Calibri"/>
                <w:iCs/>
                <w:color w:val="000000"/>
                <w:lang w:eastAsia="lt-LT"/>
              </w:rPr>
              <w:t xml:space="preserve"> </w:t>
            </w:r>
          </w:p>
          <w:p w:rsidR="000C762A" w:rsidRDefault="000C762A" w:rsidP="000C762A">
            <w:pPr>
              <w:tabs>
                <w:tab w:val="left" w:pos="739"/>
                <w:tab w:val="left" w:pos="1017"/>
              </w:tabs>
              <w:suppressAutoHyphens/>
              <w:jc w:val="both"/>
              <w:rPr>
                <w:rFonts w:eastAsia="Calibri"/>
                <w:iCs/>
                <w:color w:val="000000"/>
                <w:lang w:eastAsia="lt-LT"/>
              </w:rPr>
            </w:pPr>
            <w:r w:rsidRPr="007B08B7">
              <w:rPr>
                <w:rFonts w:eastAsia="Calibri"/>
                <w:b/>
                <w:iCs/>
                <w:color w:val="000000"/>
                <w:lang w:eastAsia="lt-LT"/>
              </w:rPr>
              <w:t>2.</w:t>
            </w:r>
            <w:r>
              <w:rPr>
                <w:rFonts w:eastAsia="Calibri"/>
                <w:iCs/>
                <w:color w:val="000000"/>
                <w:lang w:eastAsia="lt-LT"/>
              </w:rPr>
              <w:t xml:space="preserve"> Jeigu norima </w:t>
            </w:r>
            <w:r w:rsidRPr="0047368A">
              <w:rPr>
                <w:rFonts w:eastAsia="Calibri"/>
                <w:b/>
                <w:iCs/>
                <w:color w:val="000000"/>
                <w:lang w:eastAsia="lt-LT"/>
              </w:rPr>
              <w:t>Nutarimo Nr. 1090</w:t>
            </w:r>
            <w:r>
              <w:rPr>
                <w:rFonts w:eastAsia="Calibri"/>
                <w:iCs/>
                <w:color w:val="000000"/>
                <w:lang w:eastAsia="lt-LT"/>
              </w:rPr>
              <w:t xml:space="preserve"> pakeitimo projekte dėstomame </w:t>
            </w:r>
            <w:r>
              <w:rPr>
                <w:rFonts w:eastAsia="Calibri"/>
                <w:iCs/>
                <w:color w:val="000000"/>
                <w:highlight w:val="white"/>
                <w:lang w:eastAsia="lt-LT"/>
              </w:rPr>
              <w:t>2014</w:t>
            </w:r>
            <w:proofErr w:type="gramStart"/>
            <w:r>
              <w:rPr>
                <w:rFonts w:eastAsia="Calibri"/>
                <w:iCs/>
                <w:color w:val="000000"/>
                <w:highlight w:val="white"/>
                <w:lang w:eastAsia="lt-LT"/>
              </w:rPr>
              <w:t>-</w:t>
            </w:r>
            <w:proofErr w:type="gramEnd"/>
            <w:r>
              <w:rPr>
                <w:rFonts w:eastAsia="Calibri"/>
                <w:iCs/>
                <w:color w:val="000000"/>
                <w:highlight w:val="white"/>
                <w:lang w:eastAsia="lt-LT"/>
              </w:rPr>
              <w:t xml:space="preserve">2020 metų Europos Sąjungos fondų investicijų veiksmų programos administravimo taisyklių (toliau – Administravimo taisyklės) </w:t>
            </w:r>
            <w:r>
              <w:rPr>
                <w:rFonts w:eastAsia="Calibri"/>
                <w:iCs/>
                <w:color w:val="000000"/>
                <w:lang w:eastAsia="lt-LT"/>
              </w:rPr>
              <w:t>238.1 p. vartoti sutrumpintą subjekto pavadinimą (</w:t>
            </w:r>
            <w:r>
              <w:rPr>
                <w:rFonts w:eastAsia="Calibri"/>
                <w:iCs/>
                <w:color w:val="000000"/>
                <w:highlight w:val="white"/>
                <w:lang w:eastAsia="lt-LT"/>
              </w:rPr>
              <w:t>„</w:t>
            </w:r>
            <w:proofErr w:type="spellStart"/>
            <w:r>
              <w:rPr>
                <w:rFonts w:eastAsia="Calibri"/>
                <w:iCs/>
                <w:color w:val="000000"/>
                <w:lang w:eastAsia="lt-LT"/>
              </w:rPr>
              <w:t>VšĮ</w:t>
            </w:r>
            <w:proofErr w:type="spellEnd"/>
            <w:r>
              <w:rPr>
                <w:rFonts w:eastAsia="Calibri"/>
                <w:iCs/>
                <w:color w:val="000000"/>
                <w:lang w:eastAsia="lt-LT"/>
              </w:rPr>
              <w:t xml:space="preserve"> Centrinė projektų valdymo agentūra“), reikėtų keisti ir galiojančių Administravimo taisyklių 41</w:t>
            </w:r>
            <w:r>
              <w:rPr>
                <w:rFonts w:eastAsia="Calibri"/>
                <w:iCs/>
                <w:color w:val="000000"/>
                <w:vertAlign w:val="superscript"/>
                <w:lang w:eastAsia="lt-LT"/>
              </w:rPr>
              <w:t>1</w:t>
            </w:r>
            <w:r>
              <w:rPr>
                <w:rFonts w:eastAsia="Calibri"/>
                <w:iCs/>
                <w:color w:val="000000"/>
                <w:lang w:eastAsia="lt-LT"/>
              </w:rPr>
              <w:t xml:space="preserve"> p. kuriame pirmą kartą nurodomas pilnas šio subjekto pavadinimas ir pateikti trumpinį. Kartu tuomet reikėtų peržiūrėti ir Administravimo taisyklių 243.1 p., kuriame vartojamas pilnas šio subjekto pavadinimas.</w:t>
            </w:r>
          </w:p>
          <w:p w:rsidR="007B08B7" w:rsidRDefault="007B08B7" w:rsidP="000C762A">
            <w:pPr>
              <w:tabs>
                <w:tab w:val="left" w:pos="739"/>
                <w:tab w:val="left" w:pos="1017"/>
              </w:tabs>
              <w:suppressAutoHyphens/>
              <w:jc w:val="both"/>
            </w:pPr>
          </w:p>
          <w:p w:rsidR="00EF4110" w:rsidRPr="00447D9E" w:rsidRDefault="000C762A" w:rsidP="000C762A">
            <w:pPr>
              <w:tabs>
                <w:tab w:val="left" w:pos="739"/>
                <w:tab w:val="left" w:pos="1017"/>
              </w:tabs>
              <w:suppressAutoHyphens/>
              <w:jc w:val="both"/>
            </w:pPr>
            <w:r w:rsidRPr="007B08B7">
              <w:rPr>
                <w:rFonts w:eastAsia="Calibri"/>
                <w:b/>
                <w:iCs/>
                <w:color w:val="000000"/>
                <w:lang w:eastAsia="lt-LT"/>
              </w:rPr>
              <w:t>3</w:t>
            </w:r>
            <w:r>
              <w:rPr>
                <w:rFonts w:eastAsia="Calibri"/>
                <w:iCs/>
                <w:color w:val="000000"/>
                <w:lang w:eastAsia="lt-LT"/>
              </w:rPr>
              <w:t xml:space="preserve">. Siekiant sklandaus Nutarimų projektais siekiamų įtvirtinti funkcijų perdavimo bei sudaryti sąlygas tinkamai pasirengti įgyvendinti Nutarimų projektais siūlomas įtvirtinti naujas nuostatas, siūlytina įvertinti </w:t>
            </w:r>
            <w:r>
              <w:rPr>
                <w:rFonts w:eastAsia="Calibri"/>
                <w:iCs/>
                <w:color w:val="000000"/>
                <w:lang w:eastAsia="lt-LT"/>
              </w:rPr>
              <w:lastRenderedPageBreak/>
              <w:t xml:space="preserve">vėlesnio Nutarimų projektų įsigaliojimo nustatymo galimybę (poreikį). </w:t>
            </w:r>
          </w:p>
        </w:tc>
        <w:tc>
          <w:tcPr>
            <w:tcW w:w="1772" w:type="pct"/>
            <w:tcBorders>
              <w:top w:val="single" w:sz="4" w:space="0" w:color="auto"/>
              <w:left w:val="single" w:sz="4" w:space="0" w:color="auto"/>
              <w:bottom w:val="single" w:sz="4" w:space="0" w:color="auto"/>
              <w:right w:val="single" w:sz="4" w:space="0" w:color="auto"/>
            </w:tcBorders>
            <w:shd w:val="clear" w:color="auto" w:fill="auto"/>
          </w:tcPr>
          <w:p w:rsidR="002161DF" w:rsidRDefault="00C9164A" w:rsidP="006F5452">
            <w:pPr>
              <w:jc w:val="both"/>
              <w:rPr>
                <w:b/>
                <w:sz w:val="22"/>
                <w:szCs w:val="22"/>
              </w:rPr>
            </w:pPr>
            <w:r w:rsidRPr="00C9164A">
              <w:rPr>
                <w:b/>
                <w:sz w:val="22"/>
                <w:szCs w:val="22"/>
              </w:rPr>
              <w:lastRenderedPageBreak/>
              <w:t>1. Neatsižvelgta.</w:t>
            </w:r>
          </w:p>
          <w:p w:rsidR="00992F21" w:rsidRPr="00CB374F" w:rsidRDefault="00992F21" w:rsidP="00992F21">
            <w:pPr>
              <w:jc w:val="both"/>
            </w:pPr>
            <w:r w:rsidRPr="00CB374F">
              <w:t>CPVA viešojo administravimo įgaliojimai administruoti 2014–2020 m. laikotarpio Europos Sąjungos fondų investicijas,</w:t>
            </w:r>
            <w:r w:rsidR="00005F82" w:rsidRPr="00CB374F">
              <w:t xml:space="preserve"> yra </w:t>
            </w:r>
            <w:r w:rsidRPr="00CB374F">
              <w:t>suteikti vadovaujantis tuo metu (2014 m.) galiojusia Viešojo administravimo įstatymo 4</w:t>
            </w:r>
            <w:r w:rsidRPr="00CB374F">
              <w:rPr>
                <w:vertAlign w:val="superscript"/>
              </w:rPr>
              <w:t>1</w:t>
            </w:r>
            <w:r w:rsidRPr="00CB374F">
              <w:t xml:space="preserve"> straipsnio 3 dalimi </w:t>
            </w:r>
            <w:proofErr w:type="gramStart"/>
            <w:r w:rsidRPr="00CB374F">
              <w:t>(</w:t>
            </w:r>
            <w:proofErr w:type="gramEnd"/>
            <w:r w:rsidRPr="00CB374F">
              <w:t>„</w:t>
            </w:r>
            <w:r w:rsidRPr="00CB374F">
              <w:rPr>
                <w:i/>
              </w:rPr>
              <w:t>Valstybės institucijoms ir įstaigoms, viešosioms įstaigoms, kurių savininkė ar dalininkė yra valstybė, viešojo administravimo įgaliojimai iki 2016 m. sausio 1 d. gali būti suteikti Vyriausybės nutarimu, priimtu vadovaujantis tiesiogiai taikomu Europos Sąjungos teisės aktu,</w:t>
            </w:r>
            <w:r w:rsidR="00005F82" w:rsidRPr="00CB374F">
              <w:rPr>
                <w:i/>
              </w:rPr>
              <w:t>&lt;</w:t>
            </w:r>
            <w:r w:rsidRPr="00CB374F">
              <w:rPr>
                <w:i/>
              </w:rPr>
              <w:t>...</w:t>
            </w:r>
            <w:r w:rsidR="00005F82" w:rsidRPr="00CB374F">
              <w:rPr>
                <w:i/>
              </w:rPr>
              <w:t>&gt;</w:t>
            </w:r>
            <w:r w:rsidRPr="00CB374F">
              <w:t xml:space="preserve">“), priėmus </w:t>
            </w:r>
            <w:r w:rsidR="00005F82" w:rsidRPr="00CB374F">
              <w:t xml:space="preserve">Lietuvos Respublikos Vyriausybės </w:t>
            </w:r>
            <w:r w:rsidRPr="00CB374F">
              <w:t>2014 m. birželio 6 d. nutarimą Nr. 528 „</w:t>
            </w:r>
            <w:r w:rsidRPr="00CB374F">
              <w:rPr>
                <w:bCs/>
                <w:shd w:val="clear" w:color="auto" w:fill="FFFFFF"/>
              </w:rPr>
              <w:t>Dėl atsakomybės ir funkcijų paskirstymo tarp institucijų, įgyvendinant 2014–2020 metų Europos Sąjungos fondų investicijų veiksmų programą ir rengiantis įgyvendinti 2021–2027 metų Europos Sąjungos fondų investicijų programą“.</w:t>
            </w:r>
            <w:r w:rsidRPr="00CB374F">
              <w:rPr>
                <w:bCs/>
              </w:rPr>
              <w:t xml:space="preserve"> </w:t>
            </w:r>
          </w:p>
          <w:p w:rsidR="00992F21" w:rsidRPr="00C9164A" w:rsidRDefault="00992F21" w:rsidP="00992F21">
            <w:pPr>
              <w:jc w:val="both"/>
              <w:rPr>
                <w:b/>
                <w:sz w:val="22"/>
                <w:szCs w:val="22"/>
              </w:rPr>
            </w:pPr>
            <w:r>
              <w:rPr>
                <w:color w:val="000000"/>
              </w:rPr>
              <w:t xml:space="preserve">Atsižvelgus į CPVA sukauptą patirtį ir pajėgumus, administruojant 2014–2020 m. </w:t>
            </w:r>
            <w:r w:rsidR="00005F82">
              <w:rPr>
                <w:color w:val="000000"/>
              </w:rPr>
              <w:lastRenderedPageBreak/>
              <w:t>Europos Sąjungos fondų investicijomis finansuojamus</w:t>
            </w:r>
            <w:r>
              <w:rPr>
                <w:color w:val="000000"/>
              </w:rPr>
              <w:t xml:space="preserve"> projektus,</w:t>
            </w:r>
            <w:r w:rsidRPr="0098484C">
              <w:rPr>
                <w:color w:val="000000"/>
              </w:rPr>
              <w:t xml:space="preserve"> </w:t>
            </w:r>
            <w:r>
              <w:rPr>
                <w:color w:val="000000"/>
              </w:rPr>
              <w:t xml:space="preserve">CPVA </w:t>
            </w:r>
            <w:r w:rsidRPr="0098484C">
              <w:rPr>
                <w:color w:val="000000"/>
              </w:rPr>
              <w:t xml:space="preserve">suteikiami </w:t>
            </w:r>
            <w:r>
              <w:rPr>
                <w:color w:val="000000"/>
              </w:rPr>
              <w:t xml:space="preserve">ne nauji </w:t>
            </w:r>
            <w:r w:rsidRPr="0098484C">
              <w:rPr>
                <w:color w:val="000000"/>
              </w:rPr>
              <w:t>viešojo administravimo įgaliojimai</w:t>
            </w:r>
            <w:r>
              <w:rPr>
                <w:color w:val="000000"/>
              </w:rPr>
              <w:t xml:space="preserve">, o tikslinama funkcijų (galimų pažeidimų nustatymas, patikrų atlikimas, išlaidų tinkamumo tikrinimas), atlikimo sritis, atsižvelgiant į projektų finansavimo formą </w:t>
            </w:r>
            <w:proofErr w:type="gramStart"/>
            <w:r>
              <w:rPr>
                <w:color w:val="000000"/>
              </w:rPr>
              <w:t>(</w:t>
            </w:r>
            <w:proofErr w:type="gramEnd"/>
            <w:r>
              <w:rPr>
                <w:color w:val="000000"/>
              </w:rPr>
              <w:t>projektai finansuojami įgyvendinant finansines priemones).</w:t>
            </w:r>
          </w:p>
          <w:p w:rsidR="0046227D" w:rsidRDefault="007B08B7" w:rsidP="0022712E">
            <w:pPr>
              <w:ind w:firstLine="23"/>
              <w:jc w:val="both"/>
              <w:rPr>
                <w:rFonts w:eastAsia="Calibri"/>
              </w:rPr>
            </w:pPr>
            <w:r>
              <w:rPr>
                <w:rFonts w:eastAsia="Calibri"/>
              </w:rPr>
              <w:t>__________________________________</w:t>
            </w:r>
          </w:p>
          <w:p w:rsidR="002A77C8" w:rsidRDefault="002A77C8" w:rsidP="007A3E93">
            <w:pPr>
              <w:jc w:val="both"/>
              <w:rPr>
                <w:rFonts w:eastAsia="Calibri"/>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D41089" w:rsidRDefault="00D41089" w:rsidP="0022712E">
            <w:pPr>
              <w:ind w:firstLine="23"/>
              <w:jc w:val="both"/>
              <w:rPr>
                <w:rFonts w:eastAsia="Calibri"/>
                <w:b/>
              </w:rPr>
            </w:pPr>
          </w:p>
          <w:p w:rsidR="00BA40A2" w:rsidRPr="004F0A5B" w:rsidRDefault="005A11F6" w:rsidP="0022712E">
            <w:pPr>
              <w:ind w:firstLine="23"/>
              <w:jc w:val="both"/>
              <w:rPr>
                <w:rFonts w:eastAsia="Calibri"/>
                <w:b/>
              </w:rPr>
            </w:pPr>
            <w:r w:rsidRPr="004F0A5B">
              <w:rPr>
                <w:rFonts w:eastAsia="Calibri"/>
                <w:b/>
              </w:rPr>
              <w:t xml:space="preserve">2. </w:t>
            </w:r>
            <w:r w:rsidR="00BA40A2" w:rsidRPr="004F0A5B">
              <w:rPr>
                <w:rFonts w:eastAsia="Calibri"/>
                <w:b/>
              </w:rPr>
              <w:t xml:space="preserve">Atsižvelgta. </w:t>
            </w:r>
          </w:p>
          <w:p w:rsidR="005A11F6" w:rsidRPr="004F0A5B" w:rsidRDefault="00BA40A2" w:rsidP="0022712E">
            <w:pPr>
              <w:ind w:firstLine="23"/>
              <w:jc w:val="both"/>
              <w:rPr>
                <w:rFonts w:eastAsia="Calibri"/>
              </w:rPr>
            </w:pPr>
            <w:r w:rsidRPr="004F0A5B">
              <w:rPr>
                <w:rFonts w:eastAsia="Calibri"/>
              </w:rPr>
              <w:t xml:space="preserve">Peržiūrėjus </w:t>
            </w:r>
            <w:r w:rsidR="00B75A53" w:rsidRPr="004F0A5B">
              <w:rPr>
                <w:rFonts w:eastAsia="Calibri"/>
              </w:rPr>
              <w:t xml:space="preserve">keičiamus </w:t>
            </w:r>
            <w:r w:rsidRPr="004F0A5B">
              <w:rPr>
                <w:rFonts w:eastAsia="Calibri"/>
              </w:rPr>
              <w:t xml:space="preserve">nutarimus ir siekiant </w:t>
            </w:r>
            <w:r w:rsidR="00B75A53" w:rsidRPr="004F0A5B">
              <w:rPr>
                <w:rFonts w:eastAsia="Calibri"/>
              </w:rPr>
              <w:t>suvienodinimo</w:t>
            </w:r>
            <w:r w:rsidRPr="004F0A5B">
              <w:rPr>
                <w:rFonts w:eastAsia="Calibri"/>
              </w:rPr>
              <w:t xml:space="preserve"> atlikti pakeitimai </w:t>
            </w:r>
            <w:r w:rsidR="00B75A53" w:rsidRPr="004F0A5B">
              <w:rPr>
                <w:rFonts w:eastAsia="Calibri"/>
              </w:rPr>
              <w:t>sutrumpinim</w:t>
            </w:r>
            <w:r w:rsidR="007A4A49" w:rsidRPr="004F0A5B">
              <w:rPr>
                <w:rFonts w:eastAsia="Calibri"/>
              </w:rPr>
              <w:t>us</w:t>
            </w:r>
            <w:r w:rsidR="00B75A53" w:rsidRPr="004F0A5B">
              <w:rPr>
                <w:rFonts w:eastAsia="Calibri"/>
              </w:rPr>
              <w:t xml:space="preserve"> </w:t>
            </w:r>
            <w:r w:rsidR="004F0A5B" w:rsidRPr="004F0A5B">
              <w:rPr>
                <w:rFonts w:eastAsia="Calibri"/>
              </w:rPr>
              <w:t>„</w:t>
            </w:r>
            <w:proofErr w:type="spellStart"/>
            <w:r w:rsidR="00B75A53" w:rsidRPr="004F0A5B">
              <w:rPr>
                <w:rFonts w:eastAsia="Calibri"/>
              </w:rPr>
              <w:t>VšĮ</w:t>
            </w:r>
            <w:proofErr w:type="spellEnd"/>
            <w:r w:rsidR="004F0A5B" w:rsidRPr="004F0A5B">
              <w:rPr>
                <w:rFonts w:eastAsia="Calibri"/>
              </w:rPr>
              <w:t>“</w:t>
            </w:r>
            <w:r w:rsidRPr="004F0A5B">
              <w:rPr>
                <w:rFonts w:eastAsia="Calibri"/>
              </w:rPr>
              <w:t xml:space="preserve"> pakeičiant pilnu </w:t>
            </w:r>
            <w:r w:rsidR="004F0A5B" w:rsidRPr="004F0A5B">
              <w:rPr>
                <w:rFonts w:eastAsia="Calibri"/>
              </w:rPr>
              <w:t>„</w:t>
            </w:r>
            <w:r w:rsidRPr="004F0A5B">
              <w:rPr>
                <w:rFonts w:eastAsia="Calibri"/>
              </w:rPr>
              <w:t xml:space="preserve">viešosios įstaigos </w:t>
            </w:r>
            <w:r w:rsidR="00B75A53" w:rsidRPr="004F0A5B">
              <w:rPr>
                <w:rFonts w:eastAsia="Calibri"/>
              </w:rPr>
              <w:t>Centrinės projektų valdymo agentūros</w:t>
            </w:r>
            <w:r w:rsidR="004F0A5B" w:rsidRPr="004F0A5B">
              <w:rPr>
                <w:rFonts w:eastAsia="Calibri"/>
              </w:rPr>
              <w:t>“</w:t>
            </w:r>
            <w:r w:rsidR="00B75A53" w:rsidRPr="004F0A5B">
              <w:rPr>
                <w:rFonts w:eastAsia="Calibri"/>
              </w:rPr>
              <w:t xml:space="preserve"> </w:t>
            </w:r>
            <w:r w:rsidRPr="004F0A5B">
              <w:rPr>
                <w:rFonts w:eastAsia="Calibri"/>
              </w:rPr>
              <w:t>pavadinimu.</w:t>
            </w:r>
          </w:p>
          <w:p w:rsidR="005A11F6" w:rsidRDefault="005A11F6" w:rsidP="0022712E">
            <w:pPr>
              <w:ind w:firstLine="23"/>
              <w:jc w:val="both"/>
              <w:rPr>
                <w:rFonts w:eastAsia="Calibri"/>
              </w:rPr>
            </w:pPr>
          </w:p>
          <w:p w:rsidR="007B08B7" w:rsidRDefault="007B08B7" w:rsidP="0022712E">
            <w:pPr>
              <w:ind w:firstLine="23"/>
              <w:jc w:val="both"/>
              <w:rPr>
                <w:rFonts w:eastAsia="Calibri"/>
              </w:rPr>
            </w:pPr>
          </w:p>
          <w:p w:rsidR="007B08B7" w:rsidRDefault="007B08B7" w:rsidP="0022712E">
            <w:pPr>
              <w:ind w:firstLine="23"/>
              <w:jc w:val="both"/>
              <w:rPr>
                <w:rFonts w:eastAsia="Calibri"/>
              </w:rPr>
            </w:pPr>
          </w:p>
          <w:p w:rsidR="007B08B7" w:rsidRDefault="007B08B7" w:rsidP="0022712E">
            <w:pPr>
              <w:ind w:firstLine="23"/>
              <w:jc w:val="both"/>
              <w:rPr>
                <w:rFonts w:eastAsia="Calibri"/>
              </w:rPr>
            </w:pPr>
          </w:p>
          <w:p w:rsidR="007B08B7" w:rsidRDefault="007B08B7" w:rsidP="0022712E">
            <w:pPr>
              <w:ind w:firstLine="23"/>
              <w:jc w:val="both"/>
              <w:rPr>
                <w:rFonts w:eastAsia="Calibri"/>
              </w:rPr>
            </w:pPr>
          </w:p>
          <w:p w:rsidR="007B08B7" w:rsidRDefault="007B08B7" w:rsidP="0022712E">
            <w:pPr>
              <w:ind w:firstLine="23"/>
              <w:jc w:val="both"/>
              <w:rPr>
                <w:rFonts w:eastAsia="Calibri"/>
              </w:rPr>
            </w:pPr>
          </w:p>
          <w:p w:rsidR="007B08B7" w:rsidRDefault="007B08B7" w:rsidP="0022712E">
            <w:pPr>
              <w:ind w:firstLine="23"/>
              <w:jc w:val="both"/>
              <w:rPr>
                <w:rFonts w:eastAsia="Calibri"/>
              </w:rPr>
            </w:pPr>
          </w:p>
          <w:p w:rsidR="007A4A49" w:rsidRPr="007A4A49" w:rsidRDefault="009D11ED" w:rsidP="00F64558">
            <w:pPr>
              <w:ind w:firstLine="23"/>
              <w:jc w:val="both"/>
              <w:rPr>
                <w:rFonts w:eastAsia="Calibri"/>
                <w:b/>
              </w:rPr>
            </w:pPr>
            <w:r w:rsidRPr="007A4A49">
              <w:rPr>
                <w:rFonts w:eastAsia="Calibri"/>
                <w:b/>
              </w:rPr>
              <w:t xml:space="preserve">3. </w:t>
            </w:r>
            <w:r w:rsidR="007A4A49" w:rsidRPr="007A4A49">
              <w:rPr>
                <w:rFonts w:eastAsia="Calibri"/>
                <w:b/>
              </w:rPr>
              <w:t>Neatsižvelgta.</w:t>
            </w:r>
          </w:p>
          <w:p w:rsidR="00F74F2A" w:rsidRPr="00447D9E" w:rsidRDefault="009D11ED" w:rsidP="007B08B7">
            <w:pPr>
              <w:ind w:firstLine="23"/>
              <w:jc w:val="both"/>
              <w:rPr>
                <w:rFonts w:eastAsia="Calibri"/>
              </w:rPr>
            </w:pPr>
            <w:r w:rsidRPr="007A4A49">
              <w:rPr>
                <w:rFonts w:eastAsia="Calibri"/>
              </w:rPr>
              <w:t xml:space="preserve">Su techninių funkcijų perdavimu susiję keitimai su </w:t>
            </w:r>
            <w:r w:rsidRPr="00D525AB">
              <w:t>CPVA yra</w:t>
            </w:r>
            <w:r w:rsidRPr="007A4A49">
              <w:rPr>
                <w:sz w:val="22"/>
                <w:szCs w:val="22"/>
              </w:rPr>
              <w:t xml:space="preserve"> </w:t>
            </w:r>
            <w:r w:rsidRPr="007A4A49">
              <w:rPr>
                <w:rFonts w:eastAsia="Calibri"/>
              </w:rPr>
              <w:t>aptarti ir detaliai suderinti, todėl</w:t>
            </w:r>
            <w:r w:rsidR="00F64558" w:rsidRPr="007A4A49">
              <w:rPr>
                <w:rFonts w:eastAsia="Calibri"/>
              </w:rPr>
              <w:t xml:space="preserve"> įvertinus tai, kad jau šiuo metu yra užtikrintos </w:t>
            </w:r>
            <w:r w:rsidR="00F64558" w:rsidRPr="007A4A49">
              <w:rPr>
                <w:rFonts w:eastAsia="Calibri"/>
              </w:rPr>
              <w:lastRenderedPageBreak/>
              <w:t>pakankamos sąlygos naujų nuostatų įgyvendinimui,</w:t>
            </w:r>
            <w:r w:rsidRPr="007A4A49">
              <w:rPr>
                <w:rFonts w:eastAsia="Calibri"/>
              </w:rPr>
              <w:t xml:space="preserve"> </w:t>
            </w:r>
            <w:r w:rsidR="00F64558" w:rsidRPr="007A4A49">
              <w:rPr>
                <w:rFonts w:eastAsia="Calibri"/>
              </w:rPr>
              <w:t>nustatyti vėlesnį n</w:t>
            </w:r>
            <w:r w:rsidRPr="007A4A49">
              <w:rPr>
                <w:rFonts w:eastAsia="Calibri"/>
              </w:rPr>
              <w:t>utarimų projektų įsigaliojimo terminą, poreikio nėra.</w:t>
            </w:r>
          </w:p>
        </w:tc>
      </w:tr>
    </w:tbl>
    <w:p w:rsidR="00982FB5" w:rsidRDefault="00982FB5"/>
    <w:sectPr w:rsidR="00982FB5" w:rsidSect="00EF4110">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D45" w:rsidRDefault="00C70D45" w:rsidP="00EF4110">
      <w:r>
        <w:separator/>
      </w:r>
    </w:p>
  </w:endnote>
  <w:endnote w:type="continuationSeparator" w:id="0">
    <w:p w:rsidR="00C70D45" w:rsidRDefault="00C70D45" w:rsidP="00EF4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D45" w:rsidRDefault="00C70D45" w:rsidP="00EF4110">
      <w:r>
        <w:separator/>
      </w:r>
    </w:p>
  </w:footnote>
  <w:footnote w:type="continuationSeparator" w:id="0">
    <w:p w:rsidR="00C70D45" w:rsidRDefault="00C70D45" w:rsidP="00EF4110">
      <w:r>
        <w:continuationSeparator/>
      </w:r>
    </w:p>
  </w:footnote>
  <w:footnote w:id="1">
    <w:p w:rsidR="00EF4110" w:rsidRPr="00440D88" w:rsidRDefault="00EF4110" w:rsidP="00EF4110">
      <w:pPr>
        <w:pStyle w:val="Puslapioinaostekstas"/>
        <w:jc w:val="both"/>
      </w:pPr>
      <w:r w:rsidRPr="00440D88">
        <w:rPr>
          <w:rStyle w:val="Puslapioinaosnuoroda"/>
        </w:rPr>
        <w:footnoteRef/>
      </w:r>
      <w:r w:rsidRPr="00440D88">
        <w:t xml:space="preserve"> Lietuvos Respublikos Vyriausybės 2014 m. birželio 4 d. nutarimas Nr. 528 </w:t>
      </w:r>
      <w:r w:rsidR="00FB0F1F">
        <w:rPr>
          <w:bCs/>
          <w:color w:val="000000"/>
        </w:rPr>
        <w:t>„Dėl atsakomybės ir funkcijų paskirstymo tarp institucijų, įgyvendinant 2014–2020 metų Europos Sąjungos fondų investicijų veiksmų programą</w:t>
      </w:r>
      <w:r w:rsidR="00FB0F1F" w:rsidRPr="00A965E9">
        <w:rPr>
          <w:color w:val="000000"/>
          <w:shd w:val="clear" w:color="auto" w:fill="FFFFFF"/>
        </w:rPr>
        <w:t xml:space="preserve"> </w:t>
      </w:r>
      <w:r w:rsidR="00FB0F1F" w:rsidRPr="00257173">
        <w:rPr>
          <w:color w:val="000000"/>
          <w:shd w:val="clear" w:color="auto" w:fill="FFFFFF"/>
        </w:rPr>
        <w:t>ir rengiantis įgyvendinti 2021</w:t>
      </w:r>
      <w:r w:rsidR="00FB0F1F" w:rsidRPr="00342567">
        <w:rPr>
          <w:color w:val="000000"/>
          <w:shd w:val="clear" w:color="auto" w:fill="FFFFFF"/>
        </w:rPr>
        <w:t>–</w:t>
      </w:r>
      <w:r w:rsidR="00FB0F1F" w:rsidRPr="00257173">
        <w:rPr>
          <w:color w:val="000000"/>
          <w:shd w:val="clear" w:color="auto" w:fill="FFFFFF"/>
        </w:rPr>
        <w:t>2027 metų Europos Sąjungos fondų investicijų programą</w:t>
      </w:r>
      <w:r w:rsidR="00FB0F1F">
        <w:rPr>
          <w:bCs/>
          <w:color w:val="000000"/>
        </w:rPr>
        <w:t>“</w:t>
      </w:r>
      <w:r w:rsidRPr="00440D88">
        <w:t>.</w:t>
      </w:r>
    </w:p>
  </w:footnote>
  <w:footnote w:id="2">
    <w:p w:rsidR="00EF4110" w:rsidRDefault="00EF4110" w:rsidP="00EF4110">
      <w:pPr>
        <w:pStyle w:val="Puslapioinaostekstas"/>
        <w:jc w:val="both"/>
      </w:pPr>
      <w:r>
        <w:rPr>
          <w:rStyle w:val="Puslapioinaosnuoroda"/>
        </w:rPr>
        <w:footnoteRef/>
      </w:r>
      <w:r>
        <w:t xml:space="preserve"> </w:t>
      </w:r>
      <w:r w:rsidRPr="003918E5">
        <w:rPr>
          <w:lang w:eastAsia="lt-LT"/>
        </w:rPr>
        <w:t>Lietuvos Respublikos Vyriausybės 2014 m. spalio 3 d. nutarimas Nr. 1090 „Dėl 2014–2020 metų Europos Sąjungos fondų investicijų veiksmų programos administravimo taisyklių patvirtinimo“</w:t>
      </w:r>
      <w:r>
        <w:rPr>
          <w:lang w:eastAsia="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25B11"/>
    <w:multiLevelType w:val="multilevel"/>
    <w:tmpl w:val="78D4C420"/>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1">
    <w:nsid w:val="15C27A25"/>
    <w:multiLevelType w:val="multilevel"/>
    <w:tmpl w:val="C0368486"/>
    <w:lvl w:ilvl="0">
      <w:start w:val="1"/>
      <w:numFmt w:val="decimal"/>
      <w:lvlText w:val="%1."/>
      <w:lvlJc w:val="left"/>
      <w:pPr>
        <w:ind w:left="1440" w:hanging="360"/>
      </w:p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nsid w:val="1C2A1BEE"/>
    <w:multiLevelType w:val="hybridMultilevel"/>
    <w:tmpl w:val="21B8053A"/>
    <w:lvl w:ilvl="0" w:tplc="F4D07D7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CE4724C"/>
    <w:multiLevelType w:val="hybridMultilevel"/>
    <w:tmpl w:val="6DA26F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E594B8A"/>
    <w:multiLevelType w:val="multilevel"/>
    <w:tmpl w:val="6F2C544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2FF74C11"/>
    <w:multiLevelType w:val="multilevel"/>
    <w:tmpl w:val="C0368486"/>
    <w:lvl w:ilvl="0">
      <w:start w:val="1"/>
      <w:numFmt w:val="decimal"/>
      <w:lvlText w:val="%1."/>
      <w:lvlJc w:val="left"/>
      <w:pPr>
        <w:ind w:left="1440" w:hanging="360"/>
      </w:pPr>
    </w:lvl>
    <w:lvl w:ilvl="1">
      <w:start w:val="1"/>
      <w:numFmt w:val="decimal"/>
      <w:isLgl/>
      <w:lvlText w:val="%1.%2."/>
      <w:lvlJc w:val="left"/>
      <w:pPr>
        <w:ind w:left="1440" w:hanging="360"/>
      </w:pPr>
      <w:rPr>
        <w:rFonts w:hint="default"/>
        <w:i w:val="0"/>
      </w:rPr>
    </w:lvl>
    <w:lvl w:ilvl="2">
      <w:start w:val="1"/>
      <w:numFmt w:val="decimal"/>
      <w:isLgl/>
      <w:lvlText w:val="%1.%2.%3."/>
      <w:lvlJc w:val="left"/>
      <w:pPr>
        <w:ind w:left="1800" w:hanging="720"/>
      </w:pPr>
      <w:rPr>
        <w:rFonts w:hint="default"/>
        <w:i w:val="0"/>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
    <w:nsid w:val="418840F2"/>
    <w:multiLevelType w:val="hybridMultilevel"/>
    <w:tmpl w:val="8AAC824C"/>
    <w:lvl w:ilvl="0" w:tplc="0427000F">
      <w:start w:val="1"/>
      <w:numFmt w:val="decimal"/>
      <w:lvlText w:val="%1."/>
      <w:lvlJc w:val="left"/>
      <w:pPr>
        <w:ind w:left="896" w:hanging="360"/>
      </w:pPr>
    </w:lvl>
    <w:lvl w:ilvl="1" w:tplc="04270019" w:tentative="1">
      <w:start w:val="1"/>
      <w:numFmt w:val="lowerLetter"/>
      <w:lvlText w:val="%2."/>
      <w:lvlJc w:val="left"/>
      <w:pPr>
        <w:ind w:left="1616" w:hanging="360"/>
      </w:pPr>
    </w:lvl>
    <w:lvl w:ilvl="2" w:tplc="0427001B" w:tentative="1">
      <w:start w:val="1"/>
      <w:numFmt w:val="lowerRoman"/>
      <w:lvlText w:val="%3."/>
      <w:lvlJc w:val="right"/>
      <w:pPr>
        <w:ind w:left="2336" w:hanging="180"/>
      </w:pPr>
    </w:lvl>
    <w:lvl w:ilvl="3" w:tplc="0427000F" w:tentative="1">
      <w:start w:val="1"/>
      <w:numFmt w:val="decimal"/>
      <w:lvlText w:val="%4."/>
      <w:lvlJc w:val="left"/>
      <w:pPr>
        <w:ind w:left="3056" w:hanging="360"/>
      </w:pPr>
    </w:lvl>
    <w:lvl w:ilvl="4" w:tplc="04270019" w:tentative="1">
      <w:start w:val="1"/>
      <w:numFmt w:val="lowerLetter"/>
      <w:lvlText w:val="%5."/>
      <w:lvlJc w:val="left"/>
      <w:pPr>
        <w:ind w:left="3776" w:hanging="360"/>
      </w:pPr>
    </w:lvl>
    <w:lvl w:ilvl="5" w:tplc="0427001B" w:tentative="1">
      <w:start w:val="1"/>
      <w:numFmt w:val="lowerRoman"/>
      <w:lvlText w:val="%6."/>
      <w:lvlJc w:val="right"/>
      <w:pPr>
        <w:ind w:left="4496" w:hanging="180"/>
      </w:pPr>
    </w:lvl>
    <w:lvl w:ilvl="6" w:tplc="0427000F" w:tentative="1">
      <w:start w:val="1"/>
      <w:numFmt w:val="decimal"/>
      <w:lvlText w:val="%7."/>
      <w:lvlJc w:val="left"/>
      <w:pPr>
        <w:ind w:left="5216" w:hanging="360"/>
      </w:pPr>
    </w:lvl>
    <w:lvl w:ilvl="7" w:tplc="04270019" w:tentative="1">
      <w:start w:val="1"/>
      <w:numFmt w:val="lowerLetter"/>
      <w:lvlText w:val="%8."/>
      <w:lvlJc w:val="left"/>
      <w:pPr>
        <w:ind w:left="5936" w:hanging="360"/>
      </w:pPr>
    </w:lvl>
    <w:lvl w:ilvl="8" w:tplc="0427001B" w:tentative="1">
      <w:start w:val="1"/>
      <w:numFmt w:val="lowerRoman"/>
      <w:lvlText w:val="%9."/>
      <w:lvlJc w:val="right"/>
      <w:pPr>
        <w:ind w:left="6656" w:hanging="180"/>
      </w:pPr>
    </w:lvl>
  </w:abstractNum>
  <w:abstractNum w:abstractNumId="7">
    <w:nsid w:val="721F588E"/>
    <w:multiLevelType w:val="hybridMultilevel"/>
    <w:tmpl w:val="DE46A7B8"/>
    <w:lvl w:ilvl="0" w:tplc="B6265B44">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757427FB"/>
    <w:multiLevelType w:val="hybridMultilevel"/>
    <w:tmpl w:val="21B8053A"/>
    <w:lvl w:ilvl="0" w:tplc="F4D07D76">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93B2D4F"/>
    <w:multiLevelType w:val="multilevel"/>
    <w:tmpl w:val="78D4C420"/>
    <w:lvl w:ilvl="0">
      <w:start w:val="1"/>
      <w:numFmt w:val="decimal"/>
      <w:lvlText w:val="%1."/>
      <w:lvlJc w:val="left"/>
      <w:pPr>
        <w:ind w:left="1353"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abstractNumId w:val="8"/>
  </w:num>
  <w:num w:numId="2">
    <w:abstractNumId w:val="2"/>
  </w:num>
  <w:num w:numId="3">
    <w:abstractNumId w:val="5"/>
  </w:num>
  <w:num w:numId="4">
    <w:abstractNumId w:val="1"/>
  </w:num>
  <w:num w:numId="5">
    <w:abstractNumId w:val="4"/>
  </w:num>
  <w:num w:numId="6">
    <w:abstractNumId w:val="3"/>
  </w:num>
  <w:num w:numId="7">
    <w:abstractNumId w:val="6"/>
  </w:num>
  <w:num w:numId="8">
    <w:abstractNumId w:val="7"/>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110"/>
    <w:rsid w:val="00005F82"/>
    <w:rsid w:val="000153CD"/>
    <w:rsid w:val="0001624F"/>
    <w:rsid w:val="000168F7"/>
    <w:rsid w:val="00020F83"/>
    <w:rsid w:val="00024737"/>
    <w:rsid w:val="0002626C"/>
    <w:rsid w:val="00055A34"/>
    <w:rsid w:val="00080F73"/>
    <w:rsid w:val="000A0587"/>
    <w:rsid w:val="000B1E9D"/>
    <w:rsid w:val="000C762A"/>
    <w:rsid w:val="000E16AA"/>
    <w:rsid w:val="000E45D3"/>
    <w:rsid w:val="00176CDA"/>
    <w:rsid w:val="001860D7"/>
    <w:rsid w:val="00190812"/>
    <w:rsid w:val="001A0202"/>
    <w:rsid w:val="001C1107"/>
    <w:rsid w:val="002161DF"/>
    <w:rsid w:val="00226E18"/>
    <w:rsid w:val="0022712E"/>
    <w:rsid w:val="002418B4"/>
    <w:rsid w:val="002513F1"/>
    <w:rsid w:val="00252236"/>
    <w:rsid w:val="00253918"/>
    <w:rsid w:val="00271B2B"/>
    <w:rsid w:val="00283B62"/>
    <w:rsid w:val="00287F2A"/>
    <w:rsid w:val="00294C29"/>
    <w:rsid w:val="002A77C8"/>
    <w:rsid w:val="002F496E"/>
    <w:rsid w:val="002F7E1E"/>
    <w:rsid w:val="00304686"/>
    <w:rsid w:val="00387A2E"/>
    <w:rsid w:val="00391571"/>
    <w:rsid w:val="00396650"/>
    <w:rsid w:val="003A696F"/>
    <w:rsid w:val="003B2D18"/>
    <w:rsid w:val="003B628E"/>
    <w:rsid w:val="003D012F"/>
    <w:rsid w:val="0046227D"/>
    <w:rsid w:val="0047368A"/>
    <w:rsid w:val="00480DEC"/>
    <w:rsid w:val="004858FB"/>
    <w:rsid w:val="00491EB8"/>
    <w:rsid w:val="00496216"/>
    <w:rsid w:val="004A5958"/>
    <w:rsid w:val="004F0A5B"/>
    <w:rsid w:val="00521532"/>
    <w:rsid w:val="00597039"/>
    <w:rsid w:val="005A11F6"/>
    <w:rsid w:val="005E1504"/>
    <w:rsid w:val="005E2404"/>
    <w:rsid w:val="005E3D34"/>
    <w:rsid w:val="0064149E"/>
    <w:rsid w:val="0064252E"/>
    <w:rsid w:val="0067237E"/>
    <w:rsid w:val="006A4D59"/>
    <w:rsid w:val="006A7345"/>
    <w:rsid w:val="006D4194"/>
    <w:rsid w:val="006E42F4"/>
    <w:rsid w:val="006E4A03"/>
    <w:rsid w:val="006F5452"/>
    <w:rsid w:val="0071197A"/>
    <w:rsid w:val="00712DA7"/>
    <w:rsid w:val="00726733"/>
    <w:rsid w:val="00736EF7"/>
    <w:rsid w:val="0075341B"/>
    <w:rsid w:val="007615E1"/>
    <w:rsid w:val="007915DC"/>
    <w:rsid w:val="00796DF0"/>
    <w:rsid w:val="007A3E93"/>
    <w:rsid w:val="007A4A0E"/>
    <w:rsid w:val="007A4A49"/>
    <w:rsid w:val="007B08B7"/>
    <w:rsid w:val="007E5817"/>
    <w:rsid w:val="007F31E3"/>
    <w:rsid w:val="008053C6"/>
    <w:rsid w:val="00811B57"/>
    <w:rsid w:val="008122FD"/>
    <w:rsid w:val="00821EB5"/>
    <w:rsid w:val="00821FEF"/>
    <w:rsid w:val="00822B76"/>
    <w:rsid w:val="00874CF6"/>
    <w:rsid w:val="00890472"/>
    <w:rsid w:val="008946F2"/>
    <w:rsid w:val="00896217"/>
    <w:rsid w:val="008A50D4"/>
    <w:rsid w:val="008C3CB2"/>
    <w:rsid w:val="008F0E19"/>
    <w:rsid w:val="00905904"/>
    <w:rsid w:val="0091002A"/>
    <w:rsid w:val="009146FA"/>
    <w:rsid w:val="00920EF1"/>
    <w:rsid w:val="00925EFB"/>
    <w:rsid w:val="00934942"/>
    <w:rsid w:val="009513E9"/>
    <w:rsid w:val="00957106"/>
    <w:rsid w:val="00982FB5"/>
    <w:rsid w:val="00992F21"/>
    <w:rsid w:val="009A2F87"/>
    <w:rsid w:val="009C09F9"/>
    <w:rsid w:val="009C1AFC"/>
    <w:rsid w:val="009D11ED"/>
    <w:rsid w:val="009D481C"/>
    <w:rsid w:val="009F1B4C"/>
    <w:rsid w:val="00A05900"/>
    <w:rsid w:val="00A2443C"/>
    <w:rsid w:val="00A61749"/>
    <w:rsid w:val="00A71872"/>
    <w:rsid w:val="00A740C0"/>
    <w:rsid w:val="00A85F0A"/>
    <w:rsid w:val="00B109EF"/>
    <w:rsid w:val="00B12326"/>
    <w:rsid w:val="00B36E78"/>
    <w:rsid w:val="00B55DD4"/>
    <w:rsid w:val="00B75A53"/>
    <w:rsid w:val="00B81C6A"/>
    <w:rsid w:val="00B84BDB"/>
    <w:rsid w:val="00BA40A2"/>
    <w:rsid w:val="00BA4FC9"/>
    <w:rsid w:val="00BC22B2"/>
    <w:rsid w:val="00BC753B"/>
    <w:rsid w:val="00BD3B07"/>
    <w:rsid w:val="00BF1286"/>
    <w:rsid w:val="00BF2792"/>
    <w:rsid w:val="00C123A9"/>
    <w:rsid w:val="00C16921"/>
    <w:rsid w:val="00C20087"/>
    <w:rsid w:val="00C270D6"/>
    <w:rsid w:val="00C32A02"/>
    <w:rsid w:val="00C432DA"/>
    <w:rsid w:val="00C43361"/>
    <w:rsid w:val="00C53CFD"/>
    <w:rsid w:val="00C61FD1"/>
    <w:rsid w:val="00C70D45"/>
    <w:rsid w:val="00C9164A"/>
    <w:rsid w:val="00C9796F"/>
    <w:rsid w:val="00CB374F"/>
    <w:rsid w:val="00CB5F4B"/>
    <w:rsid w:val="00CC5575"/>
    <w:rsid w:val="00CF4FA2"/>
    <w:rsid w:val="00CF740B"/>
    <w:rsid w:val="00D037ED"/>
    <w:rsid w:val="00D27DA6"/>
    <w:rsid w:val="00D41089"/>
    <w:rsid w:val="00D525AB"/>
    <w:rsid w:val="00D76E3D"/>
    <w:rsid w:val="00D8066F"/>
    <w:rsid w:val="00D853DA"/>
    <w:rsid w:val="00D92EC6"/>
    <w:rsid w:val="00DC380E"/>
    <w:rsid w:val="00DF0D0E"/>
    <w:rsid w:val="00DF67DD"/>
    <w:rsid w:val="00DF760F"/>
    <w:rsid w:val="00E032AE"/>
    <w:rsid w:val="00E145A8"/>
    <w:rsid w:val="00E21660"/>
    <w:rsid w:val="00E2706A"/>
    <w:rsid w:val="00E77DF8"/>
    <w:rsid w:val="00E82D2E"/>
    <w:rsid w:val="00EA598B"/>
    <w:rsid w:val="00ED3A28"/>
    <w:rsid w:val="00EF4110"/>
    <w:rsid w:val="00F2735F"/>
    <w:rsid w:val="00F63E7A"/>
    <w:rsid w:val="00F64558"/>
    <w:rsid w:val="00F74F2A"/>
    <w:rsid w:val="00FA6AE7"/>
    <w:rsid w:val="00FB0F1F"/>
    <w:rsid w:val="00FD451D"/>
    <w:rsid w:val="00FE3503"/>
    <w:rsid w:val="00FE4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41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ar,fn,Footnotes,Footnote ak,Footnote Text Char Char,fn Char Char,footnote text Char Char,Footnotes Char Char,Footnote ak Char Char,fn Char1,footnote text Char1,Footnotes Char1,Footnote ak Char1,footnote text,Diagrama1"/>
    <w:basedOn w:val="prastasis"/>
    <w:link w:val="PuslapioinaostekstasDiagrama"/>
    <w:unhideWhenUsed/>
    <w:rsid w:val="00EF4110"/>
    <w:rPr>
      <w:sz w:val="20"/>
      <w:szCs w:val="20"/>
    </w:rPr>
  </w:style>
  <w:style w:type="character" w:customStyle="1" w:styleId="PuslapioinaostekstasDiagrama">
    <w:name w:val="Puslapio išnašos tekstas Diagrama"/>
    <w:aliases w:val="Car Diagrama,fn Diagrama,Footnotes Diagrama,Footnote ak Diagrama,Footnote Text Char Char Diagrama,fn Char Char Diagrama,footnote text Char Char Diagrama,Footnotes Char Char Diagrama,Footnote ak Char Char Diagrama"/>
    <w:basedOn w:val="Numatytasispastraiposriftas"/>
    <w:link w:val="Puslapioinaostekstas"/>
    <w:rsid w:val="00EF4110"/>
    <w:rPr>
      <w:rFonts w:ascii="Times New Roman" w:eastAsia="Times New Roman" w:hAnsi="Times New Roman" w:cs="Times New Roman"/>
      <w:sz w:val="20"/>
      <w:szCs w:val="20"/>
    </w:rPr>
  </w:style>
  <w:style w:type="character" w:styleId="Puslapioinaosnuoroda">
    <w:name w:val="footnote reference"/>
    <w:aliases w:val="Ref,de nota al pie"/>
    <w:unhideWhenUsed/>
    <w:rsid w:val="00EF4110"/>
    <w:rPr>
      <w:vertAlign w:val="superscript"/>
    </w:rPr>
  </w:style>
  <w:style w:type="paragraph" w:styleId="Sraopastraipa">
    <w:name w:val="List Paragraph"/>
    <w:basedOn w:val="prastasis"/>
    <w:link w:val="SraopastraipaDiagrama"/>
    <w:uiPriority w:val="34"/>
    <w:qFormat/>
    <w:rsid w:val="00EF4110"/>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basedOn w:val="Numatytasispastraiposriftas"/>
    <w:link w:val="Sraopastraipa"/>
    <w:uiPriority w:val="99"/>
    <w:locked/>
    <w:rsid w:val="00EF4110"/>
  </w:style>
  <w:style w:type="paragraph" w:customStyle="1" w:styleId="Default">
    <w:name w:val="Default"/>
    <w:rsid w:val="006D4194"/>
    <w:pPr>
      <w:autoSpaceDE w:val="0"/>
      <w:autoSpaceDN w:val="0"/>
      <w:adjustRightInd w:val="0"/>
      <w:spacing w:after="0" w:line="240" w:lineRule="auto"/>
    </w:pPr>
    <w:rPr>
      <w:rFonts w:ascii="Arial" w:hAnsi="Arial" w:cs="Arial"/>
      <w:color w:val="000000"/>
      <w:sz w:val="24"/>
      <w:szCs w:val="24"/>
    </w:rPr>
  </w:style>
  <w:style w:type="paragraph" w:styleId="Antrats">
    <w:name w:val="header"/>
    <w:basedOn w:val="prastasis"/>
    <w:link w:val="AntratsDiagrama"/>
    <w:rsid w:val="00521532"/>
    <w:pPr>
      <w:tabs>
        <w:tab w:val="center" w:pos="4153"/>
        <w:tab w:val="right" w:pos="8306"/>
      </w:tabs>
    </w:pPr>
    <w:rPr>
      <w:szCs w:val="20"/>
    </w:rPr>
  </w:style>
  <w:style w:type="character" w:customStyle="1" w:styleId="AntratsDiagrama">
    <w:name w:val="Antraštės Diagrama"/>
    <w:basedOn w:val="Numatytasispastraiposriftas"/>
    <w:link w:val="Antrats"/>
    <w:rsid w:val="0052153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47368A"/>
    <w:rPr>
      <w:sz w:val="16"/>
      <w:szCs w:val="16"/>
    </w:rPr>
  </w:style>
  <w:style w:type="paragraph" w:styleId="Komentarotekstas">
    <w:name w:val="annotation text"/>
    <w:basedOn w:val="prastasis"/>
    <w:link w:val="KomentarotekstasDiagrama"/>
    <w:uiPriority w:val="99"/>
    <w:semiHidden/>
    <w:unhideWhenUsed/>
    <w:rsid w:val="0047368A"/>
    <w:rPr>
      <w:sz w:val="20"/>
      <w:szCs w:val="20"/>
    </w:rPr>
  </w:style>
  <w:style w:type="character" w:customStyle="1" w:styleId="KomentarotekstasDiagrama">
    <w:name w:val="Komentaro tekstas Diagrama"/>
    <w:basedOn w:val="Numatytasispastraiposriftas"/>
    <w:link w:val="Komentarotekstas"/>
    <w:uiPriority w:val="99"/>
    <w:semiHidden/>
    <w:rsid w:val="0047368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7368A"/>
    <w:rPr>
      <w:b/>
      <w:bCs/>
    </w:rPr>
  </w:style>
  <w:style w:type="character" w:customStyle="1" w:styleId="KomentarotemaDiagrama">
    <w:name w:val="Komentaro tema Diagrama"/>
    <w:basedOn w:val="KomentarotekstasDiagrama"/>
    <w:link w:val="Komentarotema"/>
    <w:uiPriority w:val="99"/>
    <w:semiHidden/>
    <w:rsid w:val="0047368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736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368A"/>
    <w:rPr>
      <w:rFonts w:ascii="Tahoma" w:eastAsia="Times New Roman" w:hAnsi="Tahoma" w:cs="Tahoma"/>
      <w:sz w:val="16"/>
      <w:szCs w:val="16"/>
    </w:rPr>
  </w:style>
  <w:style w:type="character" w:styleId="Hipersaitas">
    <w:name w:val="Hyperlink"/>
    <w:basedOn w:val="Numatytasispastraiposriftas"/>
    <w:uiPriority w:val="99"/>
    <w:unhideWhenUsed/>
    <w:rsid w:val="002A77C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F411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aliases w:val="Car,fn,Footnotes,Footnote ak,Footnote Text Char Char,fn Char Char,footnote text Char Char,Footnotes Char Char,Footnote ak Char Char,fn Char1,footnote text Char1,Footnotes Char1,Footnote ak Char1,footnote text,Diagrama1"/>
    <w:basedOn w:val="prastasis"/>
    <w:link w:val="PuslapioinaostekstasDiagrama"/>
    <w:unhideWhenUsed/>
    <w:rsid w:val="00EF4110"/>
    <w:rPr>
      <w:sz w:val="20"/>
      <w:szCs w:val="20"/>
    </w:rPr>
  </w:style>
  <w:style w:type="character" w:customStyle="1" w:styleId="PuslapioinaostekstasDiagrama">
    <w:name w:val="Puslapio išnašos tekstas Diagrama"/>
    <w:aliases w:val="Car Diagrama,fn Diagrama,Footnotes Diagrama,Footnote ak Diagrama,Footnote Text Char Char Diagrama,fn Char Char Diagrama,footnote text Char Char Diagrama,Footnotes Char Char Diagrama,Footnote ak Char Char Diagrama"/>
    <w:basedOn w:val="Numatytasispastraiposriftas"/>
    <w:link w:val="Puslapioinaostekstas"/>
    <w:rsid w:val="00EF4110"/>
    <w:rPr>
      <w:rFonts w:ascii="Times New Roman" w:eastAsia="Times New Roman" w:hAnsi="Times New Roman" w:cs="Times New Roman"/>
      <w:sz w:val="20"/>
      <w:szCs w:val="20"/>
    </w:rPr>
  </w:style>
  <w:style w:type="character" w:styleId="Puslapioinaosnuoroda">
    <w:name w:val="footnote reference"/>
    <w:aliases w:val="Ref,de nota al pie"/>
    <w:unhideWhenUsed/>
    <w:rsid w:val="00EF4110"/>
    <w:rPr>
      <w:vertAlign w:val="superscript"/>
    </w:rPr>
  </w:style>
  <w:style w:type="paragraph" w:styleId="Sraopastraipa">
    <w:name w:val="List Paragraph"/>
    <w:basedOn w:val="prastasis"/>
    <w:link w:val="SraopastraipaDiagrama"/>
    <w:uiPriority w:val="34"/>
    <w:qFormat/>
    <w:rsid w:val="00EF4110"/>
    <w:pPr>
      <w:spacing w:after="200" w:line="27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basedOn w:val="Numatytasispastraiposriftas"/>
    <w:link w:val="Sraopastraipa"/>
    <w:uiPriority w:val="99"/>
    <w:locked/>
    <w:rsid w:val="00EF4110"/>
  </w:style>
  <w:style w:type="paragraph" w:customStyle="1" w:styleId="Default">
    <w:name w:val="Default"/>
    <w:rsid w:val="006D4194"/>
    <w:pPr>
      <w:autoSpaceDE w:val="0"/>
      <w:autoSpaceDN w:val="0"/>
      <w:adjustRightInd w:val="0"/>
      <w:spacing w:after="0" w:line="240" w:lineRule="auto"/>
    </w:pPr>
    <w:rPr>
      <w:rFonts w:ascii="Arial" w:hAnsi="Arial" w:cs="Arial"/>
      <w:color w:val="000000"/>
      <w:sz w:val="24"/>
      <w:szCs w:val="24"/>
    </w:rPr>
  </w:style>
  <w:style w:type="paragraph" w:styleId="Antrats">
    <w:name w:val="header"/>
    <w:basedOn w:val="prastasis"/>
    <w:link w:val="AntratsDiagrama"/>
    <w:rsid w:val="00521532"/>
    <w:pPr>
      <w:tabs>
        <w:tab w:val="center" w:pos="4153"/>
        <w:tab w:val="right" w:pos="8306"/>
      </w:tabs>
    </w:pPr>
    <w:rPr>
      <w:szCs w:val="20"/>
    </w:rPr>
  </w:style>
  <w:style w:type="character" w:customStyle="1" w:styleId="AntratsDiagrama">
    <w:name w:val="Antraštės Diagrama"/>
    <w:basedOn w:val="Numatytasispastraiposriftas"/>
    <w:link w:val="Antrats"/>
    <w:rsid w:val="0052153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47368A"/>
    <w:rPr>
      <w:sz w:val="16"/>
      <w:szCs w:val="16"/>
    </w:rPr>
  </w:style>
  <w:style w:type="paragraph" w:styleId="Komentarotekstas">
    <w:name w:val="annotation text"/>
    <w:basedOn w:val="prastasis"/>
    <w:link w:val="KomentarotekstasDiagrama"/>
    <w:uiPriority w:val="99"/>
    <w:semiHidden/>
    <w:unhideWhenUsed/>
    <w:rsid w:val="0047368A"/>
    <w:rPr>
      <w:sz w:val="20"/>
      <w:szCs w:val="20"/>
    </w:rPr>
  </w:style>
  <w:style w:type="character" w:customStyle="1" w:styleId="KomentarotekstasDiagrama">
    <w:name w:val="Komentaro tekstas Diagrama"/>
    <w:basedOn w:val="Numatytasispastraiposriftas"/>
    <w:link w:val="Komentarotekstas"/>
    <w:uiPriority w:val="99"/>
    <w:semiHidden/>
    <w:rsid w:val="0047368A"/>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7368A"/>
    <w:rPr>
      <w:b/>
      <w:bCs/>
    </w:rPr>
  </w:style>
  <w:style w:type="character" w:customStyle="1" w:styleId="KomentarotemaDiagrama">
    <w:name w:val="Komentaro tema Diagrama"/>
    <w:basedOn w:val="KomentarotekstasDiagrama"/>
    <w:link w:val="Komentarotema"/>
    <w:uiPriority w:val="99"/>
    <w:semiHidden/>
    <w:rsid w:val="0047368A"/>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47368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7368A"/>
    <w:rPr>
      <w:rFonts w:ascii="Tahoma" w:eastAsia="Times New Roman" w:hAnsi="Tahoma" w:cs="Tahoma"/>
      <w:sz w:val="16"/>
      <w:szCs w:val="16"/>
    </w:rPr>
  </w:style>
  <w:style w:type="character" w:styleId="Hipersaitas">
    <w:name w:val="Hyperlink"/>
    <w:basedOn w:val="Numatytasispastraiposriftas"/>
    <w:uiPriority w:val="99"/>
    <w:unhideWhenUsed/>
    <w:rsid w:val="002A77C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8552895">
      <w:bodyDiv w:val="1"/>
      <w:marLeft w:val="0"/>
      <w:marRight w:val="0"/>
      <w:marTop w:val="0"/>
      <w:marBottom w:val="0"/>
      <w:divBdr>
        <w:top w:val="none" w:sz="0" w:space="0" w:color="auto"/>
        <w:left w:val="none" w:sz="0" w:space="0" w:color="auto"/>
        <w:bottom w:val="none" w:sz="0" w:space="0" w:color="auto"/>
        <w:right w:val="none" w:sz="0" w:space="0" w:color="auto"/>
      </w:divBdr>
    </w:div>
    <w:div w:id="17166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977E4-279F-4B5D-A003-427C9AA2C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4106</Words>
  <Characters>2341</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6435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Edita Petrauskaitė</dc:creator>
  <cp:lastModifiedBy>Ilma Skukauskaitė</cp:lastModifiedBy>
  <cp:revision>7</cp:revision>
  <dcterms:created xsi:type="dcterms:W3CDTF">2021-09-29T13:44:00Z</dcterms:created>
  <dcterms:modified xsi:type="dcterms:W3CDTF">2021-11-17T16:08:00Z</dcterms:modified>
</cp:coreProperties>
</file>