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EF" w:rsidRPr="002D3587" w:rsidRDefault="007437EF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D3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NUMATOMO TEISINIO REGULIAVIMO POVEIKIO VERTINIMO PAŽYMA</w:t>
      </w:r>
    </w:p>
    <w:p w:rsidR="007437EF" w:rsidRPr="00FC7A1D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7437EF" w:rsidRPr="002D3587" w:rsidTr="00F06B3B">
        <w:tc>
          <w:tcPr>
            <w:tcW w:w="2204" w:type="dxa"/>
            <w:shd w:val="clear" w:color="auto" w:fill="DBE5F1"/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BE5F1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:rsidR="007437EF" w:rsidRPr="002D3587" w:rsidRDefault="00A00FEE" w:rsidP="002A1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F43C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Vyriausybės nutarimo </w:t>
            </w:r>
            <w:r w:rsidRPr="00F43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</w:t>
            </w:r>
            <w:r w:rsidRPr="00F43CAF">
              <w:rPr>
                <w:rFonts w:ascii="Times New Roman" w:hAnsi="Times New Roman" w:cs="Times New Roman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43CAF">
              <w:rPr>
                <w:rFonts w:ascii="Times New Roman" w:hAnsi="Times New Roman" w:cs="Times New Roman"/>
                <w:sz w:val="24"/>
                <w:szCs w:val="24"/>
              </w:rPr>
              <w:t xml:space="preserve">ietuvos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43CAF">
              <w:rPr>
                <w:rFonts w:ascii="Times New Roman" w:hAnsi="Times New Roman" w:cs="Times New Roman"/>
                <w:sz w:val="24"/>
                <w:szCs w:val="24"/>
              </w:rPr>
              <w:t xml:space="preserve">espublikos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43CAF">
              <w:rPr>
                <w:rFonts w:ascii="Times New Roman" w:hAnsi="Times New Roman" w:cs="Times New Roman"/>
                <w:sz w:val="24"/>
                <w:szCs w:val="24"/>
              </w:rPr>
              <w:t xml:space="preserve">yriausybės 2004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43CAF">
              <w:rPr>
                <w:rFonts w:ascii="Times New Roman" w:hAnsi="Times New Roman" w:cs="Times New Roman"/>
                <w:sz w:val="24"/>
                <w:szCs w:val="24"/>
              </w:rPr>
              <w:t xml:space="preserve">ruodžio 3 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43CAF">
              <w:rPr>
                <w:rFonts w:ascii="Times New Roman" w:hAnsi="Times New Roman" w:cs="Times New Roman"/>
                <w:sz w:val="24"/>
                <w:szCs w:val="24"/>
              </w:rPr>
              <w:t xml:space="preserve">utarimo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43CAF">
              <w:rPr>
                <w:rFonts w:ascii="Times New Roman" w:hAnsi="Times New Roman" w:cs="Times New Roman"/>
                <w:sz w:val="24"/>
                <w:szCs w:val="24"/>
              </w:rPr>
              <w:t>r. 1578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ėl K</w:t>
            </w:r>
            <w:r w:rsidRPr="00F43CAF">
              <w:rPr>
                <w:rFonts w:ascii="Times New Roman" w:hAnsi="Times New Roman" w:cs="Times New Roman"/>
                <w:bCs/>
                <w:sz w:val="24"/>
                <w:szCs w:val="24"/>
              </w:rPr>
              <w:t>ompensacijų privataus miško savininkams už saugomose teritorijose nustatytus veiklos apribojimus apskaičiavimo ir išmokėjimo tvarkos aprašo patvirtinimo“ pakeitimo</w:t>
            </w:r>
            <w:r w:rsidRPr="00F43C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 projektas.</w:t>
            </w:r>
          </w:p>
        </w:tc>
      </w:tr>
    </w:tbl>
    <w:p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7437EF" w:rsidRPr="002D3587" w:rsidTr="00F06B3B">
        <w:tc>
          <w:tcPr>
            <w:tcW w:w="2191" w:type="dxa"/>
            <w:shd w:val="clear" w:color="auto" w:fill="DBE5F1"/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:rsidR="007437EF" w:rsidRPr="002D3587" w:rsidRDefault="007437EF" w:rsidP="00042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Aplinkos ministerijos </w:t>
            </w:r>
            <w:r w:rsidR="00636433" w:rsidRPr="00636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Gamtos apsaugos </w:t>
            </w:r>
            <w:r w:rsidR="00677F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politikos grupė.</w:t>
            </w:r>
          </w:p>
        </w:tc>
      </w:tr>
    </w:tbl>
    <w:p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7437EF" w:rsidRPr="002D3587" w:rsidTr="00F06B3B">
        <w:tc>
          <w:tcPr>
            <w:tcW w:w="2189" w:type="dxa"/>
            <w:shd w:val="clear" w:color="auto" w:fill="DBE5F1"/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:rsidR="007437EF" w:rsidRPr="002D3587" w:rsidRDefault="00A00FEE" w:rsidP="00A41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Užtikrinti teisinį aiškumą, kad kompensacijos už veiklos apribojimus nustatytus Lietuvos Respublikos saugomų teritorijų įstatymu yra apskaičiuojamos ir mokamos pagal šiuo nutarimu patvirtinta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F43CAF">
              <w:rPr>
                <w:rFonts w:ascii="Times New Roman" w:hAnsi="Times New Roman" w:cs="Times New Roman"/>
                <w:bCs/>
                <w:sz w:val="24"/>
                <w:szCs w:val="24"/>
              </w:rPr>
              <w:t>ompensacijų privataus miško savininkams už saugomose teritorijose nustatytus veiklos apribojimus apskaičiavimo ir išmokėjimo tvarkos apraš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ą.</w:t>
            </w:r>
            <w:r w:rsidR="00FC3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Patikslinamas K</w:t>
            </w:r>
            <w:r w:rsidR="00FC3D2B" w:rsidRPr="00F43CAF">
              <w:rPr>
                <w:rFonts w:ascii="Times New Roman" w:hAnsi="Times New Roman" w:cs="Times New Roman"/>
                <w:bCs/>
                <w:sz w:val="24"/>
                <w:szCs w:val="24"/>
              </w:rPr>
              <w:t>ompensacijų privataus miško savininkams už saugomose teritorijose nustatytus veiklos apribojimus apskaičiavimo ir išmokėjimo tvarkos apraš</w:t>
            </w:r>
            <w:r w:rsidR="00FC3D2B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="00AC52C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C3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nurodant kokios institucijos išmoka kompensacijas Saugomų teritorijų įstatymo 32</w:t>
            </w:r>
            <w:r w:rsidR="00FC3D2B" w:rsidRPr="00FC3D2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FC3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straipsnio 5 dalyje </w:t>
            </w:r>
            <w:r w:rsidR="00AC52C5">
              <w:rPr>
                <w:rFonts w:ascii="Times New Roman" w:hAnsi="Times New Roman" w:cs="Times New Roman"/>
                <w:bCs/>
                <w:sz w:val="24"/>
                <w:szCs w:val="24"/>
              </w:rPr>
              <w:t>nurodytais atvejais.</w:t>
            </w:r>
            <w:r w:rsidR="00FC3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7437EF" w:rsidRPr="002D3587" w:rsidTr="00F06B3B">
        <w:trPr>
          <w:trHeight w:val="415"/>
        </w:trPr>
        <w:tc>
          <w:tcPr>
            <w:tcW w:w="2164" w:type="dxa"/>
            <w:shd w:val="clear" w:color="auto" w:fill="DBE5F1"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Siūlomo projekto poveikio įvertinimas </w:t>
            </w:r>
          </w:p>
          <w:p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2D3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teigiamos ir (ar) neigiamos pasekmės)</w:t>
            </w:r>
          </w:p>
        </w:tc>
      </w:tr>
    </w:tbl>
    <w:p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:rsidTr="00F06B3B">
        <w:tc>
          <w:tcPr>
            <w:tcW w:w="2235" w:type="dxa"/>
            <w:shd w:val="clear" w:color="auto" w:fill="DBE5F1"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aplinkai</w:t>
            </w:r>
          </w:p>
        </w:tc>
        <w:tc>
          <w:tcPr>
            <w:tcW w:w="7371" w:type="dxa"/>
          </w:tcPr>
          <w:p w:rsidR="007437EF" w:rsidRPr="002D3587" w:rsidRDefault="00A00FEE" w:rsidP="00167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Neutralus.</w:t>
            </w:r>
          </w:p>
        </w:tc>
      </w:tr>
    </w:tbl>
    <w:p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:rsidTr="00F06B3B">
        <w:tc>
          <w:tcPr>
            <w:tcW w:w="2235" w:type="dxa"/>
            <w:shd w:val="clear" w:color="auto" w:fill="DBE5F1"/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valstybės finansams</w:t>
            </w:r>
          </w:p>
        </w:tc>
        <w:tc>
          <w:tcPr>
            <w:tcW w:w="7371" w:type="dxa"/>
            <w:hideMark/>
          </w:tcPr>
          <w:p w:rsidR="007437EF" w:rsidRPr="002D3587" w:rsidRDefault="00593C5B" w:rsidP="00F04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546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Bet yra tikimybė, kad </w:t>
            </w:r>
            <w:r w:rsidR="00F04BAA" w:rsidRPr="001546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reikės papildomų lėšų </w:t>
            </w:r>
            <w:r w:rsidRPr="001546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Aplinkos ministerijai, kai savivaldybės steigtuose draustiniuose bus pakeičiamos miškų grupės, vadovaujantis Miškų įstatymo nuostatomis.</w:t>
            </w:r>
            <w:r w:rsidR="00F04BAA" w:rsidRPr="001546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Konkretus</w:t>
            </w:r>
            <w:r w:rsidR="00F04B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lėšų poreikis bus nustatomas kiekvienais metais, gavus asmenų prašymus dėl kompensacijų.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6B4678" w:rsidRPr="00BB3856" w:rsidRDefault="006B4678" w:rsidP="006B4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6B4678" w:rsidRPr="00BB3856" w:rsidTr="00A00F62">
        <w:tc>
          <w:tcPr>
            <w:tcW w:w="2235" w:type="dxa"/>
            <w:shd w:val="clear" w:color="auto" w:fill="DBE5F1"/>
          </w:tcPr>
          <w:p w:rsidR="006B4678" w:rsidRPr="00BB3856" w:rsidRDefault="006B4678" w:rsidP="00A00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klimato kaitai</w:t>
            </w:r>
          </w:p>
        </w:tc>
        <w:tc>
          <w:tcPr>
            <w:tcW w:w="7371" w:type="dxa"/>
          </w:tcPr>
          <w:p w:rsidR="006B4678" w:rsidRPr="00BB3856" w:rsidRDefault="006B4678" w:rsidP="00A00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Neutralus.</w:t>
            </w:r>
          </w:p>
        </w:tc>
      </w:tr>
    </w:tbl>
    <w:p w:rsidR="007437EF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6B531B" w:rsidRPr="002D3587" w:rsidTr="005B6421">
        <w:tc>
          <w:tcPr>
            <w:tcW w:w="2235" w:type="dxa"/>
            <w:shd w:val="clear" w:color="auto" w:fill="DBE5F1"/>
            <w:hideMark/>
          </w:tcPr>
          <w:p w:rsidR="006B531B" w:rsidRPr="002D3587" w:rsidRDefault="006B531B" w:rsidP="006B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Poveikis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7371" w:type="dxa"/>
            <w:hideMark/>
          </w:tcPr>
          <w:p w:rsidR="00A41D5D" w:rsidRPr="00A41D5D" w:rsidRDefault="00852EFD" w:rsidP="00A41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52E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Nenumatomas</w:t>
            </w:r>
          </w:p>
        </w:tc>
      </w:tr>
    </w:tbl>
    <w:p w:rsidR="006B531B" w:rsidRPr="002D3587" w:rsidRDefault="006B531B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7437EF" w:rsidRPr="002D3587" w:rsidRDefault="007437EF" w:rsidP="00743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D3587">
        <w:rPr>
          <w:rFonts w:ascii="Times New Roman" w:eastAsia="Times New Roman" w:hAnsi="Times New Roman" w:cs="Times New Roman"/>
          <w:b/>
          <w:sz w:val="24"/>
          <w:szCs w:val="24"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70"/>
      </w:tblGrid>
      <w:tr w:rsidR="007437EF" w:rsidRPr="002D358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2D3587" w:rsidRDefault="002A1006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Sigutė Ališauskienė</w:t>
            </w:r>
          </w:p>
        </w:tc>
      </w:tr>
      <w:tr w:rsidR="007437EF" w:rsidRPr="002D358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2D3587" w:rsidRDefault="007437EF" w:rsidP="002A1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</w:rPr>
              <w:t>Vyriausi</w:t>
            </w:r>
            <w:r w:rsidR="002A1006">
              <w:rPr>
                <w:rFonts w:ascii="Times New Roman" w:eastAsia="Times New Roman" w:hAnsi="Times New Roman" w:cs="Times New Roman"/>
                <w:sz w:val="24"/>
              </w:rPr>
              <w:t xml:space="preserve">oji </w:t>
            </w:r>
            <w:r w:rsidRPr="002D3587">
              <w:rPr>
                <w:rFonts w:ascii="Times New Roman" w:eastAsia="Times New Roman" w:hAnsi="Times New Roman" w:cs="Times New Roman"/>
                <w:sz w:val="24"/>
              </w:rPr>
              <w:t>specialist</w:t>
            </w:r>
            <w:r w:rsidR="002A1006">
              <w:rPr>
                <w:rFonts w:ascii="Times New Roman" w:eastAsia="Times New Roman" w:hAnsi="Times New Roman" w:cs="Times New Roman"/>
                <w:sz w:val="24"/>
              </w:rPr>
              <w:t>ė</w:t>
            </w:r>
          </w:p>
        </w:tc>
      </w:tr>
      <w:tr w:rsidR="007437EF" w:rsidRPr="002D358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(padalinys)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2D3587" w:rsidRDefault="007437EF" w:rsidP="00042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Aplinkos ministerijos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Gamtos apsaugos </w:t>
            </w:r>
            <w:r w:rsidR="00D34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politikos grupė </w:t>
            </w:r>
          </w:p>
        </w:tc>
      </w:tr>
      <w:tr w:rsidR="007437EF" w:rsidRPr="002D3587" w:rsidTr="00F06B3B">
        <w:trPr>
          <w:trHeight w:val="511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 ir elektroninio pašto adresas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2D3587" w:rsidRDefault="00FA320F" w:rsidP="00FA3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1546B4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620</w:t>
            </w:r>
            <w:r w:rsidR="001546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17561</w:t>
            </w:r>
            <w:r w:rsidR="007437EF" w:rsidRPr="002D3587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 w:rsidR="002A1006">
              <w:rPr>
                <w:rFonts w:ascii="Times New Roman" w:eastAsia="Times New Roman" w:hAnsi="Times New Roman" w:cs="Times New Roman"/>
                <w:sz w:val="24"/>
              </w:rPr>
              <w:t>sigute.alisauskiene</w:t>
            </w:r>
            <w:proofErr w:type="spellEnd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@</w:t>
            </w:r>
            <w:proofErr w:type="spellStart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am.lt</w:t>
            </w:r>
            <w:proofErr w:type="spellEnd"/>
          </w:p>
        </w:tc>
      </w:tr>
    </w:tbl>
    <w:p w:rsidR="003768D7" w:rsidRDefault="003768D7"/>
    <w:sectPr w:rsidR="003768D7" w:rsidSect="002350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EF"/>
    <w:rsid w:val="00040165"/>
    <w:rsid w:val="000424F3"/>
    <w:rsid w:val="00057434"/>
    <w:rsid w:val="000670DB"/>
    <w:rsid w:val="001546B4"/>
    <w:rsid w:val="0016787C"/>
    <w:rsid w:val="001859F3"/>
    <w:rsid w:val="00206C63"/>
    <w:rsid w:val="002350F4"/>
    <w:rsid w:val="002A1006"/>
    <w:rsid w:val="002F462E"/>
    <w:rsid w:val="003768D7"/>
    <w:rsid w:val="00486BB4"/>
    <w:rsid w:val="004E42B7"/>
    <w:rsid w:val="00593C5B"/>
    <w:rsid w:val="0062351A"/>
    <w:rsid w:val="00636433"/>
    <w:rsid w:val="00677FDD"/>
    <w:rsid w:val="006B4678"/>
    <w:rsid w:val="006B531B"/>
    <w:rsid w:val="007437EF"/>
    <w:rsid w:val="00750095"/>
    <w:rsid w:val="008469E2"/>
    <w:rsid w:val="00852EFD"/>
    <w:rsid w:val="00881BFA"/>
    <w:rsid w:val="00893A7F"/>
    <w:rsid w:val="008A6677"/>
    <w:rsid w:val="009322D9"/>
    <w:rsid w:val="009667FD"/>
    <w:rsid w:val="00A00FEE"/>
    <w:rsid w:val="00A340D0"/>
    <w:rsid w:val="00A41D5D"/>
    <w:rsid w:val="00AC52C5"/>
    <w:rsid w:val="00B2283A"/>
    <w:rsid w:val="00B46F84"/>
    <w:rsid w:val="00B76E20"/>
    <w:rsid w:val="00C44897"/>
    <w:rsid w:val="00D343A0"/>
    <w:rsid w:val="00D842C2"/>
    <w:rsid w:val="00DA32B4"/>
    <w:rsid w:val="00DA41B8"/>
    <w:rsid w:val="00DF7820"/>
    <w:rsid w:val="00F04BAA"/>
    <w:rsid w:val="00FA320F"/>
    <w:rsid w:val="00FC3D2B"/>
    <w:rsid w:val="00F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6433"/>
  </w:style>
  <w:style w:type="character" w:styleId="CommentReference">
    <w:name w:val="annotation reference"/>
    <w:basedOn w:val="DefaultParagraphFont"/>
    <w:uiPriority w:val="99"/>
    <w:semiHidden/>
    <w:unhideWhenUsed/>
    <w:rsid w:val="00DA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1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6433"/>
  </w:style>
  <w:style w:type="character" w:styleId="CommentReference">
    <w:name w:val="annotation reference"/>
    <w:basedOn w:val="DefaultParagraphFont"/>
    <w:uiPriority w:val="99"/>
    <w:semiHidden/>
    <w:unhideWhenUsed/>
    <w:rsid w:val="00DA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1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2020-10-02T08:30:00Z</dcterms:created>
  <dc:creator>d.anuskevicius</dc:creator>
  <cp:lastModifiedBy>Sigute Alisauskiene</cp:lastModifiedBy>
  <dcterms:modified xsi:type="dcterms:W3CDTF">2020-10-02T08:31:00Z</dcterms:modified>
  <cp:revision>3</cp:revision>
</cp:coreProperties>
</file>