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lang w:val="en-GB" w:eastAsia="en-GB"/>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CF3729" w:rsidRDefault="00102B7E">
            <w:pPr>
              <w:rPr>
                <w:szCs w:val="24"/>
              </w:rPr>
            </w:pPr>
            <w:permStart w:id="1754732057" w:edGrp="everyone"/>
            <w:r>
              <w:rPr>
                <w:szCs w:val="24"/>
              </w:rPr>
              <w:lastRenderedPageBreak/>
              <w:t>Lietuvos Respublikos Vyriausybei</w:t>
            </w:r>
            <w:r w:rsidR="002A180F">
              <w:rPr>
                <w:szCs w:val="24"/>
              </w:rPr>
              <w:t>,</w:t>
            </w:r>
          </w:p>
          <w:p w:rsidR="00486336" w:rsidRDefault="00486336">
            <w:r>
              <w:rPr>
                <w:szCs w:val="24"/>
              </w:rPr>
              <w:t xml:space="preserve">Lietuvos </w:t>
            </w:r>
            <w:r w:rsidR="002A180F">
              <w:rPr>
                <w:szCs w:val="24"/>
              </w:rPr>
              <w:t>s</w:t>
            </w:r>
            <w:r>
              <w:rPr>
                <w:szCs w:val="24"/>
              </w:rPr>
              <w:t>avivaldybių asociacijai</w:t>
            </w:r>
          </w:p>
          <w:p w:rsidR="00CF3729" w:rsidRDefault="00CF3729"/>
        </w:tc>
        <w:tc>
          <w:tcPr>
            <w:tcW w:w="4820" w:type="dxa"/>
          </w:tcPr>
          <w:p w:rsidR="00676E45" w:rsidRPr="00AC3F49" w:rsidRDefault="00676E45">
            <w:pPr>
              <w:rPr>
                <w:color w:val="FFFFFF" w:themeColor="background1"/>
              </w:rPr>
            </w:pPr>
            <w:r w:rsidRPr="00AC3F49">
              <w:rPr>
                <w:color w:val="FFFFFF" w:themeColor="background1"/>
              </w:rPr>
              <w:t xml:space="preserve">Į  </w:t>
            </w:r>
            <w:r w:rsidR="0097564F" w:rsidRPr="00AC3F49">
              <w:rPr>
                <w:color w:val="FFFFFF" w:themeColor="background1"/>
              </w:rPr>
              <w:t>2020</w:t>
            </w:r>
            <w:r w:rsidRPr="00AC3F49">
              <w:rPr>
                <w:color w:val="FFFFFF" w:themeColor="background1"/>
              </w:rPr>
              <w:t xml:space="preserve">-00-00 Nr. </w:t>
            </w:r>
          </w:p>
          <w:p w:rsidR="00676E45" w:rsidRDefault="00676E45"/>
        </w:tc>
      </w:tr>
      <w:tr w:rsidR="00C612D0" w:rsidRPr="00B62CC5" w:rsidTr="00FD094C">
        <w:trPr>
          <w:cantSplit/>
          <w:trHeight w:val="629"/>
        </w:trPr>
        <w:tc>
          <w:tcPr>
            <w:tcW w:w="9747" w:type="dxa"/>
            <w:gridSpan w:val="2"/>
          </w:tcPr>
          <w:p w:rsidR="00C612D0" w:rsidRPr="00B62CC5" w:rsidRDefault="00C612D0" w:rsidP="00AB729A">
            <w:pPr>
              <w:rPr>
                <w:b/>
              </w:rPr>
            </w:pPr>
            <w:r w:rsidRPr="00B62CC5">
              <w:rPr>
                <w:b/>
              </w:rPr>
              <w:t>DĖL</w:t>
            </w:r>
            <w:r w:rsidR="00AC3F49">
              <w:rPr>
                <w:b/>
              </w:rPr>
              <w:t xml:space="preserve"> </w:t>
            </w:r>
            <w:r w:rsidR="00AC3F49">
              <w:rPr>
                <w:b/>
                <w:caps/>
                <w:szCs w:val="24"/>
              </w:rPr>
              <w:t>Lietuvos respublikos 202</w:t>
            </w:r>
            <w:r w:rsidR="00AB729A">
              <w:rPr>
                <w:b/>
                <w:caps/>
                <w:szCs w:val="24"/>
              </w:rPr>
              <w:t>1</w:t>
            </w:r>
            <w:r w:rsidR="00AC3F49">
              <w:rPr>
                <w:b/>
                <w:caps/>
                <w:szCs w:val="24"/>
              </w:rPr>
              <w:t xml:space="preserve"> metų valstybės biudžeto ir savivaldybių biudžetų finansinių rodiklių patvirtinimo įstatymo NR. XI</w:t>
            </w:r>
            <w:r w:rsidR="00AB729A">
              <w:rPr>
                <w:b/>
                <w:caps/>
                <w:szCs w:val="24"/>
              </w:rPr>
              <w:t>V</w:t>
            </w:r>
            <w:r w:rsidR="00AC3F49">
              <w:rPr>
                <w:b/>
                <w:caps/>
                <w:szCs w:val="24"/>
              </w:rPr>
              <w:t>-</w:t>
            </w:r>
            <w:r w:rsidR="00AB729A">
              <w:rPr>
                <w:b/>
                <w:caps/>
                <w:szCs w:val="24"/>
              </w:rPr>
              <w:t>102</w:t>
            </w:r>
            <w:r w:rsidR="00AC3F49">
              <w:rPr>
                <w:b/>
                <w:caps/>
                <w:szCs w:val="24"/>
              </w:rPr>
              <w:t xml:space="preserve"> pakeitimo įstatymo projekto </w:t>
            </w:r>
            <w:r w:rsidR="00AC3F49" w:rsidRPr="00216BBC">
              <w:rPr>
                <w:b/>
                <w:bCs/>
                <w:caps/>
                <w:color w:val="000000" w:themeColor="text1"/>
                <w:szCs w:val="24"/>
              </w:rPr>
              <w:t>IR SU JUO SUSIJUSIŲ TEISĖS AKTŲ PROJEKTŲ</w:t>
            </w:r>
          </w:p>
        </w:tc>
      </w:tr>
    </w:tbl>
    <w:p w:rsidR="00676E45" w:rsidRDefault="00676E45">
      <w:pPr>
        <w:jc w:val="center"/>
      </w:pPr>
    </w:p>
    <w:p w:rsidR="00714865" w:rsidRDefault="00897243" w:rsidP="00714865">
      <w:pPr>
        <w:ind w:firstLine="720"/>
        <w:jc w:val="both"/>
        <w:rPr>
          <w:szCs w:val="24"/>
        </w:rPr>
      </w:pPr>
      <w:r w:rsidRPr="007D45AC">
        <w:rPr>
          <w:szCs w:val="24"/>
        </w:rPr>
        <w:t>Finansų ministerija</w:t>
      </w:r>
      <w:r w:rsidRPr="007D45AC">
        <w:t xml:space="preserve"> </w:t>
      </w:r>
      <w:r w:rsidR="00714865">
        <w:rPr>
          <w:szCs w:val="24"/>
        </w:rPr>
        <w:t xml:space="preserve">teikia </w:t>
      </w:r>
      <w:r w:rsidR="00714865">
        <w:t xml:space="preserve">Lietuvos Respublikos 2021 metų valstybės biudžeto ir savivaldybių biudžetų finansinių rodiklių patvirtinimo įstatymo Nr. XIV-102 preambulės, 1, 2, 3, 9, 10, 11, 14, 20 straipsnių ir 1, 2, 3, 6, 7, 8 priedų pakeitimo įstatymo projektą </w:t>
      </w:r>
      <w:r w:rsidR="00714865">
        <w:rPr>
          <w:bCs/>
        </w:rPr>
        <w:t xml:space="preserve">(toliau – Įstatymo projektas), </w:t>
      </w:r>
      <w:r w:rsidR="00714865">
        <w:rPr>
          <w:bCs/>
          <w:szCs w:val="24"/>
        </w:rPr>
        <w:t>Lietuvos Respublikos pelno mokesčio įstatymo Nr. IX-675 30 straipsnio pakeitimo įstatymo projektą,</w:t>
      </w:r>
      <w:r w:rsidR="00714865">
        <w:t xml:space="preserve"> Lietuvos Respublikos Seimo nutarimo „Dėl Lietuvos Respublikos Seimo 2020 m. gruodžio 22 d. nutarimo Nr. XIV-103 „Dėl 2021 metų, 2022 metų ir 2023 metų valstybės biudžeto ir savivaldybių biudžetų konsoliduotos visumos planuojamų rodiklių“ pakeitimo“ projektą</w:t>
      </w:r>
      <w:r w:rsidR="00714865">
        <w:rPr>
          <w:bCs/>
        </w:rPr>
        <w:t xml:space="preserve"> </w:t>
      </w:r>
      <w:r w:rsidR="00714865">
        <w:t xml:space="preserve">ir </w:t>
      </w:r>
      <w:r w:rsidR="00714865">
        <w:rPr>
          <w:szCs w:val="24"/>
        </w:rPr>
        <w:t xml:space="preserve">Lietuvos Respublikos Vyriausybės nutarimo „Dėl </w:t>
      </w:r>
      <w:r w:rsidR="00714865">
        <w:t xml:space="preserve">Lietuvos Respublikos 2021 metų valstybės biudžeto ir savivaldybių biudžetų finansinių rodiklių patvirtinimo įstatymo Nr. XIV-102 preambulės, 1, 2, 3, 9, 10, 11, 14, 20 straipsnių ir 1, 2, 3, 6, 7, 8 priedų pakeitimo įstatymo, </w:t>
      </w:r>
      <w:r w:rsidR="00714865">
        <w:rPr>
          <w:szCs w:val="24"/>
        </w:rPr>
        <w:t xml:space="preserve">Lietuvos Respublikos </w:t>
      </w:r>
      <w:r w:rsidR="00714865">
        <w:rPr>
          <w:rFonts w:eastAsiaTheme="minorHAnsi"/>
          <w:bCs/>
        </w:rPr>
        <w:t xml:space="preserve">pelno mokesčio įstatymo Nr. IX-675 30 straipsnio pakeitimo įstatymo, </w:t>
      </w:r>
      <w:r w:rsidR="00714865">
        <w:t>Lietuvos Respublikos Seimo nutarimo „Dėl Lietuvos Respublikos Seimo 2020 m. gruodžio 22 d. nutarimo Nr. XIV-103 „Dėl 2021 metų, 2022 metų ir 2023 metų valstybės biudžeto ir savivaldybių biudžetų konsoliduotos visumos planuojamų rodiklių“ pakeitimo projektų</w:t>
      </w:r>
      <w:r w:rsidR="00714865">
        <w:rPr>
          <w:rFonts w:eastAsiaTheme="minorHAnsi"/>
          <w:bCs/>
        </w:rPr>
        <w:t xml:space="preserve"> </w:t>
      </w:r>
      <w:r w:rsidR="00714865">
        <w:t>pateikimo Lietuvos Respublikos Seimui“</w:t>
      </w:r>
      <w:r w:rsidR="00714865">
        <w:rPr>
          <w:szCs w:val="24"/>
        </w:rPr>
        <w:t xml:space="preserve"> projektą (toliau kartu – teisės aktų projektai).</w:t>
      </w:r>
    </w:p>
    <w:p w:rsidR="00714865" w:rsidRDefault="00714865" w:rsidP="00714865">
      <w:pPr>
        <w:ind w:firstLine="720"/>
        <w:jc w:val="both"/>
        <w:rPr>
          <w:color w:val="000000" w:themeColor="text1"/>
        </w:rPr>
      </w:pPr>
      <w:r>
        <w:t>Į</w:t>
      </w:r>
      <w:r>
        <w:rPr>
          <w:bCs/>
        </w:rPr>
        <w:t xml:space="preserve">statymo projektas </w:t>
      </w:r>
      <w:r>
        <w:rPr>
          <w:color w:val="000000" w:themeColor="text1"/>
        </w:rPr>
        <w:t xml:space="preserve">parengtas </w:t>
      </w:r>
      <w:r>
        <w:t>siekiant patikslinti finansinius rodiklius, patvirtintus Lietuvos Respublikos 2021 metų valstybės biudžeto ir savivaldybių biudžetų finansinių rodiklių patvirtinimo įstatymu (toliau – Įstatymas).</w:t>
      </w:r>
    </w:p>
    <w:p w:rsidR="00594655" w:rsidRDefault="00714865" w:rsidP="00714865">
      <w:pPr>
        <w:ind w:firstLine="720"/>
        <w:jc w:val="both"/>
        <w:rPr>
          <w:rFonts w:eastAsiaTheme="minorHAnsi"/>
          <w:szCs w:val="24"/>
          <w:lang w:eastAsia="en-US"/>
        </w:rPr>
      </w:pPr>
      <w:r>
        <w:rPr>
          <w:rFonts w:eastAsiaTheme="minorHAnsi"/>
          <w:szCs w:val="24"/>
          <w:lang w:eastAsia="en-US"/>
        </w:rPr>
        <w:t xml:space="preserve">Įstatymo projektu tikslinamos 2021 metų valstybės biudžeto pajamos kartu su Europos Sąjungos (toliau – ES) ir kitomis tarptautinės finansinės paramos lėšomis sudaro 11 824,4 </w:t>
      </w:r>
      <w:r>
        <w:rPr>
          <w:rFonts w:eastAsiaTheme="minorHAnsi"/>
          <w:bCs/>
          <w:szCs w:val="24"/>
          <w:lang w:eastAsia="en-US"/>
        </w:rPr>
        <w:t>mln</w:t>
      </w:r>
      <w:r>
        <w:rPr>
          <w:rFonts w:eastAsiaTheme="minorHAnsi"/>
          <w:szCs w:val="24"/>
          <w:lang w:eastAsia="en-US"/>
        </w:rPr>
        <w:t xml:space="preserve">. eurų, asignavimai išlaidoms ir turtui įsigyti – </w:t>
      </w:r>
      <w:r>
        <w:rPr>
          <w:rFonts w:eastAsiaTheme="minorHAnsi"/>
          <w:bCs/>
          <w:szCs w:val="24"/>
          <w:lang w:eastAsia="en-US"/>
        </w:rPr>
        <w:t>16 573,1 mln.</w:t>
      </w:r>
      <w:r>
        <w:rPr>
          <w:rFonts w:eastAsiaTheme="minorHAnsi"/>
          <w:szCs w:val="24"/>
          <w:lang w:eastAsia="en-US"/>
        </w:rPr>
        <w:t xml:space="preserve"> eurų (asignavimai viršija pajamas 4 748,7 mln. eurų) (atitinkamai tikslinami Įstatymo 1 ir 2 priedai). </w:t>
      </w:r>
    </w:p>
    <w:p w:rsidR="00714865" w:rsidRDefault="00714865" w:rsidP="00714865">
      <w:pPr>
        <w:ind w:firstLine="720"/>
        <w:jc w:val="both"/>
        <w:rPr>
          <w:szCs w:val="24"/>
          <w:lang w:eastAsia="en-US"/>
        </w:rPr>
      </w:pPr>
      <w:bookmarkStart w:id="0" w:name="_GoBack"/>
      <w:bookmarkEnd w:id="0"/>
      <w:r>
        <w:rPr>
          <w:szCs w:val="24"/>
          <w:lang w:eastAsia="en-US"/>
        </w:rPr>
        <w:t xml:space="preserve">Įstatymo projekte numatoma, kad 2021 metų valstybės biudžeto pajamos kartu su ES ir kitomis tarptautinės finansinės paramos lėšomis sudarys </w:t>
      </w:r>
      <w:r>
        <w:rPr>
          <w:bCs/>
          <w:szCs w:val="24"/>
          <w:lang w:eastAsia="en-US"/>
        </w:rPr>
        <w:t>11 824,4</w:t>
      </w:r>
      <w:r>
        <w:rPr>
          <w:szCs w:val="24"/>
          <w:lang w:eastAsia="en-US"/>
        </w:rPr>
        <w:t xml:space="preserve"> mln. eurų, arba 5,1 proc. (572,3 mln. eurų) daugiau nei šiuo metu patvirtintame 2021 metų valstybės biudžeto plane. 2021 metais valstybės biudžeto pajamos, neįskaitant ES ir kitų tarptautinės finansinės paramos lėšų, sieks 9 047,3</w:t>
      </w:r>
      <w:r>
        <w:rPr>
          <w:bCs/>
          <w:szCs w:val="24"/>
          <w:lang w:eastAsia="en-US"/>
        </w:rPr>
        <w:t xml:space="preserve"> </w:t>
      </w:r>
      <w:r>
        <w:rPr>
          <w:szCs w:val="24"/>
          <w:lang w:eastAsia="en-US"/>
        </w:rPr>
        <w:t>mln. eurų, t. y. bus 0,7 proc. (58,7 mln. eurų) didesnės nei patvirtintame plane.</w:t>
      </w:r>
    </w:p>
    <w:p w:rsidR="00714865" w:rsidRDefault="00714865" w:rsidP="00714865">
      <w:pPr>
        <w:ind w:firstLine="720"/>
        <w:jc w:val="both"/>
        <w:rPr>
          <w:szCs w:val="24"/>
        </w:rPr>
      </w:pPr>
      <w:r>
        <w:rPr>
          <w:szCs w:val="24"/>
        </w:rPr>
        <w:t>Prognozuojama, kad iš 4 pagrindinių mokesčių (pridėtinės vertės, gyventojų pajamų, akcizų ir pelno), kurie sudaro 90,7 proc. valstybės biudžeto pajamų, be ES ir kitų tarptautinės finansinės paramos lėšų, bus gauta 8 205,2 mln. eurų, arba 0,4 proc. daugiau nei šiuo metu patvirtintame 2021 metų plane. Tikslinant pajamų iš šių mokesčių prognozę buvo įvertintas 2021 metų kovą paskelbtas Finansų ministerijos parengtas ekonominės raidos scenarijus, atnaujintos prielaidos dėl COVID</w:t>
      </w:r>
      <w:r>
        <w:rPr>
          <w:szCs w:val="24"/>
          <w:lang w:eastAsia="en-US"/>
        </w:rPr>
        <w:t>-19 pandemijos sukelto ekonomikos nuosmukio</w:t>
      </w:r>
      <w:r>
        <w:rPr>
          <w:szCs w:val="24"/>
        </w:rPr>
        <w:t xml:space="preserve"> paveiktų įmonių mokesčių mokėjimo atidėjimų srautų ir įvertintas faktinis 2021 metų pirmojo ketvirčio pajamų iš šių mokesčių surinkimas. </w:t>
      </w:r>
    </w:p>
    <w:p w:rsidR="00714865" w:rsidRDefault="00714865" w:rsidP="00714865">
      <w:pPr>
        <w:ind w:firstLine="720"/>
        <w:jc w:val="both"/>
        <w:rPr>
          <w:rFonts w:eastAsiaTheme="minorHAnsi"/>
          <w:color w:val="000000"/>
          <w:lang w:eastAsia="en-US"/>
        </w:rPr>
      </w:pPr>
      <w:bookmarkStart w:id="1" w:name="_Hlk70588005"/>
      <w:r>
        <w:rPr>
          <w:rFonts w:eastAsiaTheme="minorHAnsi"/>
          <w:color w:val="000000"/>
          <w:lang w:eastAsia="en-US"/>
        </w:rPr>
        <w:lastRenderedPageBreak/>
        <w:t>Pajamos iš pridėtinės vertės mokesčio mažinamos 65,3 mln. eurų, įvertinus patikslintas prielaidas dėl atidėtų mokėjimų, mažesnę galutinio vartojimo išlaidų augimo 2021 metų prognozę ir numatomas priimti laikinas pridėtinės vertės mokesčio lengvatas maitinimo, sporto ir kultūros paslaugoms</w:t>
      </w:r>
      <w:r>
        <w:rPr>
          <w:vertAlign w:val="superscript"/>
        </w:rPr>
        <w:footnoteReference w:id="1"/>
      </w:r>
      <w:r>
        <w:rPr>
          <w:rFonts w:eastAsiaTheme="minorHAnsi"/>
          <w:color w:val="000000"/>
          <w:lang w:eastAsia="en-US"/>
        </w:rPr>
        <w:t>.</w:t>
      </w:r>
      <w:bookmarkEnd w:id="1"/>
      <w:r>
        <w:rPr>
          <w:rFonts w:eastAsiaTheme="minorHAnsi"/>
          <w:color w:val="000000"/>
          <w:lang w:eastAsia="en-US"/>
        </w:rPr>
        <w:t xml:space="preserve"> D</w:t>
      </w:r>
      <w:r>
        <w:rPr>
          <w:rFonts w:eastAsiaTheme="minorHAnsi"/>
          <w:szCs w:val="24"/>
          <w:lang w:eastAsia="en-US"/>
        </w:rPr>
        <w:t>ėl šių pakeitimų 2021 metų pajamos mažės apie 36,5 mln. eurų.</w:t>
      </w:r>
    </w:p>
    <w:p w:rsidR="00714865" w:rsidRDefault="00714865" w:rsidP="00714865">
      <w:pPr>
        <w:ind w:firstLine="720"/>
        <w:jc w:val="both"/>
        <w:rPr>
          <w:rFonts w:eastAsiaTheme="minorHAnsi"/>
          <w:iCs/>
          <w:color w:val="000000"/>
          <w:lang w:eastAsia="en-US"/>
        </w:rPr>
      </w:pPr>
      <w:bookmarkStart w:id="2" w:name="_Hlk70588962"/>
      <w:r>
        <w:rPr>
          <w:rFonts w:eastAsiaTheme="minorHAnsi"/>
          <w:color w:val="000000"/>
          <w:lang w:eastAsia="en-US"/>
        </w:rPr>
        <w:t>Pelno mokesčio pajamos didinamos 33,4 mln. eurų dėl prognozuojamų didesnių avansinio pelno mokesčio įmokų už 2021 metus</w:t>
      </w:r>
      <w:r>
        <w:rPr>
          <w:rFonts w:eastAsiaTheme="minorHAnsi"/>
          <w:iCs/>
          <w:color w:val="000000"/>
          <w:lang w:eastAsia="en-US"/>
        </w:rPr>
        <w:t xml:space="preserve"> ir dėl didesnės 2021 metų bendrojo vidaus produkto (toliau – BVP) augimo prognozės. Kartu įvertinta ir Vyriausybės siūloma papildoma pagalbos nuo COVID-19 pandemijos nukentėjusiam verslui priemonė</w:t>
      </w:r>
      <w:r>
        <w:rPr>
          <w:vertAlign w:val="superscript"/>
        </w:rPr>
        <w:footnoteReference w:id="2"/>
      </w:r>
      <w:r>
        <w:rPr>
          <w:rFonts w:eastAsiaTheme="minorHAnsi"/>
          <w:iCs/>
          <w:color w:val="000000"/>
          <w:lang w:eastAsia="en-US"/>
        </w:rPr>
        <w:t xml:space="preserve"> – sudaryta galimybė įmonėms 2020 metais dėl COVID-19 pandemijos patirtus nuostolius perkelti ne tik į ateinančius mokestinius laikotarpius, bet ir atgal į 2019 metus.</w:t>
      </w:r>
      <w:r>
        <w:rPr>
          <w:rFonts w:eastAsiaTheme="minorHAnsi"/>
          <w:szCs w:val="24"/>
          <w:lang w:eastAsia="en-US"/>
        </w:rPr>
        <w:t xml:space="preserve"> </w:t>
      </w:r>
      <w:r>
        <w:rPr>
          <w:rFonts w:eastAsiaTheme="minorHAnsi"/>
          <w:iCs/>
          <w:color w:val="000000"/>
          <w:lang w:eastAsia="en-US"/>
        </w:rPr>
        <w:t>Dėl šios priemonės, prognozuojama, pajamos iš pelno mokesčio 2021 metais bus apie 66 mln. eurų mažesnės.</w:t>
      </w:r>
    </w:p>
    <w:p w:rsidR="00714865" w:rsidRDefault="00714865" w:rsidP="00714865">
      <w:pPr>
        <w:ind w:firstLine="720"/>
        <w:jc w:val="both"/>
        <w:rPr>
          <w:rFonts w:eastAsiaTheme="minorHAnsi"/>
          <w:color w:val="000000"/>
          <w:szCs w:val="24"/>
          <w:lang w:eastAsia="en-US"/>
        </w:rPr>
      </w:pPr>
      <w:bookmarkStart w:id="3" w:name="_Hlk70588913"/>
      <w:bookmarkEnd w:id="2"/>
      <w:r>
        <w:rPr>
          <w:rFonts w:eastAsiaTheme="minorHAnsi"/>
          <w:color w:val="000000"/>
          <w:lang w:eastAsia="en-US"/>
        </w:rPr>
        <w:t xml:space="preserve">Gyventojų pajamų mokesčio pajamos į valstybės ir savivaldybių biudžetus </w:t>
      </w:r>
      <w:r>
        <w:rPr>
          <w:rFonts w:eastAsiaTheme="minorHAnsi"/>
          <w:color w:val="000000"/>
          <w:szCs w:val="24"/>
          <w:lang w:eastAsia="en-US"/>
        </w:rPr>
        <w:t>didinamos 106,7 mln. eurų dėl spartesnio prognozuojamo darbo užmokesčio fondo augimo 2021 metais. Valstybės biudžeto pajamos tik iš gyventojų pajamų mokesčio didinamos 61 mln. eurų.</w:t>
      </w:r>
    </w:p>
    <w:bookmarkEnd w:id="3"/>
    <w:p w:rsidR="00714865" w:rsidRDefault="00714865" w:rsidP="00714865">
      <w:pPr>
        <w:ind w:firstLine="720"/>
        <w:jc w:val="both"/>
        <w:rPr>
          <w:rFonts w:eastAsiaTheme="minorHAnsi"/>
          <w:color w:val="000000"/>
          <w:lang w:eastAsia="en-US"/>
        </w:rPr>
      </w:pPr>
      <w:r>
        <w:rPr>
          <w:rFonts w:eastAsiaTheme="minorHAnsi"/>
          <w:color w:val="000000"/>
          <w:lang w:eastAsia="en-US"/>
        </w:rPr>
        <w:t>Tarptautinės prekybos ir sandorių mokesčių, dividendų ir valstybės įmonių pelno įmokos bei Lietuvos banko pelno įmokos</w:t>
      </w:r>
      <w:bookmarkStart w:id="4" w:name="_Hlk70589018"/>
      <w:r>
        <w:rPr>
          <w:rFonts w:eastAsiaTheme="minorHAnsi"/>
          <w:color w:val="000000"/>
          <w:lang w:eastAsia="en-US"/>
        </w:rPr>
        <w:t>, įvertinus priimtus atsakingų institucijų sprendimus ir prognozes,</w:t>
      </w:r>
      <w:bookmarkEnd w:id="4"/>
      <w:r>
        <w:rPr>
          <w:rFonts w:eastAsiaTheme="minorHAnsi"/>
          <w:color w:val="000000"/>
          <w:lang w:eastAsia="en-US"/>
        </w:rPr>
        <w:t xml:space="preserve"> didinamos atitinkamai 13 mln. eurų, 13,8 mln. eurų ir 2,9 mln. eurų. </w:t>
      </w:r>
    </w:p>
    <w:p w:rsidR="00714865" w:rsidRDefault="000C1FFC" w:rsidP="00714865">
      <w:pPr>
        <w:ind w:firstLine="720"/>
        <w:jc w:val="both"/>
        <w:rPr>
          <w:rFonts w:eastAsiaTheme="minorHAnsi"/>
          <w:color w:val="000000"/>
          <w:lang w:eastAsia="en-US"/>
        </w:rPr>
      </w:pPr>
      <w:r>
        <w:rPr>
          <w:rFonts w:eastAsiaTheme="minorHAnsi"/>
          <w:color w:val="000000"/>
          <w:lang w:eastAsia="en-US"/>
        </w:rPr>
        <w:t xml:space="preserve">Pajamos iš </w:t>
      </w:r>
      <w:r w:rsidR="00714865">
        <w:rPr>
          <w:rFonts w:eastAsiaTheme="minorHAnsi"/>
          <w:color w:val="000000"/>
          <w:lang w:eastAsia="en-US"/>
        </w:rPr>
        <w:t>ES ir kitos tarptautinės finansinės paramos didinamos 513,6 mln. eurų.</w:t>
      </w:r>
    </w:p>
    <w:p w:rsidR="000F735D" w:rsidRPr="007A2D3E" w:rsidRDefault="00714865" w:rsidP="000F735D">
      <w:pPr>
        <w:ind w:firstLine="720"/>
        <w:jc w:val="both"/>
        <w:rPr>
          <w:color w:val="000000" w:themeColor="text1"/>
          <w:lang w:val="en-GB"/>
        </w:rPr>
      </w:pPr>
      <w:r>
        <w:rPr>
          <w:rFonts w:eastAsiaTheme="minorHAnsi"/>
          <w:szCs w:val="24"/>
          <w:lang w:eastAsia="en-US"/>
        </w:rPr>
        <w:t xml:space="preserve">Įstatymo projekte asignavimai tikslinami atsižvelgiant į tai, kad 2021 metais numatoma įgyvendinti </w:t>
      </w:r>
      <w:r>
        <w:rPr>
          <w:color w:val="000000"/>
        </w:rPr>
        <w:t xml:space="preserve">Europos ekonomikos gaivinimo ir atsparumo didinimo fondo (toliau – </w:t>
      </w:r>
      <w:r w:rsidR="009364E6" w:rsidRPr="00076126">
        <w:rPr>
          <w:color w:val="000000"/>
          <w:szCs w:val="24"/>
        </w:rPr>
        <w:t>EGADP</w:t>
      </w:r>
      <w:r>
        <w:rPr>
          <w:color w:val="000000"/>
        </w:rPr>
        <w:t>)</w:t>
      </w:r>
      <w:r>
        <w:rPr>
          <w:rFonts w:eastAsiaTheme="minorHAnsi"/>
          <w:szCs w:val="24"/>
          <w:lang w:eastAsia="en-US"/>
        </w:rPr>
        <w:t xml:space="preserve"> priemones, joms įgyvendinti skiriant 149,3 mln. eurų. „Naujos kartos </w:t>
      </w:r>
      <w:r w:rsidR="002C197D">
        <w:rPr>
          <w:rFonts w:eastAsiaTheme="minorHAnsi"/>
          <w:szCs w:val="24"/>
          <w:lang w:eastAsia="en-US"/>
        </w:rPr>
        <w:t>Lietuva</w:t>
      </w:r>
      <w:r>
        <w:rPr>
          <w:rFonts w:eastAsiaTheme="minorHAnsi"/>
          <w:szCs w:val="24"/>
          <w:lang w:eastAsia="en-US"/>
        </w:rPr>
        <w:t xml:space="preserve">“ </w:t>
      </w:r>
      <w:r w:rsidR="00305C86">
        <w:rPr>
          <w:rFonts w:eastAsiaTheme="minorHAnsi"/>
          <w:szCs w:val="24"/>
          <w:lang w:eastAsia="en-US"/>
        </w:rPr>
        <w:t xml:space="preserve">plano </w:t>
      </w:r>
      <w:r>
        <w:rPr>
          <w:rFonts w:eastAsiaTheme="minorHAnsi"/>
          <w:szCs w:val="24"/>
          <w:lang w:eastAsia="en-US"/>
        </w:rPr>
        <w:t xml:space="preserve">investicijoms didžioji dalis – 92 mln. eurų (62 proc.) – investicijų numatyta elektros tvarios gamybos plėtrai, 11,2 mln. eurų (7 proc.) planuojama skirti būtinosioms sąlygoms </w:t>
      </w:r>
      <w:proofErr w:type="spellStart"/>
      <w:r>
        <w:rPr>
          <w:rFonts w:eastAsiaTheme="minorHAnsi"/>
          <w:szCs w:val="24"/>
          <w:lang w:eastAsia="en-US"/>
        </w:rPr>
        <w:t>inovatyviems</w:t>
      </w:r>
      <w:proofErr w:type="spellEnd"/>
      <w:r>
        <w:rPr>
          <w:rFonts w:eastAsiaTheme="minorHAnsi"/>
          <w:szCs w:val="24"/>
          <w:lang w:eastAsia="en-US"/>
        </w:rPr>
        <w:t xml:space="preserve"> technologiniams sprendimams versle ir kasdieniame gyvenime užtikrinti, mokslui ir inovacijoms, taip pat 11 mln. eurų (7 proc.) – šiuolaikiškam bendrajam ugdymui užtikrinti, siekiant sudaryti geresnes sąlygas bazinėms kompetencijoms įgyti. Be to, numatomos ir pirmosios 4,1 mln. eurų (3 proc.) investicijos į šias svarbias sritis: finansiniam raštingumui didinti, orientuojantis į atsiskaitymo negrynaisiais pinigais skatinimą; išmaniajam mokesčių administravimui skatinti; sveikatos paslaugų kokybei ir prieinamumui gerinti ir inovacijoms sveikatos srityje skatinti bei darnaus </w:t>
      </w:r>
      <w:proofErr w:type="spellStart"/>
      <w:r>
        <w:rPr>
          <w:rFonts w:eastAsiaTheme="minorHAnsi"/>
          <w:szCs w:val="24"/>
          <w:lang w:eastAsia="en-US"/>
        </w:rPr>
        <w:t>judumo</w:t>
      </w:r>
      <w:proofErr w:type="spellEnd"/>
      <w:r>
        <w:rPr>
          <w:rFonts w:eastAsiaTheme="minorHAnsi"/>
          <w:szCs w:val="24"/>
          <w:lang w:eastAsia="en-US"/>
        </w:rPr>
        <w:t xml:space="preserve"> plėtrai. Siekiant spartinti į Lietuvos ekonomikos augimą orientuotas „Naujos kartos </w:t>
      </w:r>
      <w:r w:rsidR="001E04C6">
        <w:rPr>
          <w:rFonts w:eastAsiaTheme="minorHAnsi"/>
          <w:szCs w:val="24"/>
          <w:lang w:eastAsia="en-US"/>
        </w:rPr>
        <w:t>Lietuva</w:t>
      </w:r>
      <w:r>
        <w:rPr>
          <w:rFonts w:eastAsiaTheme="minorHAnsi"/>
          <w:szCs w:val="24"/>
          <w:lang w:eastAsia="en-US"/>
        </w:rPr>
        <w:t>“</w:t>
      </w:r>
      <w:r w:rsidR="001E04C6">
        <w:rPr>
          <w:rFonts w:eastAsiaTheme="minorHAnsi"/>
          <w:szCs w:val="24"/>
          <w:lang w:eastAsia="en-US"/>
        </w:rPr>
        <w:t xml:space="preserve"> plano</w:t>
      </w:r>
      <w:r>
        <w:rPr>
          <w:rFonts w:eastAsiaTheme="minorHAnsi"/>
          <w:szCs w:val="24"/>
          <w:lang w:eastAsia="en-US"/>
        </w:rPr>
        <w:t xml:space="preserve"> investicijas, Įstatymo projekte numatytas 31 mln. eurų (21 proc.) lėšų rezervas (prireikus lėšos būtų sparčiau perskirstomos asignavimus panaudojusioms ministerijoms</w:t>
      </w:r>
      <w:r>
        <w:rPr>
          <w:rFonts w:eastAsiaTheme="minorHAnsi"/>
          <w:szCs w:val="24"/>
          <w:lang w:val="en-GB" w:eastAsia="en-US"/>
        </w:rPr>
        <w:t xml:space="preserve">). </w:t>
      </w:r>
      <w:proofErr w:type="spellStart"/>
      <w:r w:rsidR="000F735D" w:rsidRPr="007A2D3E">
        <w:rPr>
          <w:color w:val="000000" w:themeColor="text1"/>
          <w:lang w:val="en-GB"/>
        </w:rPr>
        <w:t>Taip</w:t>
      </w:r>
      <w:proofErr w:type="spellEnd"/>
      <w:r w:rsidR="000F735D" w:rsidRPr="007A2D3E">
        <w:rPr>
          <w:color w:val="000000" w:themeColor="text1"/>
          <w:lang w:val="en-GB"/>
        </w:rPr>
        <w:t xml:space="preserve"> pat </w:t>
      </w:r>
      <w:r w:rsidR="000F735D" w:rsidRPr="007A2D3E">
        <w:rPr>
          <w:bCs/>
          <w:color w:val="000000" w:themeColor="text1"/>
        </w:rPr>
        <w:t>2021 m. biudžeto įstatymo projekte</w:t>
      </w:r>
      <w:r w:rsidR="000F735D" w:rsidRPr="007A2D3E">
        <w:rPr>
          <w:color w:val="000000" w:themeColor="text1"/>
        </w:rPr>
        <w:t xml:space="preserve"> asignavimai tikslinami atsižvelgiant į numatomas gauti iš </w:t>
      </w:r>
      <w:proofErr w:type="spellStart"/>
      <w:r w:rsidR="000F735D" w:rsidRPr="007A2D3E">
        <w:rPr>
          <w:color w:val="000000" w:themeColor="text1"/>
        </w:rPr>
        <w:t>Brexit</w:t>
      </w:r>
      <w:proofErr w:type="spellEnd"/>
      <w:r w:rsidR="000F735D" w:rsidRPr="007A2D3E">
        <w:rPr>
          <w:color w:val="000000" w:themeColor="text1"/>
        </w:rPr>
        <w:t xml:space="preserve"> rezervinio fondo 1</w:t>
      </w:r>
      <w:proofErr w:type="gramStart"/>
      <w:r w:rsidR="000F735D" w:rsidRPr="007A2D3E">
        <w:rPr>
          <w:color w:val="000000" w:themeColor="text1"/>
        </w:rPr>
        <w:t>,7</w:t>
      </w:r>
      <w:proofErr w:type="gramEnd"/>
      <w:r w:rsidR="000F735D" w:rsidRPr="007A2D3E">
        <w:rPr>
          <w:color w:val="000000" w:themeColor="text1"/>
        </w:rPr>
        <w:t xml:space="preserve"> mln. eurų. </w:t>
      </w:r>
    </w:p>
    <w:p w:rsidR="00D9142A" w:rsidRDefault="00D9142A" w:rsidP="00D9142A">
      <w:pPr>
        <w:ind w:firstLine="720"/>
        <w:jc w:val="both"/>
        <w:rPr>
          <w:color w:val="000000" w:themeColor="text1"/>
        </w:rPr>
      </w:pPr>
      <w:r>
        <w:rPr>
          <w:color w:val="000000" w:themeColor="text1"/>
        </w:rPr>
        <w:t>Įvertinus COVID-19 pandemijos padariniams mažinti įgyvendinamoms priemonėms reikalingas papildomas lėšas, naujai išryškėjusiems ar ilgiau, nei planuota, trunkantiems poreikiams finansuoti Įstatymo projekte numatyta 581,</w:t>
      </w:r>
      <w:r w:rsidR="008B742C">
        <w:rPr>
          <w:color w:val="000000" w:themeColor="text1"/>
        </w:rPr>
        <w:t>3</w:t>
      </w:r>
      <w:r>
        <w:rPr>
          <w:color w:val="000000" w:themeColor="text1"/>
        </w:rPr>
        <w:t xml:space="preserve"> mln. eurų, iš kurių 467,2 mln. eurų (neįskaitant perskirstytų asignavimų) numatyta Vyriausybės rezerve. Didžiąją COVID-19 pandemijos padariniams mažinti įgyvendinamoms priemonėms lėšų dalį numatoma skirti sveikatos apsaugos (265,3 mln. eurų) ir socialinės apsaugos (238,5 mln. eurų) sritims. Likusią beveik 78 mln. eurų dalį numatoma skirti kitų institucijų, dalyvaujančių valdant COVID-19 pandemiją, poreikiams finansuoti. </w:t>
      </w:r>
    </w:p>
    <w:p w:rsidR="00584E9A" w:rsidRDefault="00584E9A" w:rsidP="00584E9A">
      <w:pPr>
        <w:ind w:firstLine="720"/>
        <w:jc w:val="both"/>
      </w:pPr>
      <w:r>
        <w:t xml:space="preserve">Be to, </w:t>
      </w:r>
      <w:r>
        <w:rPr>
          <w:bCs/>
        </w:rPr>
        <w:t>2021 m. biudžeto įstatymo projekte</w:t>
      </w:r>
      <w:r>
        <w:t xml:space="preserve"> socialiniams ir kitiems poreikiams papildomai siūloma skirti 15,3 mln. eurų – universaliai vienišo asmens išmokai mokėti, </w:t>
      </w:r>
      <w:r>
        <w:rPr>
          <w:color w:val="000000"/>
        </w:rPr>
        <w:t>EGADP</w:t>
      </w:r>
      <w:r>
        <w:t xml:space="preserve"> projektų netinkamam </w:t>
      </w:r>
      <w:r>
        <w:rPr>
          <w:color w:val="000000"/>
        </w:rPr>
        <w:t xml:space="preserve">pridėtinės vertės mokesčiui </w:t>
      </w:r>
      <w:r>
        <w:t xml:space="preserve">apmokėti – 7,5 mln. eurų, neįgaliųjų įdarbinimo priemonėms finansuoti – 2,4 mln. eurų, prieigai prie elektroninių mokslo duomenų bazių finansuoti – 5 mln. eurų, socialiai remtinų asmenų ir gyvūnų globėjų laikomų naminių gyvūnų ženklinimo ir registravimo išlaidoms kompensuoti – 0,3 mln. eurų. </w:t>
      </w:r>
    </w:p>
    <w:p w:rsidR="00714865" w:rsidRDefault="00714865" w:rsidP="00714865">
      <w:pPr>
        <w:ind w:firstLine="720"/>
        <w:jc w:val="both"/>
      </w:pPr>
      <w:r>
        <w:lastRenderedPageBreak/>
        <w:t>Atsižvelgus į asignavimų valdytojų prašymus ir siekiant efektyviau panaudoti lėšas, Įstatymo projekte taip pat siūloma perskirstyti 2021 metų valstybės biudžeto asignavimus tarp asignavimų valdytojų ir išlaidų grupių. Įvertinus, kad Lietuvos Respublikos Vyriausybės 2021 m. kovo 31 d. nutarimu Nr. 196 „</w:t>
      </w:r>
      <w:r w:rsidRPr="00760372">
        <w:t>Dėl 2020 metų savivaldybių biudžetų negautų pajamų padengimo</w:t>
      </w:r>
      <w:r>
        <w:t xml:space="preserve">“ savivaldybėms negautoms pajamoms kompensuoti iš valstybės biudžete suplanuotų 102 mln. eurų buvo paskirstyta 55,5 mln. eurų suma, sutaupyta 46,5 mln. eurų suma perskirstoma tarp Finansų ministerijos įgyvendinamų priemonių, lėšas numatant </w:t>
      </w:r>
      <w:r>
        <w:rPr>
          <w:color w:val="000000"/>
          <w:szCs w:val="24"/>
        </w:rPr>
        <w:t xml:space="preserve">Lietuvos Respublikos </w:t>
      </w:r>
      <w:r>
        <w:t xml:space="preserve">Vyriausybės rezerve </w:t>
      </w:r>
      <w:r>
        <w:rPr>
          <w:bCs/>
        </w:rPr>
        <w:t>COVID-19 pandemijos padariniams šalinti</w:t>
      </w:r>
      <w:r>
        <w:rPr>
          <w:color w:val="76923C" w:themeColor="accent3" w:themeShade="BF"/>
        </w:rPr>
        <w:t xml:space="preserve">. </w:t>
      </w:r>
      <w:r>
        <w:t>Pažymėtina, kad dėl šių siūlomų pakeitimų 2021 metų valstybės biudžeto balansas nesikeičia.</w:t>
      </w:r>
    </w:p>
    <w:p w:rsidR="00DC2709" w:rsidRPr="00763BB8" w:rsidRDefault="00DC2709" w:rsidP="00811344">
      <w:pPr>
        <w:autoSpaceDE w:val="0"/>
        <w:autoSpaceDN w:val="0"/>
        <w:adjustRightInd w:val="0"/>
        <w:ind w:firstLine="720"/>
        <w:jc w:val="both"/>
      </w:pPr>
      <w:r w:rsidRPr="0043339C">
        <w:t xml:space="preserve">Be to, įvertinus </w:t>
      </w:r>
      <w:r w:rsidRPr="0043339C">
        <w:rPr>
          <w:color w:val="000000"/>
        </w:rPr>
        <w:t xml:space="preserve">2021-2027 </w:t>
      </w:r>
      <w:r>
        <w:rPr>
          <w:color w:val="000000"/>
        </w:rPr>
        <w:t xml:space="preserve">metų </w:t>
      </w:r>
      <w:r w:rsidRPr="0043339C">
        <w:rPr>
          <w:color w:val="000000"/>
        </w:rPr>
        <w:t>E</w:t>
      </w:r>
      <w:r>
        <w:rPr>
          <w:color w:val="000000"/>
        </w:rPr>
        <w:t xml:space="preserve">uropos </w:t>
      </w:r>
      <w:r w:rsidRPr="0043339C">
        <w:rPr>
          <w:color w:val="000000"/>
        </w:rPr>
        <w:t>S</w:t>
      </w:r>
      <w:r>
        <w:rPr>
          <w:color w:val="000000"/>
        </w:rPr>
        <w:t>ąjungos</w:t>
      </w:r>
      <w:r w:rsidRPr="0043339C">
        <w:rPr>
          <w:color w:val="000000"/>
        </w:rPr>
        <w:t xml:space="preserve"> </w:t>
      </w:r>
      <w:r>
        <w:rPr>
          <w:color w:val="000000"/>
        </w:rPr>
        <w:t xml:space="preserve">struktūrinių </w:t>
      </w:r>
      <w:r w:rsidRPr="0043339C">
        <w:rPr>
          <w:color w:val="000000"/>
        </w:rPr>
        <w:t>fondų lėšų poreikį 2021 metams</w:t>
      </w:r>
      <w:r>
        <w:rPr>
          <w:color w:val="000000"/>
        </w:rPr>
        <w:t>,</w:t>
      </w:r>
      <w:r w:rsidRPr="00350260">
        <w:t xml:space="preserve"> </w:t>
      </w:r>
      <w:r>
        <w:t>2021 metų biudžeto įstatymo projekte</w:t>
      </w:r>
      <w:r w:rsidRPr="0043339C">
        <w:t xml:space="preserve"> </w:t>
      </w:r>
      <w:r>
        <w:t xml:space="preserve">jos mažinamos </w:t>
      </w:r>
      <w:r w:rsidRPr="0043339C">
        <w:rPr>
          <w:color w:val="000000"/>
        </w:rPr>
        <w:t>30 mln. eurų</w:t>
      </w:r>
      <w:r>
        <w:rPr>
          <w:color w:val="000000"/>
        </w:rPr>
        <w:t>.</w:t>
      </w:r>
      <w:r w:rsidRPr="0043339C">
        <w:rPr>
          <w:color w:val="000000"/>
        </w:rPr>
        <w:t xml:space="preserve"> </w:t>
      </w:r>
      <w:r>
        <w:rPr>
          <w:color w:val="000000"/>
        </w:rPr>
        <w:t xml:space="preserve">Taip pat dėl numatomų nepanaudoti </w:t>
      </w:r>
      <w:r w:rsidRPr="0043339C">
        <w:t>Europos žemės ūkio fondo kaimo plėtros lėšų</w:t>
      </w:r>
      <w:r>
        <w:t xml:space="preserve"> 2021 metų biudžeto įstatymo projekte</w:t>
      </w:r>
      <w:r w:rsidRPr="0043339C">
        <w:t xml:space="preserve"> </w:t>
      </w:r>
      <w:r>
        <w:t xml:space="preserve">jos mažinamos </w:t>
      </w:r>
      <w:r w:rsidRPr="0043339C">
        <w:t>3,4 mln. eurų</w:t>
      </w:r>
      <w:r>
        <w:t>, atitinkamai sumažinant Finansų ir Žemės ūkio ministerijų asignavimus.</w:t>
      </w:r>
    </w:p>
    <w:p w:rsidR="00714865" w:rsidRDefault="00714865" w:rsidP="00714865">
      <w:pPr>
        <w:ind w:firstLine="720"/>
        <w:jc w:val="both"/>
        <w:rPr>
          <w:rFonts w:eastAsiaTheme="minorHAnsi"/>
          <w:szCs w:val="24"/>
          <w:lang w:eastAsia="en-US"/>
        </w:rPr>
      </w:pPr>
      <w:r>
        <w:rPr>
          <w:rFonts w:eastAsiaTheme="minorHAnsi"/>
          <w:szCs w:val="24"/>
          <w:lang w:eastAsia="en-US"/>
        </w:rPr>
        <w:t>Dėl nurodytų pakeitimų atitinkamai tikslinamas Įstatymo 1 straipsnis ir su juo susiję priedai.</w:t>
      </w:r>
    </w:p>
    <w:p w:rsidR="00714865" w:rsidRDefault="00714865" w:rsidP="00714865">
      <w:pPr>
        <w:ind w:firstLine="720"/>
        <w:jc w:val="both"/>
        <w:rPr>
          <w:szCs w:val="24"/>
        </w:rPr>
      </w:pPr>
      <w:r>
        <w:rPr>
          <w:szCs w:val="24"/>
        </w:rPr>
        <w:t>Dėl gyventojų pajamų mokesčio pajamų į valstybės ir savivaldybių biudžetus padidinimo 106,7 mln. eurų pajamos iš šio mokesčio, vadovaujantis Lietuvos Respublikos savivaldybių biudžetų pajamų nustatymo metodikos įstatymo nuostatomis, į savivaldybių biudžetus padidės 45,7 mln. eurų pagal pastoviąją gyventojų pajamų mokesčio dalį. Dėl to tikslinamas Įstatymo 2 straipsnio 1 dalies 1 punktas, atitinkamai keičiamas Įstatymo 6 priedas, kuriame nustatomos savivaldybės prognozuojamos pajamos ir savivaldybės biudžetui skiriama gyventojų pajamų mokesčio dalis (procentais).</w:t>
      </w:r>
    </w:p>
    <w:p w:rsidR="00714865" w:rsidRDefault="00714865" w:rsidP="00714865">
      <w:pPr>
        <w:ind w:firstLine="709"/>
        <w:jc w:val="both"/>
        <w:rPr>
          <w:rFonts w:eastAsiaTheme="minorHAnsi"/>
          <w:szCs w:val="24"/>
          <w:lang w:eastAsia="en-US"/>
        </w:rPr>
      </w:pPr>
      <w:r>
        <w:rPr>
          <w:rFonts w:eastAsiaTheme="minorHAnsi"/>
          <w:szCs w:val="24"/>
          <w:lang w:eastAsia="en-US"/>
        </w:rPr>
        <w:t xml:space="preserve">Taip pat Įstatymo projektas parengtas atsižvelgiant į Švietimo, mokslo ir sporto ministerijos pasiūlymus papildyti Įstatymo 3 straipsnio 4 dalį nuostata, kad savivaldybės ir </w:t>
      </w:r>
      <w:r>
        <w:rPr>
          <w:rFonts w:eastAsiaTheme="minorHAnsi"/>
          <w:bCs/>
          <w:szCs w:val="24"/>
          <w:lang w:eastAsia="en-US"/>
        </w:rPr>
        <w:t>ne pagal tikslinę paskirtį panaudotas</w:t>
      </w:r>
      <w:r>
        <w:rPr>
          <w:rFonts w:eastAsiaTheme="minorHAnsi"/>
          <w:szCs w:val="24"/>
          <w:lang w:eastAsia="en-US"/>
        </w:rPr>
        <w:t xml:space="preserve"> valstybės biudžeto dotacijų sumas grąžina valstybės institucijoms ir įstaigoms, iš kurių jos buvo gautos.</w:t>
      </w:r>
    </w:p>
    <w:p w:rsidR="00714865" w:rsidRDefault="00714865" w:rsidP="00714865">
      <w:pPr>
        <w:ind w:firstLine="709"/>
        <w:jc w:val="both"/>
        <w:rPr>
          <w:rFonts w:eastAsiaTheme="minorHAnsi"/>
          <w:szCs w:val="24"/>
          <w:lang w:eastAsia="en-US"/>
        </w:rPr>
      </w:pPr>
      <w:r>
        <w:rPr>
          <w:rFonts w:eastAsiaTheme="minorHAnsi"/>
          <w:szCs w:val="24"/>
          <w:lang w:eastAsia="en-US"/>
        </w:rPr>
        <w:t xml:space="preserve">Įvertinus biudžetinių įstaigų pajamų ir </w:t>
      </w:r>
      <w:r>
        <w:rPr>
          <w:rFonts w:eastAsia="Calibri"/>
          <w:szCs w:val="24"/>
        </w:rPr>
        <w:t>valstybės biudžeto pajamų iš mokesčių dalies, skiriamos programoms finansuoti,</w:t>
      </w:r>
      <w:r>
        <w:rPr>
          <w:rFonts w:eastAsiaTheme="minorHAnsi"/>
          <w:szCs w:val="24"/>
          <w:lang w:eastAsia="en-US"/>
        </w:rPr>
        <w:t xml:space="preserve"> įmokų pasikeitimus, patikslinta Įstatymo 9 straipsnyje nustatytų įmokų į valstybės biudžetą, skiriamų asignavimų valdytojų programoms finansuoti, suma. Atitinkamai patikslintas Įstatymo 3 priedas.</w:t>
      </w:r>
    </w:p>
    <w:p w:rsidR="00714865" w:rsidRDefault="00714865" w:rsidP="00714865">
      <w:pPr>
        <w:ind w:firstLine="720"/>
        <w:jc w:val="both"/>
        <w:rPr>
          <w:rFonts w:eastAsiaTheme="minorHAnsi"/>
          <w:szCs w:val="24"/>
          <w:lang w:eastAsia="en-US"/>
        </w:rPr>
      </w:pPr>
      <w:r>
        <w:rPr>
          <w:rFonts w:eastAsiaTheme="minorHAnsi"/>
          <w:szCs w:val="24"/>
          <w:lang w:eastAsia="en-US"/>
        </w:rPr>
        <w:t>Atsižvelgus į atnaujintus UAB „Valstybės investicinis kapitalas“ planus dėl ne nuosavybės vertybinių popierių išleidimo apimties,</w:t>
      </w:r>
      <w:r>
        <w:rPr>
          <w:rFonts w:ascii="Calibri" w:eastAsiaTheme="minorHAnsi" w:hAnsi="Calibri" w:cs="Calibri"/>
          <w:szCs w:val="24"/>
          <w:lang w:eastAsia="en-US"/>
        </w:rPr>
        <w:t xml:space="preserve"> </w:t>
      </w:r>
      <w:r>
        <w:rPr>
          <w:rFonts w:eastAsiaTheme="minorHAnsi"/>
          <w:szCs w:val="24"/>
          <w:lang w:eastAsia="en-US"/>
        </w:rPr>
        <w:t xml:space="preserve">patikslintas Įstatymo </w:t>
      </w:r>
      <w:r>
        <w:rPr>
          <w:rFonts w:eastAsiaTheme="minorHAnsi"/>
          <w:bCs/>
          <w:szCs w:val="24"/>
          <w:lang w:eastAsia="en-US"/>
        </w:rPr>
        <w:t>10 straipsnio</w:t>
      </w:r>
      <w:r>
        <w:rPr>
          <w:rFonts w:eastAsiaTheme="minorHAnsi"/>
          <w:szCs w:val="24"/>
          <w:lang w:eastAsia="en-US"/>
        </w:rPr>
        <w:t xml:space="preserve"> 4 punktas – valstybės garantijų, teikiamų dėl paskolų ir ne nuosavybės vertybinių popierių, naudojamų ekstremaliųjų situacijų paveiktos ekonomikos skatinimo tikslams įgyvendinti ir verslo finansiniam likvidumui didinti, limitas.</w:t>
      </w:r>
    </w:p>
    <w:p w:rsidR="00714865" w:rsidRDefault="00714865" w:rsidP="00714865">
      <w:pPr>
        <w:ind w:firstLine="720"/>
        <w:jc w:val="both"/>
        <w:rPr>
          <w:rFonts w:eastAsiaTheme="minorHAnsi"/>
          <w:color w:val="000000"/>
          <w:szCs w:val="24"/>
          <w:lang w:eastAsia="en-US"/>
        </w:rPr>
      </w:pPr>
      <w:r>
        <w:rPr>
          <w:rFonts w:eastAsiaTheme="minorHAnsi"/>
          <w:color w:val="000000"/>
          <w:szCs w:val="24"/>
          <w:lang w:eastAsia="en-US"/>
        </w:rPr>
        <w:t xml:space="preserve">Atsižvelgus į atnaujintus 2021 metų valstybės biudžeto asignavimus ir pajamas, įskaitant ES ir kitos tarptautinės finansinės paramos lėšas, patikslintas Įstatymo </w:t>
      </w:r>
      <w:r>
        <w:rPr>
          <w:rFonts w:eastAsiaTheme="minorHAnsi"/>
          <w:bCs/>
          <w:color w:val="000000"/>
          <w:szCs w:val="24"/>
          <w:lang w:eastAsia="en-US"/>
        </w:rPr>
        <w:t>11 straipsnis.</w:t>
      </w:r>
      <w:r>
        <w:rPr>
          <w:rFonts w:eastAsiaTheme="minorHAnsi"/>
          <w:color w:val="000000"/>
          <w:szCs w:val="24"/>
          <w:lang w:eastAsia="en-US"/>
        </w:rPr>
        <w:t xml:space="preserve"> Siūloma nustatyti, kad Vyriausybės grynojo skolinių įsipareigojimų pokyčio limitas yra 3,842,5 mln. eurų vietoj 4 027,7 mln. eurų. </w:t>
      </w:r>
    </w:p>
    <w:p w:rsidR="00EB6378" w:rsidRDefault="00EB6378" w:rsidP="00EB6378">
      <w:pPr>
        <w:pStyle w:val="Sraopastraipa"/>
        <w:ind w:left="0" w:firstLine="709"/>
        <w:jc w:val="both"/>
        <w:rPr>
          <w:bCs/>
        </w:rPr>
      </w:pPr>
      <w:r>
        <w:t xml:space="preserve">Atsižvelgus į </w:t>
      </w:r>
      <w:r w:rsidRPr="00E4432A">
        <w:t>Švietimo, mokslo ir sporto ministerij</w:t>
      </w:r>
      <w:r>
        <w:t>os</w:t>
      </w:r>
      <w:r w:rsidRPr="00E4432A">
        <w:t xml:space="preserve"> </w:t>
      </w:r>
      <w:r>
        <w:t>pa</w:t>
      </w:r>
      <w:r w:rsidRPr="00E4432A">
        <w:t>siūl</w:t>
      </w:r>
      <w:r>
        <w:t>ymą,</w:t>
      </w:r>
      <w:r w:rsidRPr="00E4432A">
        <w:t xml:space="preserve"> </w:t>
      </w:r>
      <w:r>
        <w:t>Į</w:t>
      </w:r>
      <w:r w:rsidRPr="00E4432A">
        <w:t>statymo 14 straipsnio 4 dal</w:t>
      </w:r>
      <w:r>
        <w:t>is</w:t>
      </w:r>
      <w:r w:rsidRPr="00E4432A">
        <w:t xml:space="preserve"> papildyt</w:t>
      </w:r>
      <w:r>
        <w:t>a</w:t>
      </w:r>
      <w:r w:rsidRPr="00E4432A">
        <w:t xml:space="preserve"> 6</w:t>
      </w:r>
      <w:r>
        <w:t xml:space="preserve"> ir 7 </w:t>
      </w:r>
      <w:r w:rsidRPr="00E4432A">
        <w:t>punkt</w:t>
      </w:r>
      <w:r>
        <w:t>ais.</w:t>
      </w:r>
      <w:r w:rsidRPr="00E4432A">
        <w:t xml:space="preserve"> </w:t>
      </w:r>
      <w:r>
        <w:t>6 punktu</w:t>
      </w:r>
      <w:r w:rsidRPr="00E4432A">
        <w:t xml:space="preserve"> suteikta teisė paskirstyti </w:t>
      </w:r>
      <w:r w:rsidRPr="00E4432A">
        <w:rPr>
          <w:bCs/>
        </w:rPr>
        <w:t>pagal savivaldybes ir valstybines mokyklas Švietimo, mokslo ir sporto ministerijos asignavimuose numatytas lėšas, skirtas COVID-19 pandemijos padariniams šalinti</w:t>
      </w:r>
      <w:r w:rsidRPr="00E4432A">
        <w:t xml:space="preserve">. </w:t>
      </w:r>
      <w:r>
        <w:t>Į</w:t>
      </w:r>
      <w:r w:rsidRPr="00E4432A">
        <w:t>statym</w:t>
      </w:r>
      <w:r>
        <w:t>ą</w:t>
      </w:r>
      <w:r w:rsidRPr="00E4432A">
        <w:t xml:space="preserve"> </w:t>
      </w:r>
      <w:r>
        <w:t>p</w:t>
      </w:r>
      <w:r w:rsidRPr="00E4432A">
        <w:t xml:space="preserve">apildžius šia nuostata atsiras galimybė operatyviau paskirstyti </w:t>
      </w:r>
      <w:r w:rsidRPr="00E4432A">
        <w:rPr>
          <w:bCs/>
        </w:rPr>
        <w:t>COVID-19 pandemijos padariniams šalinti skirtas lėšas</w:t>
      </w:r>
      <w:r>
        <w:rPr>
          <w:bCs/>
        </w:rPr>
        <w:t xml:space="preserve">. </w:t>
      </w:r>
      <w:r>
        <w:t>7 punktu</w:t>
      </w:r>
      <w:r w:rsidRPr="00E4432A">
        <w:t xml:space="preserve"> suteikta teisė </w:t>
      </w:r>
      <w:r w:rsidRPr="00E4432A">
        <w:rPr>
          <w:bCs/>
        </w:rPr>
        <w:t>Švietimo, mokslo ir sporto ministerijos asignavimuose numatytas lėšas</w:t>
      </w:r>
      <w:r>
        <w:rPr>
          <w:bCs/>
        </w:rPr>
        <w:t>, skirtas</w:t>
      </w:r>
      <w:r w:rsidRPr="008F0CE9">
        <w:rPr>
          <w:rFonts w:ascii="Calibri" w:hAnsi="Calibri" w:cs="Calibri"/>
          <w:b/>
          <w:bCs/>
          <w:color w:val="000000"/>
          <w:lang w:val="en-GB"/>
        </w:rPr>
        <w:t xml:space="preserve"> </w:t>
      </w:r>
      <w:r w:rsidRPr="00B51331">
        <w:rPr>
          <w:bCs/>
        </w:rPr>
        <w:t xml:space="preserve">mokslo duomenų bazių </w:t>
      </w:r>
      <w:proofErr w:type="spellStart"/>
      <w:r w:rsidRPr="00B51331">
        <w:rPr>
          <w:bCs/>
        </w:rPr>
        <w:t>prenumeratoms</w:t>
      </w:r>
      <w:proofErr w:type="spellEnd"/>
      <w:r w:rsidRPr="00B51331">
        <w:rPr>
          <w:bCs/>
        </w:rPr>
        <w:t xml:space="preserve"> finansuoti, skirti Lietuvos mokslinių bibliotekų asociacijai.</w:t>
      </w:r>
    </w:p>
    <w:p w:rsidR="00714865" w:rsidRDefault="00714865" w:rsidP="00714865">
      <w:pPr>
        <w:ind w:firstLine="720"/>
        <w:jc w:val="both"/>
        <w:rPr>
          <w:rFonts w:eastAsiaTheme="minorHAnsi"/>
          <w:color w:val="000000"/>
          <w:szCs w:val="24"/>
          <w:lang w:eastAsia="en-US"/>
        </w:rPr>
      </w:pPr>
      <w:r>
        <w:rPr>
          <w:rFonts w:eastAsiaTheme="minorHAnsi"/>
          <w:bCs/>
          <w:color w:val="000000" w:themeColor="text1"/>
          <w:szCs w:val="24"/>
          <w:lang w:eastAsia="en-US"/>
        </w:rPr>
        <w:t xml:space="preserve">Be to, atsižvelgus į Susisiekimo ministerijos pasiūlymą </w:t>
      </w:r>
      <w:r>
        <w:rPr>
          <w:rFonts w:eastAsiaTheme="minorHAnsi"/>
          <w:color w:val="000000" w:themeColor="text1"/>
          <w:szCs w:val="24"/>
          <w:lang w:eastAsia="en-US"/>
        </w:rPr>
        <w:t>sudaryti sąlygas savivaldybėms vietinės reikšmės žvyrkeliams asfaltuoti numatytas lėšas panaudoti visų savivaldybių kelių priežiūrai ir plėtrai pagal savivaldybių nusistatytus prioritetus, siūloma pakeisti Įstatymo 14 straipsnio 6 dalį, patikslinant vietinės reikšmės žvyrkelių asfaltavimo lėšų paskirtį</w:t>
      </w:r>
      <w:r>
        <w:rPr>
          <w:rFonts w:eastAsiaTheme="minorHAnsi"/>
          <w:bCs/>
          <w:szCs w:val="24"/>
          <w:lang w:eastAsia="en-US"/>
        </w:rPr>
        <w:t>.</w:t>
      </w:r>
      <w:r>
        <w:rPr>
          <w:rFonts w:eastAsiaTheme="minorHAnsi"/>
          <w:color w:val="000000"/>
          <w:szCs w:val="24"/>
          <w:lang w:eastAsia="en-US"/>
        </w:rPr>
        <w:t xml:space="preserve"> </w:t>
      </w:r>
    </w:p>
    <w:p w:rsidR="00EC572B" w:rsidRDefault="00EC572B" w:rsidP="00EC572B">
      <w:pPr>
        <w:pStyle w:val="Sraopastraipa"/>
        <w:ind w:left="0" w:firstLine="720"/>
        <w:jc w:val="both"/>
        <w:rPr>
          <w:color w:val="000000"/>
        </w:rPr>
      </w:pPr>
      <w:r>
        <w:rPr>
          <w:color w:val="000000"/>
        </w:rPr>
        <w:t xml:space="preserve">Taip pat Įstatymo 14 straipsnio 8 dalies 1 punktas patikslintas dėl papildomai skirtų </w:t>
      </w:r>
      <w:r w:rsidR="00682D2D">
        <w:rPr>
          <w:color w:val="000000"/>
        </w:rPr>
        <w:t>0,</w:t>
      </w:r>
      <w:r>
        <w:rPr>
          <w:color w:val="000000"/>
        </w:rPr>
        <w:t xml:space="preserve">34 </w:t>
      </w:r>
      <w:r w:rsidR="00682D2D">
        <w:rPr>
          <w:color w:val="000000"/>
        </w:rPr>
        <w:t>mln</w:t>
      </w:r>
      <w:r>
        <w:rPr>
          <w:color w:val="000000"/>
        </w:rPr>
        <w:t xml:space="preserve">. eurų Kauno miesto savivaldybės </w:t>
      </w:r>
      <w:r w:rsidR="00682D2D">
        <w:rPr>
          <w:color w:val="000000"/>
        </w:rPr>
        <w:t xml:space="preserve">vykdomai </w:t>
      </w:r>
      <w:r>
        <w:rPr>
          <w:color w:val="000000"/>
        </w:rPr>
        <w:t>programai „Europos kultūros sostinė 2022“ finansuoti.</w:t>
      </w:r>
    </w:p>
    <w:p w:rsidR="00714865" w:rsidRDefault="00714865" w:rsidP="00714865">
      <w:pPr>
        <w:ind w:firstLine="720"/>
        <w:jc w:val="both"/>
        <w:rPr>
          <w:rFonts w:eastAsiaTheme="minorHAnsi"/>
          <w:szCs w:val="24"/>
        </w:rPr>
      </w:pPr>
      <w:r w:rsidRPr="002A180F">
        <w:rPr>
          <w:rFonts w:eastAsiaTheme="minorHAnsi"/>
          <w:szCs w:val="24"/>
        </w:rPr>
        <w:lastRenderedPageBreak/>
        <w:t xml:space="preserve">Įstatymo 20 straipsnyje suplanuotas 7 procentų BVP valdžios sektoriaus deficitas. Įvertinus iki 2021 m. balandžio 30 d. Finansų ministerijos gautus naujausius valdžios sektoriui priskiriamų biudžetų vykdymo duomenis, Finansų ministerijos atnaujintą ir 2021 m. kovo 19 d. paskelbtą ekonominės raidos scenarijų, produkcijos atotrūkio nuo potencialo </w:t>
      </w:r>
      <w:proofErr w:type="spellStart"/>
      <w:r w:rsidRPr="002A180F">
        <w:rPr>
          <w:rFonts w:eastAsiaTheme="minorHAnsi"/>
          <w:szCs w:val="24"/>
        </w:rPr>
        <w:t>įverčius</w:t>
      </w:r>
      <w:proofErr w:type="spellEnd"/>
      <w:r w:rsidRPr="002A180F">
        <w:rPr>
          <w:rFonts w:eastAsiaTheme="minorHAnsi"/>
          <w:szCs w:val="24"/>
        </w:rPr>
        <w:t xml:space="preserve">, atnaujintas valstybės, savivaldybių, socialinio draudimo fondų pajamų ir išlaidų projekcijas, vietos valdžios </w:t>
      </w:r>
      <w:proofErr w:type="spellStart"/>
      <w:r w:rsidRPr="002A180F">
        <w:rPr>
          <w:rFonts w:eastAsiaTheme="minorHAnsi"/>
          <w:szCs w:val="24"/>
        </w:rPr>
        <w:t>subsektoriaus</w:t>
      </w:r>
      <w:proofErr w:type="spellEnd"/>
      <w:r w:rsidRPr="002A180F">
        <w:rPr>
          <w:rFonts w:eastAsiaTheme="minorHAnsi"/>
          <w:szCs w:val="24"/>
        </w:rPr>
        <w:t xml:space="preserve"> balanso tendencijas ir papildomas lėšas su COVID-19 pandemijos valdymu ir jos neigiamų padarinių švelninimu susijusioms priemonėms finansuoti, numatoma, kad 2021 metais valdžios sektoriaus deficitas sudarys 8,4 procento BVP. 2021 metų valdžios sektoriaus deficitas, palyginti su Įstatyme pateiktu –7 procentų BVP rodikliu, didės 1,4 procentinio punkto BVP.</w:t>
      </w:r>
    </w:p>
    <w:p w:rsidR="00714865" w:rsidRDefault="00714865" w:rsidP="00714865">
      <w:pPr>
        <w:ind w:firstLine="720"/>
        <w:jc w:val="both"/>
        <w:rPr>
          <w:rFonts w:eastAsiaTheme="minorHAnsi"/>
          <w:szCs w:val="24"/>
          <w:lang w:eastAsia="en-US"/>
        </w:rPr>
      </w:pPr>
      <w:r>
        <w:rPr>
          <w:rFonts w:eastAsiaTheme="minorHAnsi"/>
          <w:szCs w:val="24"/>
          <w:lang w:eastAsia="en-US"/>
        </w:rPr>
        <w:t>Įstatymo projekto 20 straipsnyje numatomos vidutinio laikotarpio valdžios sektoriaus finansų politikos gairės atitinka numatytąsias Lietuvos stabilumo 2021 metų programoje.</w:t>
      </w:r>
    </w:p>
    <w:p w:rsidR="00714865" w:rsidRDefault="00714865" w:rsidP="00714865">
      <w:pPr>
        <w:ind w:firstLine="720"/>
        <w:jc w:val="both"/>
        <w:rPr>
          <w:rFonts w:eastAsiaTheme="minorHAnsi"/>
          <w:color w:val="000000" w:themeColor="text1"/>
          <w:szCs w:val="24"/>
        </w:rPr>
      </w:pPr>
      <w:r>
        <w:rPr>
          <w:rFonts w:eastAsiaTheme="minorHAnsi"/>
          <w:szCs w:val="24"/>
          <w:lang w:eastAsia="en-US"/>
        </w:rPr>
        <w:t xml:space="preserve">Lietuvos stabilumo 2021 metų programoje numatyta, kad, atsižvelgiant į </w:t>
      </w:r>
      <w:r>
        <w:rPr>
          <w:rFonts w:eastAsia="Calibri"/>
          <w:szCs w:val="24"/>
        </w:rPr>
        <w:t xml:space="preserve">2020 m. gegužės 20 d. Tarybos rekomendaciją dėl 2020 m. Lietuvos nacionalinės reformų programos su Tarybos nuomone dėl 2020 m. Lietuvos stabilumo programos ir </w:t>
      </w:r>
      <w:r>
        <w:rPr>
          <w:rFonts w:eastAsiaTheme="minorHAnsi"/>
          <w:color w:val="000000" w:themeColor="text1"/>
          <w:szCs w:val="24"/>
        </w:rPr>
        <w:t xml:space="preserve">Europos Komisijos 2021 m. kovo 3 d. Europos Sąjungos valstybėms pateiktas fiskalinės politikos formavimo gaires, vidutiniu laikotarpiu turėtų būti vykdoma ekonomikos atsigavimą palaikanti fiskalinė politika, o pagalbos priemonių, susijusių su COVID-19 pandemijos valdymu, apimtis turėtų būti palaipsniui mažinama, atsižvelgiant į pandemijos situaciją ir ekonomikos būklę. Visa tai įvertinus ir siekiant, kad Lietuvos valdžios sektoriaus skolos augimas vidutiniu laikotarpiu būtų stabilizuotas, o valdžios sektoriaus struktūrinis deficitas artėtų vidutinio laikotarpio tikslo link, tikslinga palaipsniui mažinti valdžios sektoriaus deficitą. Deficito mažinimo reikalavimas, tikėtina, vidutiniu laikotarpiu kils pradėjus vėl taikyti ES ir nacionaliniais teisės aktais nustatytas fiskalinės drausmės taisykles, kurios šiuo metu laikinai nėra taikomos dėl išskirtinai sudėtingos COVID-19 pandemijos ir jos neigiamų padarinių sukeltos situacijos. </w:t>
      </w:r>
    </w:p>
    <w:p w:rsidR="00714865" w:rsidRDefault="00714865" w:rsidP="00714865">
      <w:pPr>
        <w:ind w:firstLine="720"/>
        <w:jc w:val="both"/>
      </w:pPr>
      <w:r>
        <w:t xml:space="preserve">Pagal asignavimų valdytojų pateiktus prašymus perskirstyti jiems skirtus asignavimus tarp investicijų projektų arba išlaidų grupių, įvertinus papildomai skirtus arba sumažintus asignavimus investicijų projektams, Valstybės investicijų 2021–2023 metų programos pakeitimo projekte 2021 metų valstybės kapitalo investicijoms asignavimai iš valstybės biudžeto sumažinti </w:t>
      </w:r>
      <w:r>
        <w:rPr>
          <w:color w:val="000000" w:themeColor="text1"/>
        </w:rPr>
        <w:t xml:space="preserve">7,1 mln. eurų, </w:t>
      </w:r>
      <w:r>
        <w:t>atitinkamai patikslintas Įstatymo 7 priedas</w:t>
      </w:r>
      <w:r>
        <w:rPr>
          <w:rFonts w:eastAsia="Calibri"/>
        </w:rPr>
        <w:t xml:space="preserve">. </w:t>
      </w:r>
    </w:p>
    <w:p w:rsidR="00714865" w:rsidRDefault="00714865" w:rsidP="00714865">
      <w:pPr>
        <w:autoSpaceDE w:val="0"/>
        <w:autoSpaceDN w:val="0"/>
        <w:adjustRightInd w:val="0"/>
        <w:ind w:firstLine="720"/>
        <w:jc w:val="both"/>
        <w:rPr>
          <w:szCs w:val="24"/>
          <w:lang w:eastAsia="en-US"/>
        </w:rPr>
      </w:pPr>
      <w:r>
        <w:rPr>
          <w:rFonts w:eastAsiaTheme="minorHAnsi"/>
          <w:szCs w:val="24"/>
          <w:lang w:eastAsia="en-US"/>
        </w:rPr>
        <w:t xml:space="preserve">Vadovaujantis Rezervinio (stabilizavimo) fondo nuostatų, patvirtintų Lietuvos Respublikos Seimo 2002 m. gegužės 30 d. nutarimu Nr. IX-912 „Dėl Rezervinio (stabilizavimo) fondo nuostatų patvirtinimo“, pakeitimu ir atsižvelgiant į tai, kad šiame fonde </w:t>
      </w:r>
      <w:r w:rsidR="00AF23D8">
        <w:rPr>
          <w:rFonts w:eastAsiaTheme="minorHAnsi"/>
          <w:szCs w:val="24"/>
          <w:lang w:eastAsia="en-US"/>
        </w:rPr>
        <w:t xml:space="preserve">nuo </w:t>
      </w:r>
      <w:r>
        <w:rPr>
          <w:rFonts w:eastAsiaTheme="minorHAnsi"/>
          <w:szCs w:val="24"/>
          <w:lang w:eastAsia="en-US"/>
        </w:rPr>
        <w:t>2021 m</w:t>
      </w:r>
      <w:r w:rsidR="00AF23D8">
        <w:rPr>
          <w:rFonts w:eastAsiaTheme="minorHAnsi"/>
          <w:szCs w:val="24"/>
          <w:lang w:eastAsia="en-US"/>
        </w:rPr>
        <w:t xml:space="preserve">. gegužės 1 d. </w:t>
      </w:r>
      <w:r>
        <w:rPr>
          <w:rFonts w:eastAsiaTheme="minorHAnsi"/>
          <w:szCs w:val="24"/>
          <w:lang w:eastAsia="en-US"/>
        </w:rPr>
        <w:t xml:space="preserve">bus kaupiamos lėšos tik radioaktyviųjų atliekų giluminiam </w:t>
      </w:r>
      <w:proofErr w:type="spellStart"/>
      <w:r>
        <w:rPr>
          <w:rFonts w:eastAsiaTheme="minorHAnsi"/>
          <w:szCs w:val="24"/>
          <w:lang w:eastAsia="en-US"/>
        </w:rPr>
        <w:t>atliekynui</w:t>
      </w:r>
      <w:proofErr w:type="spellEnd"/>
      <w:r>
        <w:rPr>
          <w:rFonts w:eastAsiaTheme="minorHAnsi"/>
          <w:szCs w:val="24"/>
          <w:lang w:eastAsia="en-US"/>
        </w:rPr>
        <w:t xml:space="preserve"> įrengti ir radioaktyviosioms atliekoms tvarkyti, tikslinamas Įstatymo 8 priedas, patikslinant 2021 metų Rezervinio (stabilizavimo) fondo lėšų sąmatą. </w:t>
      </w:r>
      <w:r>
        <w:rPr>
          <w:szCs w:val="24"/>
        </w:rPr>
        <w:t xml:space="preserve">Rezervinio (stabilizavimo) fondo lėšų sąmatos patikslintam projektai </w:t>
      </w:r>
      <w:r>
        <w:rPr>
          <w:color w:val="000000" w:themeColor="text1"/>
          <w:szCs w:val="24"/>
        </w:rPr>
        <w:t xml:space="preserve">pritarė šio fondo valdyba (Rezervinio (stabilizavimo) fondo valdybos nutarimas pridedamas). </w:t>
      </w:r>
      <w:r>
        <w:rPr>
          <w:rFonts w:eastAsiaTheme="minorHAnsi"/>
          <w:szCs w:val="24"/>
          <w:lang w:eastAsia="en-US"/>
        </w:rPr>
        <w:t xml:space="preserve">Sutaupyta 23,1 mln. eurų suma perskirstoma tarp Finansų ministerijos įgyvendinamų priemonių, lėšas numatant </w:t>
      </w:r>
      <w:r>
        <w:rPr>
          <w:color w:val="000000"/>
          <w:szCs w:val="24"/>
        </w:rPr>
        <w:t xml:space="preserve">Lietuvos Respublikos </w:t>
      </w:r>
      <w:r>
        <w:rPr>
          <w:rFonts w:eastAsiaTheme="minorHAnsi"/>
          <w:szCs w:val="24"/>
          <w:lang w:eastAsia="en-US"/>
        </w:rPr>
        <w:t xml:space="preserve">Vyriausybės rezerve </w:t>
      </w:r>
      <w:r>
        <w:rPr>
          <w:rFonts w:eastAsiaTheme="minorHAnsi"/>
          <w:bCs/>
          <w:szCs w:val="24"/>
          <w:lang w:eastAsia="en-US"/>
        </w:rPr>
        <w:t>COVID-19 pandemijos padariniams šalinti</w:t>
      </w:r>
      <w:r>
        <w:rPr>
          <w:rFonts w:eastAsiaTheme="minorHAnsi"/>
          <w:color w:val="76923C" w:themeColor="accent3" w:themeShade="BF"/>
          <w:szCs w:val="24"/>
          <w:lang w:eastAsia="en-US"/>
        </w:rPr>
        <w:t>.</w:t>
      </w:r>
      <w:r>
        <w:rPr>
          <w:szCs w:val="24"/>
        </w:rPr>
        <w:t xml:space="preserve"> </w:t>
      </w:r>
    </w:p>
    <w:p w:rsidR="00714865" w:rsidRDefault="00714865" w:rsidP="00714865">
      <w:pPr>
        <w:autoSpaceDE w:val="0"/>
        <w:autoSpaceDN w:val="0"/>
        <w:adjustRightInd w:val="0"/>
        <w:ind w:firstLine="720"/>
        <w:jc w:val="both"/>
        <w:rPr>
          <w:color w:val="000000"/>
          <w:szCs w:val="24"/>
        </w:rPr>
      </w:pPr>
      <w:r>
        <w:rPr>
          <w:bCs/>
          <w:color w:val="000000"/>
          <w:szCs w:val="24"/>
        </w:rPr>
        <w:t xml:space="preserve">Taip pat </w:t>
      </w:r>
      <w:r>
        <w:t xml:space="preserve">kartu su Įstatymo projektu teikiamas </w:t>
      </w:r>
      <w:r>
        <w:rPr>
          <w:bCs/>
          <w:color w:val="000000"/>
        </w:rPr>
        <w:t>Lietuvos Respublikos pelno mokesčio įstatymo Nr. IX-675 30 straipsnio pakeitimo įstatymo projektas</w:t>
      </w:r>
      <w:r>
        <w:rPr>
          <w:color w:val="000000"/>
        </w:rPr>
        <w:t xml:space="preserve">, kuris parengtas, be kita ko, remiantis kitų ES valstybių narių patirtimi, siekiant sušvelninti dėl COVID-19 pandemijos atsiradusias neigiamas ekonomines pasekmes – dėl įvairių veiklos apribojimų ir visuminės paklausos sumažėjimo įmonių patiriamus nuostolius ir apyvartinių lėšų trūkumą. Šio įstatymo projekto tikslas – sudaryti galimybes įmonėms, kurios 2019 metais veikė pelningai, o 2020 metais patyrė nuostolių, pasirinkti šiuos nuostolius (jų dalį) atskaityti iš 2019 metų pelno, t. y. sumažinti 2019 metų mokestinio laikotarpio pelno mokesčio sumą, kas leistų joms palengvinti savo finansinę padėtį. Priėmus </w:t>
      </w:r>
      <w:r>
        <w:rPr>
          <w:bCs/>
          <w:color w:val="000000"/>
        </w:rPr>
        <w:t>Pelno mokesčio įstatymo Nr. IX-675 30 straipsnio pakeitimo į</w:t>
      </w:r>
      <w:r>
        <w:rPr>
          <w:color w:val="000000"/>
        </w:rPr>
        <w:t>statymo projektą, nereikės priimti naujų ar pripažinti netekusiais galios galiojančių teisės aktų, tačiau turės būti patikslintos mokesčių administratoriaus patvirtintos pelno mokesčio deklaracijų formų pildymo taisyklės.</w:t>
      </w:r>
      <w:r>
        <w:rPr>
          <w:color w:val="FF0000"/>
          <w:szCs w:val="24"/>
        </w:rPr>
        <w:t xml:space="preserve"> </w:t>
      </w:r>
      <w:r>
        <w:rPr>
          <w:szCs w:val="24"/>
        </w:rPr>
        <w:t xml:space="preserve">Įstatymo projektas </w:t>
      </w:r>
      <w:r>
        <w:rPr>
          <w:rFonts w:ascii="Tms Rmn" w:hAnsi="Tms Rmn" w:cs="Tms Rmn"/>
          <w:szCs w:val="24"/>
        </w:rPr>
        <w:t xml:space="preserve">buvo teiktas išvadoms gauti suinteresuotoms institucijoms bei asocijuotoms verslo struktūroms. Į Teisingumo ministerijos pastabas ir pasiūlymus atsižvelgta, </w:t>
      </w:r>
      <w:r>
        <w:rPr>
          <w:rFonts w:ascii="Tms Rmn" w:hAnsi="Tms Rmn" w:cs="Tms Rmn"/>
          <w:szCs w:val="24"/>
        </w:rPr>
        <w:lastRenderedPageBreak/>
        <w:t>Ekonomikos ir inovacijų ministerija pastabų neturėjo. Verslo asociacijos galimybei 2020 metais patirtais nuostoliais sumažinti 2019 metų apmokestinamąjį pelną pritarė.</w:t>
      </w:r>
    </w:p>
    <w:p w:rsidR="00714865" w:rsidRDefault="00714865" w:rsidP="00714865">
      <w:pPr>
        <w:ind w:firstLine="720"/>
        <w:jc w:val="both"/>
        <w:rPr>
          <w:szCs w:val="24"/>
        </w:rPr>
      </w:pPr>
      <w:r>
        <w:rPr>
          <w:szCs w:val="24"/>
        </w:rPr>
        <w:t>Teisės aktų projektai neprieštarauja Aštuonioliktosios Lietuvos Respublikos Vyriausybės programai, Europos Sąjungos teisei.</w:t>
      </w:r>
    </w:p>
    <w:p w:rsidR="00714865" w:rsidRDefault="00714865" w:rsidP="00714865">
      <w:pPr>
        <w:ind w:firstLine="720"/>
        <w:jc w:val="both"/>
        <w:rPr>
          <w:szCs w:val="24"/>
        </w:rPr>
      </w:pPr>
      <w:r>
        <w:rPr>
          <w:szCs w:val="24"/>
        </w:rPr>
        <w:t>Teisės aktų projektai paskelbti Lietuvos Respublikos Seimo teisės aktų informacinės sistemos (TAIS) Projektų registravimo posistemėje, kur pastabas ir pasiūlymus galės teikti visi suinteresuoti asmenys ir institucijos.</w:t>
      </w:r>
    </w:p>
    <w:p w:rsidR="00714865" w:rsidRDefault="00714865" w:rsidP="00714865">
      <w:pPr>
        <w:ind w:firstLine="720"/>
        <w:jc w:val="both"/>
        <w:rPr>
          <w:szCs w:val="24"/>
        </w:rPr>
      </w:pPr>
      <w:r>
        <w:rPr>
          <w:szCs w:val="24"/>
        </w:rPr>
        <w:t xml:space="preserve">Teisės aktų projektus parengė Finansų ministerijos Biudžeto departamento (direktorė – Daiva Kamarauskienė, tel. 239 0130) Valstybės ir savivaldybių biudžetų sudarymo skyriaus (vedėja – Audronė </w:t>
      </w:r>
      <w:proofErr w:type="spellStart"/>
      <w:r>
        <w:rPr>
          <w:szCs w:val="24"/>
        </w:rPr>
        <w:t>Čekanavičienė</w:t>
      </w:r>
      <w:proofErr w:type="spellEnd"/>
      <w:r>
        <w:rPr>
          <w:szCs w:val="24"/>
        </w:rPr>
        <w:t xml:space="preserve">, tel. 239 0255) vyriausioji specialistė Ona </w:t>
      </w:r>
      <w:proofErr w:type="spellStart"/>
      <w:r>
        <w:rPr>
          <w:szCs w:val="24"/>
        </w:rPr>
        <w:t>Mickėnienė</w:t>
      </w:r>
      <w:proofErr w:type="spellEnd"/>
      <w:r>
        <w:rPr>
          <w:szCs w:val="24"/>
        </w:rPr>
        <w:t xml:space="preserve"> (tel. 239  0024, el. p. </w:t>
      </w:r>
      <w:proofErr w:type="spellStart"/>
      <w:r>
        <w:rPr>
          <w:szCs w:val="24"/>
        </w:rPr>
        <w:t>ona.mickeniene@finmin.lt</w:t>
      </w:r>
      <w:proofErr w:type="spellEnd"/>
      <w:r>
        <w:rPr>
          <w:szCs w:val="24"/>
        </w:rPr>
        <w:t xml:space="preserve">), </w:t>
      </w:r>
      <w:r>
        <w:rPr>
          <w:color w:val="000000"/>
          <w:szCs w:val="24"/>
        </w:rPr>
        <w:t xml:space="preserve">Mokesčių politikos departamento (direktorė Jūratė </w:t>
      </w:r>
      <w:proofErr w:type="spellStart"/>
      <w:r>
        <w:rPr>
          <w:color w:val="000000"/>
          <w:szCs w:val="24"/>
        </w:rPr>
        <w:t>Laurikėnaitė</w:t>
      </w:r>
      <w:proofErr w:type="spellEnd"/>
      <w:r>
        <w:rPr>
          <w:color w:val="000000"/>
          <w:szCs w:val="24"/>
        </w:rPr>
        <w:t xml:space="preserve">, tel. 239 0151) Tiesioginių mokesčių ir tarptautinio apmokestinimo skyriaus (vedėjas Evaldas Putrimas, tel. 219 4476) patarėja Živilė </w:t>
      </w:r>
      <w:proofErr w:type="spellStart"/>
      <w:r>
        <w:rPr>
          <w:color w:val="000000"/>
          <w:szCs w:val="24"/>
        </w:rPr>
        <w:t>Kvedytė</w:t>
      </w:r>
      <w:proofErr w:type="spellEnd"/>
      <w:r>
        <w:rPr>
          <w:color w:val="000000"/>
          <w:szCs w:val="24"/>
        </w:rPr>
        <w:t xml:space="preserve"> (tel. 219 9301).</w:t>
      </w:r>
    </w:p>
    <w:p w:rsidR="00714865" w:rsidRPr="002A180F" w:rsidRDefault="00714865" w:rsidP="00714865">
      <w:pPr>
        <w:pStyle w:val="Pagrindiniotekstotrauka"/>
        <w:keepNext/>
        <w:keepLines/>
        <w:rPr>
          <w:szCs w:val="24"/>
        </w:rPr>
      </w:pPr>
      <w:r w:rsidRPr="002A180F">
        <w:rPr>
          <w:szCs w:val="24"/>
        </w:rPr>
        <w:t>PRIDEDAMA:</w:t>
      </w:r>
    </w:p>
    <w:p w:rsidR="00714865" w:rsidRPr="0054713A" w:rsidRDefault="00714865" w:rsidP="00714865">
      <w:pPr>
        <w:numPr>
          <w:ilvl w:val="0"/>
          <w:numId w:val="1"/>
        </w:numPr>
        <w:tabs>
          <w:tab w:val="left" w:pos="993"/>
        </w:tabs>
        <w:ind w:left="0" w:firstLine="720"/>
        <w:jc w:val="both"/>
      </w:pPr>
      <w:r w:rsidRPr="002A180F">
        <w:t xml:space="preserve">Lietuvos Respublikos 2021 metų valstybės biudžeto ir savivaldybių biudžetų finansinių rodiklių patvirtinimo įstatymo Nr. XIV-102 preambulės, 1, 2, 3, 9, 10, 11, 14, 20 straipsnių ir 1, 2, 3, 6, 7, 8 priedų pakeitimo įstatymo </w:t>
      </w:r>
      <w:r w:rsidRPr="002A180F">
        <w:rPr>
          <w:szCs w:val="24"/>
        </w:rPr>
        <w:t xml:space="preserve">projektas, jo lyginamasis variantas, </w:t>
      </w:r>
      <w:r w:rsidR="009D7FB8">
        <w:rPr>
          <w:szCs w:val="24"/>
        </w:rPr>
        <w:t>35</w:t>
      </w:r>
      <w:r w:rsidRPr="002A180F">
        <w:rPr>
          <w:szCs w:val="24"/>
        </w:rPr>
        <w:t xml:space="preserve"> lapai.</w:t>
      </w:r>
    </w:p>
    <w:p w:rsidR="0054713A" w:rsidRPr="0054713A" w:rsidRDefault="0054713A" w:rsidP="00714865">
      <w:pPr>
        <w:numPr>
          <w:ilvl w:val="0"/>
          <w:numId w:val="1"/>
        </w:numPr>
        <w:tabs>
          <w:tab w:val="left" w:pos="993"/>
        </w:tabs>
        <w:ind w:left="0" w:firstLine="720"/>
        <w:jc w:val="both"/>
      </w:pPr>
      <w:r w:rsidRPr="002A180F">
        <w:rPr>
          <w:bCs/>
          <w:color w:val="000000"/>
          <w:szCs w:val="24"/>
        </w:rPr>
        <w:t>Lietuvos Respublikos pelno mokesčio įstatymo Nr. IX-675 30 straipsnio pakeitimo įstatymo projektas, jo lyginamasis variantas, 2 lapai</w:t>
      </w:r>
      <w:r>
        <w:rPr>
          <w:bCs/>
          <w:color w:val="000000"/>
          <w:szCs w:val="24"/>
        </w:rPr>
        <w:t>.</w:t>
      </w:r>
    </w:p>
    <w:p w:rsidR="0054713A" w:rsidRPr="002A180F" w:rsidRDefault="0054713A" w:rsidP="00714865">
      <w:pPr>
        <w:numPr>
          <w:ilvl w:val="0"/>
          <w:numId w:val="1"/>
        </w:numPr>
        <w:tabs>
          <w:tab w:val="left" w:pos="993"/>
        </w:tabs>
        <w:ind w:left="0" w:firstLine="720"/>
        <w:jc w:val="both"/>
      </w:pPr>
      <w:r w:rsidRPr="007E7B69">
        <w:t xml:space="preserve">Lietuvos Respublikos </w:t>
      </w:r>
      <w:r w:rsidRPr="007E7B69">
        <w:rPr>
          <w:bCs/>
        </w:rPr>
        <w:t>20</w:t>
      </w:r>
      <w:r>
        <w:rPr>
          <w:bCs/>
        </w:rPr>
        <w:t>21</w:t>
      </w:r>
      <w:r w:rsidRPr="007E7B69">
        <w:rPr>
          <w:bCs/>
        </w:rPr>
        <w:t xml:space="preserve"> metų valstybės biudžeto ir savivaldybių biudžetų finansinių rodiklių patvirtinimo įstatymo Nr. XI</w:t>
      </w:r>
      <w:r>
        <w:rPr>
          <w:bCs/>
        </w:rPr>
        <w:t>V</w:t>
      </w:r>
      <w:r w:rsidRPr="007E7B69">
        <w:rPr>
          <w:bCs/>
        </w:rPr>
        <w:t>-</w:t>
      </w:r>
      <w:r>
        <w:rPr>
          <w:bCs/>
        </w:rPr>
        <w:t>102</w:t>
      </w:r>
      <w:r w:rsidRPr="007E7B69">
        <w:rPr>
          <w:bCs/>
        </w:rPr>
        <w:t xml:space="preserve"> </w:t>
      </w:r>
      <w:r>
        <w:rPr>
          <w:bCs/>
        </w:rPr>
        <w:t xml:space="preserve">preambulės, 1, 2, 3, 9, 10, 11, 14, 20 straipsnių ir 1, 2, 3, 7, 8, 11 priedų </w:t>
      </w:r>
      <w:r w:rsidRPr="007E7B69">
        <w:rPr>
          <w:bCs/>
        </w:rPr>
        <w:t>pakeitimo įstatymo</w:t>
      </w:r>
      <w:r>
        <w:rPr>
          <w:bCs/>
        </w:rPr>
        <w:t xml:space="preserve"> ir </w:t>
      </w:r>
      <w:r>
        <w:rPr>
          <w:bCs/>
          <w:color w:val="000000"/>
        </w:rPr>
        <w:t xml:space="preserve">Lietuvos </w:t>
      </w:r>
      <w:r w:rsidRPr="0083279E">
        <w:rPr>
          <w:bCs/>
          <w:color w:val="000000"/>
        </w:rPr>
        <w:t>Respublikos pelno mokesčio įstatymo Nr.</w:t>
      </w:r>
      <w:r>
        <w:rPr>
          <w:bCs/>
          <w:color w:val="000000"/>
        </w:rPr>
        <w:t> </w:t>
      </w:r>
      <w:r w:rsidRPr="0083279E">
        <w:rPr>
          <w:bCs/>
          <w:color w:val="000000"/>
        </w:rPr>
        <w:t>IX-675 30 straipsnio pakeitimo įstatymo projekt</w:t>
      </w:r>
      <w:r>
        <w:rPr>
          <w:bCs/>
          <w:color w:val="000000"/>
        </w:rPr>
        <w:t>ų aiškinamasis raštas, 6 lapai.</w:t>
      </w:r>
    </w:p>
    <w:p w:rsidR="00714865" w:rsidRPr="002A180F" w:rsidRDefault="00714865" w:rsidP="00714865">
      <w:pPr>
        <w:numPr>
          <w:ilvl w:val="0"/>
          <w:numId w:val="1"/>
        </w:numPr>
        <w:tabs>
          <w:tab w:val="left" w:pos="993"/>
        </w:tabs>
        <w:ind w:left="0" w:firstLine="720"/>
        <w:jc w:val="both"/>
      </w:pPr>
      <w:r w:rsidRPr="002A180F">
        <w:t xml:space="preserve">Lietuvos Respublikos Seimo nutarimo „Dėl Lietuvos Respublikos Seimo 2020 m. gruodžio 22 d. nutarimo Nr. XIV-103 „Dėl 2021 metų, 2022 metų ir 2023 metų valstybės biudžeto ir savivaldybių biudžetų konsoliduotos visumos planuojamų rodiklių“ pakeitimo“ projektas, </w:t>
      </w:r>
      <w:r w:rsidR="00870092">
        <w:t>1 lapas</w:t>
      </w:r>
      <w:r w:rsidRPr="002A180F">
        <w:t>.</w:t>
      </w:r>
    </w:p>
    <w:p w:rsidR="00714865" w:rsidRDefault="00714865" w:rsidP="00714865">
      <w:pPr>
        <w:numPr>
          <w:ilvl w:val="0"/>
          <w:numId w:val="1"/>
        </w:numPr>
        <w:tabs>
          <w:tab w:val="left" w:pos="993"/>
        </w:tabs>
        <w:ind w:left="0" w:firstLine="720"/>
        <w:jc w:val="both"/>
      </w:pPr>
      <w:r w:rsidRPr="002A180F">
        <w:rPr>
          <w:szCs w:val="24"/>
        </w:rPr>
        <w:t xml:space="preserve">Lietuvos Respublikos Vyriausybės nutarimo „Dėl </w:t>
      </w:r>
      <w:r w:rsidRPr="002A180F">
        <w:t>Lietuvos Respublikos 2021 metų valstybės biudžeto ir savivaldybių biudžetų finansinių rodiklių patvirtinimo įstatymo Nr. XIV-102 preambulės, 1, 2, 3, 9, 10, 11, 14, 20 straipsnių ir 1, 2, 3, 6, 7, 8 priedų pakeitimo įstatymo</w:t>
      </w:r>
      <w:r w:rsidRPr="002A180F">
        <w:rPr>
          <w:szCs w:val="24"/>
        </w:rPr>
        <w:t xml:space="preserve">, </w:t>
      </w:r>
      <w:r w:rsidRPr="002A180F">
        <w:rPr>
          <w:rFonts w:eastAsiaTheme="minorHAnsi"/>
          <w:bCs/>
        </w:rPr>
        <w:t xml:space="preserve">Lietuvos Respublikos pelno mokesčio įstatymo Nr. IX-675 30 straipsnio pakeitimo įstatymo </w:t>
      </w:r>
      <w:r w:rsidRPr="002A180F">
        <w:rPr>
          <w:szCs w:val="24"/>
        </w:rPr>
        <w:t xml:space="preserve">ir </w:t>
      </w:r>
      <w:r w:rsidRPr="002A180F">
        <w:t>Lietuvos Respublikos Seimo nutarimo „Dėl Lietuvos Respublikos Seimo 2020 m. gruodžio 22 d. nutarimo Nr. XIV-103 „Dėl 2021 metų, 2022 metų ir 2023 metų valstybės biudžeto ir savivaldybių biudžetų konsoliduotos visumos planuojamų rodiklių“ pakeitimo“ projektų pateikimo Lietuvos Respublikos Seimui“ projektas, 1 lapas.</w:t>
      </w:r>
    </w:p>
    <w:p w:rsidR="002A180F" w:rsidRPr="0054713A" w:rsidRDefault="002A180F" w:rsidP="00714865">
      <w:pPr>
        <w:numPr>
          <w:ilvl w:val="0"/>
          <w:numId w:val="1"/>
        </w:numPr>
        <w:tabs>
          <w:tab w:val="left" w:pos="993"/>
        </w:tabs>
        <w:ind w:left="0" w:firstLine="720"/>
        <w:jc w:val="both"/>
      </w:pPr>
      <w:r w:rsidRPr="002A180F">
        <w:rPr>
          <w:color w:val="000000" w:themeColor="text1"/>
          <w:szCs w:val="24"/>
        </w:rPr>
        <w:t>Rezervinio (stabilizavimo) fondo valdybos 2021 m. gegužės 6</w:t>
      </w:r>
      <w:r w:rsidRPr="002A180F">
        <w:rPr>
          <w:color w:val="FF0000"/>
          <w:szCs w:val="24"/>
        </w:rPr>
        <w:t xml:space="preserve"> </w:t>
      </w:r>
      <w:r w:rsidRPr="002A180F">
        <w:rPr>
          <w:color w:val="000000" w:themeColor="text1"/>
          <w:szCs w:val="24"/>
        </w:rPr>
        <w:t xml:space="preserve">d. nutarimo Nr. </w:t>
      </w:r>
      <w:r w:rsidRPr="002A180F">
        <w:rPr>
          <w:szCs w:val="24"/>
        </w:rPr>
        <w:t xml:space="preserve">11K-21 </w:t>
      </w:r>
      <w:r w:rsidRPr="002A180F">
        <w:rPr>
          <w:color w:val="000000" w:themeColor="text1"/>
          <w:szCs w:val="24"/>
        </w:rPr>
        <w:t xml:space="preserve">kopija, </w:t>
      </w:r>
      <w:r w:rsidRPr="002A180F">
        <w:rPr>
          <w:szCs w:val="24"/>
        </w:rPr>
        <w:t>2 lapai</w:t>
      </w:r>
      <w:r w:rsidR="0054713A">
        <w:rPr>
          <w:szCs w:val="24"/>
        </w:rPr>
        <w:t>.</w:t>
      </w:r>
    </w:p>
    <w:p w:rsidR="0054713A" w:rsidRPr="002A180F" w:rsidRDefault="0054713A" w:rsidP="0054713A">
      <w:pPr>
        <w:tabs>
          <w:tab w:val="left" w:pos="993"/>
        </w:tabs>
        <w:ind w:left="720"/>
        <w:jc w:val="both"/>
      </w:pPr>
    </w:p>
    <w:p w:rsidR="00714865" w:rsidRPr="002A180F" w:rsidRDefault="00714865" w:rsidP="002A180F">
      <w:pPr>
        <w:pStyle w:val="Sraopastraipa"/>
        <w:tabs>
          <w:tab w:val="left" w:pos="1021"/>
        </w:tabs>
        <w:ind w:left="709"/>
        <w:jc w:val="both"/>
        <w:rPr>
          <w:color w:val="000000" w:themeColor="text1"/>
          <w:szCs w:val="24"/>
        </w:rPr>
      </w:pPr>
    </w:p>
    <w:p w:rsidR="002E4B5D" w:rsidRPr="002A180F" w:rsidRDefault="002E4B5D" w:rsidP="00714865">
      <w:pPr>
        <w:ind w:firstLine="720"/>
        <w:jc w:val="both"/>
      </w:pPr>
    </w:p>
    <w:p w:rsidR="00676E45" w:rsidRPr="002A180F" w:rsidRDefault="00676E45"/>
    <w:p w:rsidR="00102B7E" w:rsidRDefault="00102B7E"/>
    <w:p w:rsidR="00676E45" w:rsidRDefault="00676E45" w:rsidP="008732A9">
      <w:pPr>
        <w:tabs>
          <w:tab w:val="left" w:pos="8080"/>
        </w:tabs>
      </w:pPr>
    </w:p>
    <w:p w:rsidR="00676E45" w:rsidRDefault="00676E45"/>
    <w:p w:rsidR="00102B7E" w:rsidRDefault="00102B7E"/>
    <w:p w:rsidR="00102B7E" w:rsidRDefault="00102B7E"/>
    <w:p w:rsidR="00AB729A" w:rsidRDefault="00AB729A"/>
    <w:p w:rsidR="00AB729A" w:rsidRDefault="00AB729A"/>
    <w:p w:rsidR="00AB729A" w:rsidRDefault="00AB729A"/>
    <w:p w:rsidR="00AB729A" w:rsidRDefault="00AB729A"/>
    <w:p w:rsidR="00102B7E" w:rsidRDefault="00102B7E"/>
    <w:p w:rsidR="00AB729A" w:rsidRPr="00AB729A" w:rsidRDefault="00AB729A" w:rsidP="00AB729A">
      <w:pPr>
        <w:rPr>
          <w:sz w:val="18"/>
          <w:szCs w:val="18"/>
        </w:rPr>
      </w:pPr>
      <w:r w:rsidRPr="00CA18F2">
        <w:rPr>
          <w:sz w:val="18"/>
          <w:szCs w:val="18"/>
        </w:rPr>
        <w:t xml:space="preserve">O. </w:t>
      </w:r>
      <w:proofErr w:type="spellStart"/>
      <w:r w:rsidRPr="00CA18F2">
        <w:rPr>
          <w:sz w:val="18"/>
          <w:szCs w:val="18"/>
        </w:rPr>
        <w:t>Mickėnienė</w:t>
      </w:r>
      <w:proofErr w:type="spellEnd"/>
      <w:r w:rsidRPr="00CA18F2">
        <w:rPr>
          <w:sz w:val="18"/>
          <w:szCs w:val="18"/>
        </w:rPr>
        <w:t xml:space="preserve">, tel. (8 5) 239 0024, el. p. </w:t>
      </w:r>
      <w:hyperlink r:id="rId15" w:history="1">
        <w:r w:rsidRPr="00CA18F2">
          <w:rPr>
            <w:rStyle w:val="Hipersaitas"/>
            <w:color w:val="auto"/>
            <w:sz w:val="18"/>
            <w:szCs w:val="18"/>
            <w:u w:val="none"/>
          </w:rPr>
          <w:t>ona. mickeniene@finmin.lt</w:t>
        </w:r>
      </w:hyperlink>
    </w:p>
    <w:permEnd w:id="1754732057"/>
    <w:p w:rsidR="00676E45" w:rsidRDefault="00676E45" w:rsidP="00AB729A">
      <w:pPr>
        <w:rPr>
          <w:sz w:val="20"/>
        </w:rPr>
      </w:pPr>
    </w:p>
    <w:sectPr w:rsidR="00676E45">
      <w:footerReference w:type="default" r:id="rId16"/>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94C" w:rsidRDefault="00FD094C">
      <w:r>
        <w:separator/>
      </w:r>
    </w:p>
  </w:endnote>
  <w:endnote w:type="continuationSeparator" w:id="0">
    <w:p w:rsidR="00FD094C" w:rsidRDefault="00FD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0173B9">
      <w:rPr>
        <w:noProof/>
        <w:sz w:val="10"/>
      </w:rPr>
      <w:t>2021-04- Del 2021Biudzeto tikslinimo LYDRASTIS LRV</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0173B9">
      <w:rPr>
        <w:noProof/>
        <w:sz w:val="10"/>
      </w:rPr>
      <w:t>2021-04- Del 2021Biudzeto tikslinimo LYDRASTIS LRV</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94C" w:rsidRDefault="00FD094C">
      <w:r>
        <w:separator/>
      </w:r>
    </w:p>
  </w:footnote>
  <w:footnote w:type="continuationSeparator" w:id="0">
    <w:p w:rsidR="00FD094C" w:rsidRDefault="00FD094C">
      <w:r>
        <w:continuationSeparator/>
      </w:r>
    </w:p>
  </w:footnote>
  <w:footnote w:id="1">
    <w:p w:rsidR="00714865" w:rsidRPr="00CA18F2" w:rsidRDefault="00714865" w:rsidP="00714865">
      <w:pPr>
        <w:pStyle w:val="Puslapioinaostekstas"/>
        <w:rPr>
          <w:highlight w:val="lightGray"/>
        </w:rPr>
      </w:pPr>
      <w:r w:rsidRPr="00CA18F2">
        <w:rPr>
          <w:rStyle w:val="Puslapioinaosnuoroda"/>
        </w:rPr>
        <w:footnoteRef/>
      </w:r>
      <w:r w:rsidRPr="00CA18F2">
        <w:t xml:space="preserve"> Lietuvos Respublikos </w:t>
      </w:r>
      <w:r w:rsidRPr="00CA18F2">
        <w:rPr>
          <w:bCs/>
          <w:color w:val="333333"/>
          <w:shd w:val="clear" w:color="auto" w:fill="FFFFFF"/>
        </w:rPr>
        <w:t>pridėtinės vertės mokesčio įstatymo Nr. IX-751 19 straipsnio pakeitimo įstatymo projektas Nr. XIIIP-4714(2).</w:t>
      </w:r>
    </w:p>
  </w:footnote>
  <w:footnote w:id="2">
    <w:p w:rsidR="00714865" w:rsidRPr="00CA18F2" w:rsidRDefault="00714865" w:rsidP="00714865">
      <w:pPr>
        <w:pStyle w:val="Puslapioinaostekstas"/>
        <w:rPr>
          <w:bCs/>
          <w:color w:val="333333"/>
          <w:shd w:val="clear" w:color="auto" w:fill="FFFFFF"/>
        </w:rPr>
      </w:pPr>
      <w:r w:rsidRPr="00CA18F2">
        <w:rPr>
          <w:rStyle w:val="Puslapioinaosnuoroda"/>
        </w:rPr>
        <w:footnoteRef/>
      </w:r>
      <w:r w:rsidRPr="00CA18F2">
        <w:t xml:space="preserve"> Lietuvos Respublikos </w:t>
      </w:r>
      <w:r w:rsidRPr="00CA18F2">
        <w:rPr>
          <w:bCs/>
          <w:color w:val="333333"/>
          <w:shd w:val="clear" w:color="auto" w:fill="FFFFFF"/>
        </w:rPr>
        <w:t>pelno mokesčio įstatymo Nr. IX-675 30 straipsnio pakeitimo įstatymo projektas Nr. 21-23810.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94655">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DA9478"/>
    <w:lvl w:ilvl="0">
      <w:numFmt w:val="bullet"/>
      <w:lvlText w:val="*"/>
      <w:lvlJc w:val="left"/>
    </w:lvl>
  </w:abstractNum>
  <w:abstractNum w:abstractNumId="1">
    <w:nsid w:val="086961C0"/>
    <w:multiLevelType w:val="hybridMultilevel"/>
    <w:tmpl w:val="9B70B1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167D01"/>
    <w:multiLevelType w:val="hybridMultilevel"/>
    <w:tmpl w:val="DDD49878"/>
    <w:lvl w:ilvl="0" w:tplc="C644D7EC">
      <w:start w:val="1"/>
      <w:numFmt w:val="decimal"/>
      <w:lvlText w:val="%1."/>
      <w:lvlJc w:val="left"/>
      <w:pPr>
        <w:tabs>
          <w:tab w:val="num" w:pos="1211"/>
        </w:tabs>
        <w:ind w:left="1211" w:hanging="360"/>
      </w:pPr>
      <w:rPr>
        <w:rFonts w:ascii="Times New Roman" w:hAnsi="Times New Roman" w:cs="Times New Roman"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0"/>
        <w:lvlJc w:val="left"/>
        <w:rPr>
          <w:rFonts w:ascii="Symbol" w:hAnsi="Symbol" w:hint="default"/>
          <w:sz w:val="22"/>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49"/>
    <w:rsid w:val="000170D7"/>
    <w:rsid w:val="000173B9"/>
    <w:rsid w:val="000502DF"/>
    <w:rsid w:val="0006460C"/>
    <w:rsid w:val="00066BC1"/>
    <w:rsid w:val="00075807"/>
    <w:rsid w:val="00076760"/>
    <w:rsid w:val="0008105E"/>
    <w:rsid w:val="000858C0"/>
    <w:rsid w:val="00090A6C"/>
    <w:rsid w:val="000969A4"/>
    <w:rsid w:val="000B1861"/>
    <w:rsid w:val="000C1FFC"/>
    <w:rsid w:val="000E61E8"/>
    <w:rsid w:val="000E6336"/>
    <w:rsid w:val="000E66F2"/>
    <w:rsid w:val="000F3AAC"/>
    <w:rsid w:val="000F735D"/>
    <w:rsid w:val="00102B7E"/>
    <w:rsid w:val="00106272"/>
    <w:rsid w:val="00125818"/>
    <w:rsid w:val="001303BC"/>
    <w:rsid w:val="00144A3E"/>
    <w:rsid w:val="00187226"/>
    <w:rsid w:val="001958D9"/>
    <w:rsid w:val="001A1D75"/>
    <w:rsid w:val="001B1875"/>
    <w:rsid w:val="001B25B8"/>
    <w:rsid w:val="001C0A64"/>
    <w:rsid w:val="001D5173"/>
    <w:rsid w:val="001D7D80"/>
    <w:rsid w:val="001E04C6"/>
    <w:rsid w:val="001E7886"/>
    <w:rsid w:val="002149E0"/>
    <w:rsid w:val="00214CDC"/>
    <w:rsid w:val="00215B65"/>
    <w:rsid w:val="00250F18"/>
    <w:rsid w:val="0025434A"/>
    <w:rsid w:val="00254409"/>
    <w:rsid w:val="0027658A"/>
    <w:rsid w:val="00276BA6"/>
    <w:rsid w:val="00281350"/>
    <w:rsid w:val="002A180F"/>
    <w:rsid w:val="002A6525"/>
    <w:rsid w:val="002B0A82"/>
    <w:rsid w:val="002B4CBC"/>
    <w:rsid w:val="002C197D"/>
    <w:rsid w:val="002D6E16"/>
    <w:rsid w:val="002E4B5D"/>
    <w:rsid w:val="002E795F"/>
    <w:rsid w:val="002F325D"/>
    <w:rsid w:val="002F67A0"/>
    <w:rsid w:val="00305C86"/>
    <w:rsid w:val="003105EF"/>
    <w:rsid w:val="00317D73"/>
    <w:rsid w:val="00390EEB"/>
    <w:rsid w:val="003A1F78"/>
    <w:rsid w:val="003A7F7D"/>
    <w:rsid w:val="003C0D9E"/>
    <w:rsid w:val="003C1898"/>
    <w:rsid w:val="003C51BE"/>
    <w:rsid w:val="003C57BD"/>
    <w:rsid w:val="003C6B33"/>
    <w:rsid w:val="003D7384"/>
    <w:rsid w:val="00421305"/>
    <w:rsid w:val="0043080B"/>
    <w:rsid w:val="00436DB3"/>
    <w:rsid w:val="00460DFC"/>
    <w:rsid w:val="00463CCB"/>
    <w:rsid w:val="00471A03"/>
    <w:rsid w:val="00475720"/>
    <w:rsid w:val="00480D28"/>
    <w:rsid w:val="004856BF"/>
    <w:rsid w:val="00486336"/>
    <w:rsid w:val="00491624"/>
    <w:rsid w:val="004F04DF"/>
    <w:rsid w:val="004F1AE4"/>
    <w:rsid w:val="00501C5D"/>
    <w:rsid w:val="0051440D"/>
    <w:rsid w:val="0052687F"/>
    <w:rsid w:val="0054713A"/>
    <w:rsid w:val="005512AE"/>
    <w:rsid w:val="00554F08"/>
    <w:rsid w:val="00584E9A"/>
    <w:rsid w:val="00594655"/>
    <w:rsid w:val="00594C08"/>
    <w:rsid w:val="005C52F7"/>
    <w:rsid w:val="005E0019"/>
    <w:rsid w:val="005F7A8D"/>
    <w:rsid w:val="00607612"/>
    <w:rsid w:val="0062620E"/>
    <w:rsid w:val="006277B2"/>
    <w:rsid w:val="00632499"/>
    <w:rsid w:val="00647E75"/>
    <w:rsid w:val="006505F6"/>
    <w:rsid w:val="00660FAB"/>
    <w:rsid w:val="0067313F"/>
    <w:rsid w:val="00676E45"/>
    <w:rsid w:val="00682D2D"/>
    <w:rsid w:val="006B0245"/>
    <w:rsid w:val="007041BF"/>
    <w:rsid w:val="00714865"/>
    <w:rsid w:val="00732BE0"/>
    <w:rsid w:val="007331AB"/>
    <w:rsid w:val="00741C12"/>
    <w:rsid w:val="00763336"/>
    <w:rsid w:val="00764107"/>
    <w:rsid w:val="00775CB5"/>
    <w:rsid w:val="007A2D3E"/>
    <w:rsid w:val="007A71C3"/>
    <w:rsid w:val="007B1827"/>
    <w:rsid w:val="007B5D36"/>
    <w:rsid w:val="007B7A19"/>
    <w:rsid w:val="007D3DD9"/>
    <w:rsid w:val="007D45AC"/>
    <w:rsid w:val="007E3843"/>
    <w:rsid w:val="007F2DCA"/>
    <w:rsid w:val="007F563C"/>
    <w:rsid w:val="007F7FE7"/>
    <w:rsid w:val="0080325E"/>
    <w:rsid w:val="0080493D"/>
    <w:rsid w:val="00811344"/>
    <w:rsid w:val="008151E8"/>
    <w:rsid w:val="008205E5"/>
    <w:rsid w:val="00821CB4"/>
    <w:rsid w:val="00827509"/>
    <w:rsid w:val="00827D58"/>
    <w:rsid w:val="008361AA"/>
    <w:rsid w:val="008533B6"/>
    <w:rsid w:val="008548B6"/>
    <w:rsid w:val="0085539B"/>
    <w:rsid w:val="00870092"/>
    <w:rsid w:val="008732A9"/>
    <w:rsid w:val="00890847"/>
    <w:rsid w:val="00897243"/>
    <w:rsid w:val="008B67EA"/>
    <w:rsid w:val="008B742C"/>
    <w:rsid w:val="008C3CFA"/>
    <w:rsid w:val="008C4050"/>
    <w:rsid w:val="008E1E5B"/>
    <w:rsid w:val="008E6F48"/>
    <w:rsid w:val="00917A3A"/>
    <w:rsid w:val="00932C0B"/>
    <w:rsid w:val="009364E6"/>
    <w:rsid w:val="0096013A"/>
    <w:rsid w:val="0097564F"/>
    <w:rsid w:val="0098503F"/>
    <w:rsid w:val="00993108"/>
    <w:rsid w:val="009D7311"/>
    <w:rsid w:val="009D7FB8"/>
    <w:rsid w:val="009E6D44"/>
    <w:rsid w:val="00A16684"/>
    <w:rsid w:val="00A31463"/>
    <w:rsid w:val="00A65A99"/>
    <w:rsid w:val="00A842E8"/>
    <w:rsid w:val="00A911EF"/>
    <w:rsid w:val="00AB729A"/>
    <w:rsid w:val="00AC2168"/>
    <w:rsid w:val="00AC3F49"/>
    <w:rsid w:val="00AE35C4"/>
    <w:rsid w:val="00AF23D8"/>
    <w:rsid w:val="00B129A7"/>
    <w:rsid w:val="00B264D3"/>
    <w:rsid w:val="00B36203"/>
    <w:rsid w:val="00B46E91"/>
    <w:rsid w:val="00B614F8"/>
    <w:rsid w:val="00B62CC5"/>
    <w:rsid w:val="00B734DB"/>
    <w:rsid w:val="00B81147"/>
    <w:rsid w:val="00B84032"/>
    <w:rsid w:val="00B87A54"/>
    <w:rsid w:val="00B91767"/>
    <w:rsid w:val="00BD1F06"/>
    <w:rsid w:val="00BD3865"/>
    <w:rsid w:val="00BE2EA7"/>
    <w:rsid w:val="00BF5E05"/>
    <w:rsid w:val="00C11907"/>
    <w:rsid w:val="00C131DF"/>
    <w:rsid w:val="00C1336F"/>
    <w:rsid w:val="00C230C2"/>
    <w:rsid w:val="00C24814"/>
    <w:rsid w:val="00C42950"/>
    <w:rsid w:val="00C533FA"/>
    <w:rsid w:val="00C612D0"/>
    <w:rsid w:val="00C73787"/>
    <w:rsid w:val="00C835AD"/>
    <w:rsid w:val="00CA18F2"/>
    <w:rsid w:val="00CA6BA9"/>
    <w:rsid w:val="00CA7055"/>
    <w:rsid w:val="00CB6F63"/>
    <w:rsid w:val="00CB75B4"/>
    <w:rsid w:val="00CD2197"/>
    <w:rsid w:val="00CE1B6D"/>
    <w:rsid w:val="00CF3729"/>
    <w:rsid w:val="00CF662A"/>
    <w:rsid w:val="00D05A96"/>
    <w:rsid w:val="00D13348"/>
    <w:rsid w:val="00D1412A"/>
    <w:rsid w:val="00D368B8"/>
    <w:rsid w:val="00D541E0"/>
    <w:rsid w:val="00D63318"/>
    <w:rsid w:val="00D9142A"/>
    <w:rsid w:val="00D925FB"/>
    <w:rsid w:val="00DA1367"/>
    <w:rsid w:val="00DA6D32"/>
    <w:rsid w:val="00DC2709"/>
    <w:rsid w:val="00DD6763"/>
    <w:rsid w:val="00DD7B42"/>
    <w:rsid w:val="00DE66FD"/>
    <w:rsid w:val="00DF701E"/>
    <w:rsid w:val="00E43B49"/>
    <w:rsid w:val="00E772E9"/>
    <w:rsid w:val="00EB6378"/>
    <w:rsid w:val="00EC572B"/>
    <w:rsid w:val="00ED33C7"/>
    <w:rsid w:val="00EE7029"/>
    <w:rsid w:val="00EF5EEE"/>
    <w:rsid w:val="00F168E2"/>
    <w:rsid w:val="00F23A6E"/>
    <w:rsid w:val="00F24EC4"/>
    <w:rsid w:val="00F34434"/>
    <w:rsid w:val="00F531B2"/>
    <w:rsid w:val="00F57F73"/>
    <w:rsid w:val="00F64FDA"/>
    <w:rsid w:val="00F66332"/>
    <w:rsid w:val="00F6705C"/>
    <w:rsid w:val="00F82BF7"/>
    <w:rsid w:val="00F86E8C"/>
    <w:rsid w:val="00F962D1"/>
    <w:rsid w:val="00FA05DB"/>
    <w:rsid w:val="00FA1378"/>
    <w:rsid w:val="00FD094C"/>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897243"/>
    <w:rPr>
      <w:color w:val="0000FF" w:themeColor="hyperlink"/>
      <w:u w:val="single"/>
    </w:rPr>
  </w:style>
  <w:style w:type="paragraph" w:styleId="Pagrindiniotekstotrauka">
    <w:name w:val="Body Text Indent"/>
    <w:basedOn w:val="prastasis"/>
    <w:link w:val="PagrindiniotekstotraukaDiagrama"/>
    <w:semiHidden/>
    <w:unhideWhenUsed/>
    <w:rsid w:val="00763336"/>
    <w:pPr>
      <w:ind w:firstLine="720"/>
      <w:jc w:val="both"/>
    </w:pPr>
  </w:style>
  <w:style w:type="character" w:customStyle="1" w:styleId="PagrindiniotekstotraukaDiagrama">
    <w:name w:val="Pagrindinio teksto įtrauka Diagrama"/>
    <w:basedOn w:val="Numatytasispastraiposriftas"/>
    <w:link w:val="Pagrindiniotekstotrauka"/>
    <w:semiHidden/>
    <w:rsid w:val="00763336"/>
    <w:rPr>
      <w:sz w:val="24"/>
    </w:rPr>
  </w:style>
  <w:style w:type="paragraph" w:styleId="Sraopastraipa">
    <w:name w:val="List Paragraph"/>
    <w:aliases w:val="Bullet EY,List Paragraph2,ERP-List Paragraph,List Paragraph11,Normal bullet 2,Paragraph,List L1"/>
    <w:basedOn w:val="prastasis"/>
    <w:link w:val="SraopastraipaDiagrama"/>
    <w:uiPriority w:val="34"/>
    <w:qFormat/>
    <w:rsid w:val="00102B7E"/>
    <w:pPr>
      <w:ind w:left="720"/>
      <w:contextualSpacing/>
    </w:pPr>
    <w:rPr>
      <w:lang w:eastAsia="en-US"/>
    </w:rPr>
  </w:style>
  <w:style w:type="paragraph" w:styleId="Puslapioinaostekstas">
    <w:name w:val="footnote text"/>
    <w:aliases w:val="Footnote,Fußnote,Footnote Text Char Char,Footnote text,Fodnotetekst Tegn Tegn Tegn Tegn Tegn Tegn Tegn Char Char,Fodnotetekst Tegn Tegn Tegn Tegn Tegn Tegn Tegn Char Char Char Char,Fodnotetekst Tegn Tegn Tegn Tegn Tegn Tegn Tegn"/>
    <w:basedOn w:val="prastasis"/>
    <w:link w:val="PuslapioinaostekstasDiagrama"/>
    <w:uiPriority w:val="99"/>
    <w:qFormat/>
    <w:rsid w:val="00421305"/>
    <w:rPr>
      <w:sz w:val="20"/>
      <w:lang w:eastAsia="en-US"/>
    </w:rPr>
  </w:style>
  <w:style w:type="character" w:customStyle="1" w:styleId="PuslapioinaostekstasDiagrama">
    <w:name w:val="Puslapio išnašos tekstas Diagrama"/>
    <w:aliases w:val="Footnote Diagrama,Fußnote Diagrama,Footnote Text Char Char Diagrama,Footnote text Diagrama,Fodnotetekst Tegn Tegn Tegn Tegn Tegn Tegn Tegn Char Char Diagrama,Fodnotetekst Tegn Tegn Tegn Tegn Tegn Tegn Tegn Diagrama"/>
    <w:basedOn w:val="Numatytasispastraiposriftas"/>
    <w:link w:val="Puslapioinaostekstas"/>
    <w:uiPriority w:val="99"/>
    <w:rsid w:val="00421305"/>
    <w:rPr>
      <w:lang w:eastAsia="en-US"/>
    </w:rPr>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basedOn w:val="Numatytasispastraiposriftas"/>
    <w:link w:val="SUPERSChar"/>
    <w:uiPriority w:val="99"/>
    <w:qFormat/>
    <w:rsid w:val="00421305"/>
    <w:rPr>
      <w:vertAlign w:val="superscript"/>
    </w:rPr>
  </w:style>
  <w:style w:type="paragraph" w:customStyle="1" w:styleId="SUPERSChar">
    <w:name w:val="SUPERS Char"/>
    <w:aliases w:val="EN Footnote Reference Char"/>
    <w:basedOn w:val="prastasis"/>
    <w:link w:val="Puslapioinaosnuoroda"/>
    <w:uiPriority w:val="99"/>
    <w:rsid w:val="00421305"/>
    <w:pPr>
      <w:spacing w:after="160" w:line="240" w:lineRule="exact"/>
    </w:pPr>
    <w:rPr>
      <w:sz w:val="20"/>
      <w:vertAlign w:val="superscript"/>
    </w:rPr>
  </w:style>
  <w:style w:type="paragraph" w:customStyle="1" w:styleId="Tekstas">
    <w:name w:val="Tekstas"/>
    <w:basedOn w:val="prastasis"/>
    <w:link w:val="TekstasDiagrama"/>
    <w:qFormat/>
    <w:rsid w:val="00421305"/>
    <w:pPr>
      <w:ind w:firstLine="720"/>
      <w:jc w:val="both"/>
    </w:pPr>
    <w:rPr>
      <w:szCs w:val="24"/>
      <w:lang w:eastAsia="en-US"/>
    </w:rPr>
  </w:style>
  <w:style w:type="character" w:customStyle="1" w:styleId="TekstasDiagrama">
    <w:name w:val="Tekstas Diagrama"/>
    <w:basedOn w:val="Numatytasispastraiposriftas"/>
    <w:link w:val="Tekstas"/>
    <w:rsid w:val="00421305"/>
    <w:rPr>
      <w:sz w:val="24"/>
      <w:szCs w:val="24"/>
      <w:lang w:eastAsia="en-US"/>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34"/>
    <w:locked/>
    <w:rsid w:val="00B87A54"/>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897243"/>
    <w:rPr>
      <w:color w:val="0000FF" w:themeColor="hyperlink"/>
      <w:u w:val="single"/>
    </w:rPr>
  </w:style>
  <w:style w:type="paragraph" w:styleId="Pagrindiniotekstotrauka">
    <w:name w:val="Body Text Indent"/>
    <w:basedOn w:val="prastasis"/>
    <w:link w:val="PagrindiniotekstotraukaDiagrama"/>
    <w:semiHidden/>
    <w:unhideWhenUsed/>
    <w:rsid w:val="00763336"/>
    <w:pPr>
      <w:ind w:firstLine="720"/>
      <w:jc w:val="both"/>
    </w:pPr>
  </w:style>
  <w:style w:type="character" w:customStyle="1" w:styleId="PagrindiniotekstotraukaDiagrama">
    <w:name w:val="Pagrindinio teksto įtrauka Diagrama"/>
    <w:basedOn w:val="Numatytasispastraiposriftas"/>
    <w:link w:val="Pagrindiniotekstotrauka"/>
    <w:semiHidden/>
    <w:rsid w:val="00763336"/>
    <w:rPr>
      <w:sz w:val="24"/>
    </w:rPr>
  </w:style>
  <w:style w:type="paragraph" w:styleId="Sraopastraipa">
    <w:name w:val="List Paragraph"/>
    <w:aliases w:val="Bullet EY,List Paragraph2,ERP-List Paragraph,List Paragraph11,Normal bullet 2,Paragraph,List L1"/>
    <w:basedOn w:val="prastasis"/>
    <w:link w:val="SraopastraipaDiagrama"/>
    <w:uiPriority w:val="34"/>
    <w:qFormat/>
    <w:rsid w:val="00102B7E"/>
    <w:pPr>
      <w:ind w:left="720"/>
      <w:contextualSpacing/>
    </w:pPr>
    <w:rPr>
      <w:lang w:eastAsia="en-US"/>
    </w:rPr>
  </w:style>
  <w:style w:type="paragraph" w:styleId="Puslapioinaostekstas">
    <w:name w:val="footnote text"/>
    <w:aliases w:val="Footnote,Fußnote,Footnote Text Char Char,Footnote text,Fodnotetekst Tegn Tegn Tegn Tegn Tegn Tegn Tegn Char Char,Fodnotetekst Tegn Tegn Tegn Tegn Tegn Tegn Tegn Char Char Char Char,Fodnotetekst Tegn Tegn Tegn Tegn Tegn Tegn Tegn"/>
    <w:basedOn w:val="prastasis"/>
    <w:link w:val="PuslapioinaostekstasDiagrama"/>
    <w:uiPriority w:val="99"/>
    <w:qFormat/>
    <w:rsid w:val="00421305"/>
    <w:rPr>
      <w:sz w:val="20"/>
      <w:lang w:eastAsia="en-US"/>
    </w:rPr>
  </w:style>
  <w:style w:type="character" w:customStyle="1" w:styleId="PuslapioinaostekstasDiagrama">
    <w:name w:val="Puslapio išnašos tekstas Diagrama"/>
    <w:aliases w:val="Footnote Diagrama,Fußnote Diagrama,Footnote Text Char Char Diagrama,Footnote text Diagrama,Fodnotetekst Tegn Tegn Tegn Tegn Tegn Tegn Tegn Char Char Diagrama,Fodnotetekst Tegn Tegn Tegn Tegn Tegn Tegn Tegn Diagrama"/>
    <w:basedOn w:val="Numatytasispastraiposriftas"/>
    <w:link w:val="Puslapioinaostekstas"/>
    <w:uiPriority w:val="99"/>
    <w:rsid w:val="00421305"/>
    <w:rPr>
      <w:lang w:eastAsia="en-US"/>
    </w:rPr>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basedOn w:val="Numatytasispastraiposriftas"/>
    <w:link w:val="SUPERSChar"/>
    <w:uiPriority w:val="99"/>
    <w:qFormat/>
    <w:rsid w:val="00421305"/>
    <w:rPr>
      <w:vertAlign w:val="superscript"/>
    </w:rPr>
  </w:style>
  <w:style w:type="paragraph" w:customStyle="1" w:styleId="SUPERSChar">
    <w:name w:val="SUPERS Char"/>
    <w:aliases w:val="EN Footnote Reference Char"/>
    <w:basedOn w:val="prastasis"/>
    <w:link w:val="Puslapioinaosnuoroda"/>
    <w:uiPriority w:val="99"/>
    <w:rsid w:val="00421305"/>
    <w:pPr>
      <w:spacing w:after="160" w:line="240" w:lineRule="exact"/>
    </w:pPr>
    <w:rPr>
      <w:sz w:val="20"/>
      <w:vertAlign w:val="superscript"/>
    </w:rPr>
  </w:style>
  <w:style w:type="paragraph" w:customStyle="1" w:styleId="Tekstas">
    <w:name w:val="Tekstas"/>
    <w:basedOn w:val="prastasis"/>
    <w:link w:val="TekstasDiagrama"/>
    <w:qFormat/>
    <w:rsid w:val="00421305"/>
    <w:pPr>
      <w:ind w:firstLine="720"/>
      <w:jc w:val="both"/>
    </w:pPr>
    <w:rPr>
      <w:szCs w:val="24"/>
      <w:lang w:eastAsia="en-US"/>
    </w:rPr>
  </w:style>
  <w:style w:type="character" w:customStyle="1" w:styleId="TekstasDiagrama">
    <w:name w:val="Tekstas Diagrama"/>
    <w:basedOn w:val="Numatytasispastraiposriftas"/>
    <w:link w:val="Tekstas"/>
    <w:rsid w:val="00421305"/>
    <w:rPr>
      <w:sz w:val="24"/>
      <w:szCs w:val="24"/>
      <w:lang w:eastAsia="en-US"/>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34"/>
    <w:locked/>
    <w:rsid w:val="00B87A5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6120">
      <w:bodyDiv w:val="1"/>
      <w:marLeft w:val="0"/>
      <w:marRight w:val="0"/>
      <w:marTop w:val="0"/>
      <w:marBottom w:val="0"/>
      <w:divBdr>
        <w:top w:val="none" w:sz="0" w:space="0" w:color="auto"/>
        <w:left w:val="none" w:sz="0" w:space="0" w:color="auto"/>
        <w:bottom w:val="none" w:sz="0" w:space="0" w:color="auto"/>
        <w:right w:val="none" w:sz="0" w:space="0" w:color="auto"/>
      </w:divBdr>
    </w:div>
    <w:div w:id="445007007">
      <w:bodyDiv w:val="1"/>
      <w:marLeft w:val="0"/>
      <w:marRight w:val="0"/>
      <w:marTop w:val="0"/>
      <w:marBottom w:val="0"/>
      <w:divBdr>
        <w:top w:val="none" w:sz="0" w:space="0" w:color="auto"/>
        <w:left w:val="none" w:sz="0" w:space="0" w:color="auto"/>
        <w:bottom w:val="none" w:sz="0" w:space="0" w:color="auto"/>
        <w:right w:val="none" w:sz="0" w:space="0" w:color="auto"/>
      </w:divBdr>
    </w:div>
    <w:div w:id="1954246191">
      <w:bodyDiv w:val="1"/>
      <w:marLeft w:val="0"/>
      <w:marRight w:val="0"/>
      <w:marTop w:val="0"/>
      <w:marBottom w:val="0"/>
      <w:divBdr>
        <w:top w:val="none" w:sz="0" w:space="0" w:color="auto"/>
        <w:left w:val="none" w:sz="0" w:space="0" w:color="auto"/>
        <w:bottom w:val="none" w:sz="0" w:space="0" w:color="auto"/>
        <w:right w:val="none" w:sz="0" w:space="0" w:color="auto"/>
      </w:divBdr>
    </w:div>
    <w:div w:id="202115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ona.%20mickeniene@finmin.lt"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633F9-BA1E-474F-A524-368ED7E3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2622</TotalTime>
  <Pages>5</Pages>
  <Words>2487</Words>
  <Characters>17099</Characters>
  <Application>Microsoft Office Word</Application>
  <DocSecurity>8</DocSecurity>
  <Lines>142</Lines>
  <Paragraphs>39</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Steponenaitė</dc:creator>
  <cp:keywords/>
  <dc:description/>
  <cp:lastModifiedBy>Audronė Čekanavičienė</cp:lastModifiedBy>
  <cp:revision>46</cp:revision>
  <cp:lastPrinted>2021-05-04T10:11:00Z</cp:lastPrinted>
  <dcterms:created xsi:type="dcterms:W3CDTF">2021-04-08T11:47:00Z</dcterms:created>
  <dcterms:modified xsi:type="dcterms:W3CDTF">2021-05-13T12:41:00Z</dcterms:modified>
</cp:coreProperties>
</file>