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EF" w:rsidRPr="006C02EF" w:rsidRDefault="006C02EF" w:rsidP="006C02EF">
      <w:pPr>
        <w:tabs>
          <w:tab w:val="left" w:pos="284"/>
          <w:tab w:val="left" w:pos="426"/>
          <w:tab w:val="left" w:pos="709"/>
          <w:tab w:val="left" w:pos="993"/>
        </w:tabs>
        <w:ind w:left="426" w:hanging="142"/>
        <w:rPr>
          <w:b/>
          <w:caps/>
        </w:rPr>
      </w:pPr>
      <w:bookmarkStart w:id="0" w:name="_GoBack"/>
      <w:bookmarkEnd w:id="0"/>
      <w:r w:rsidRPr="006C02EF">
        <w:rPr>
          <w:b/>
          <w:caps/>
        </w:rPr>
        <w:t>Lietuvos Respublikos Vyriausybės nutarimo „Dėl Lietuvos Respublikos Vyriausybės 2018 m. liepos 11 d. nutarimo Nr. 679 „Dėl Mokymo lėšų apskaičiavimo, paskirstymo ir panaudojimo tvarkos aprašo patvirtinimo“ pakeitimo“ projekto</w:t>
      </w:r>
    </w:p>
    <w:p w:rsidR="00F36C0F" w:rsidRPr="00EB583D" w:rsidRDefault="00F36C0F" w:rsidP="00BA72C3">
      <w:pPr>
        <w:ind w:left="426" w:hanging="142"/>
        <w:rPr>
          <w:b/>
        </w:rPr>
      </w:pPr>
      <w:r w:rsidRPr="00EB583D">
        <w:rPr>
          <w:b/>
          <w:caps/>
        </w:rPr>
        <w:t>DERINIMO PAŽYMA</w:t>
      </w:r>
    </w:p>
    <w:p w:rsidR="00F36C0F" w:rsidRPr="00EB583D" w:rsidRDefault="00F36C0F" w:rsidP="00BA72C3">
      <w:pPr>
        <w:ind w:left="426" w:hanging="142"/>
        <w:jc w:val="left"/>
        <w:rPr>
          <w:b/>
          <w:caps/>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6096"/>
        <w:gridCol w:w="6805"/>
      </w:tblGrid>
      <w:tr w:rsidR="00F36C0F" w:rsidRPr="00EB583D" w:rsidTr="00D51976">
        <w:trPr>
          <w:trHeight w:val="868"/>
          <w:tblHeader/>
          <w:jc w:val="center"/>
        </w:trPr>
        <w:tc>
          <w:tcPr>
            <w:tcW w:w="746" w:type="pct"/>
            <w:vAlign w:val="center"/>
          </w:tcPr>
          <w:p w:rsidR="00F36C0F" w:rsidRPr="00EB583D" w:rsidRDefault="00F36C0F" w:rsidP="00E56D62">
            <w:pPr>
              <w:rPr>
                <w:b/>
              </w:rPr>
            </w:pPr>
            <w:r>
              <w:rPr>
                <w:b/>
                <w:bCs/>
              </w:rPr>
              <w:t>Institucijos pavadinimas</w:t>
            </w:r>
            <w:r w:rsidRPr="00EB583D">
              <w:rPr>
                <w:b/>
                <w:bCs/>
              </w:rPr>
              <w:t>, rašto data ir numeris</w:t>
            </w:r>
          </w:p>
        </w:tc>
        <w:tc>
          <w:tcPr>
            <w:tcW w:w="2010" w:type="pct"/>
            <w:vAlign w:val="center"/>
          </w:tcPr>
          <w:p w:rsidR="00F36C0F" w:rsidRPr="00EB583D" w:rsidRDefault="00F36C0F" w:rsidP="00E56D62">
            <w:pPr>
              <w:rPr>
                <w:b/>
              </w:rPr>
            </w:pPr>
            <w:r w:rsidRPr="00EB583D">
              <w:rPr>
                <w:b/>
                <w:bCs/>
              </w:rPr>
              <w:t>Pastabos ir pasiūlymai</w:t>
            </w:r>
          </w:p>
        </w:tc>
        <w:tc>
          <w:tcPr>
            <w:tcW w:w="2244" w:type="pct"/>
            <w:vAlign w:val="center"/>
          </w:tcPr>
          <w:p w:rsidR="00F36C0F" w:rsidRPr="0049048C" w:rsidRDefault="00F36C0F" w:rsidP="00E56D62">
            <w:pPr>
              <w:rPr>
                <w:b/>
                <w:bCs/>
              </w:rPr>
            </w:pPr>
            <w:r w:rsidRPr="00EB583D">
              <w:rPr>
                <w:b/>
                <w:bCs/>
              </w:rPr>
              <w:t>Žyma apie pastabas ir pasiūlymus, į kuriuos neatsižvelgta</w:t>
            </w:r>
            <w:r>
              <w:rPr>
                <w:b/>
                <w:bCs/>
              </w:rPr>
              <w:t xml:space="preserve"> arba atsižvelgta iš dalies</w:t>
            </w:r>
          </w:p>
        </w:tc>
      </w:tr>
      <w:tr w:rsidR="0037537C" w:rsidRPr="00EB583D" w:rsidTr="00D51976">
        <w:trPr>
          <w:trHeight w:val="1822"/>
          <w:jc w:val="center"/>
        </w:trPr>
        <w:tc>
          <w:tcPr>
            <w:tcW w:w="746" w:type="pct"/>
            <w:vMerge w:val="restart"/>
          </w:tcPr>
          <w:p w:rsidR="0037537C" w:rsidRDefault="0037537C" w:rsidP="002F68F9">
            <w:pPr>
              <w:jc w:val="left"/>
              <w:rPr>
                <w:bCs/>
              </w:rPr>
            </w:pPr>
            <w:r w:rsidRPr="00037EF9">
              <w:rPr>
                <w:b/>
              </w:rPr>
              <w:t>Teisingumo ministerijos</w:t>
            </w:r>
            <w:r>
              <w:rPr>
                <w:bCs/>
              </w:rPr>
              <w:t xml:space="preserve"> 2020-1</w:t>
            </w:r>
            <w:r w:rsidR="002F68F9">
              <w:rPr>
                <w:bCs/>
              </w:rPr>
              <w:t>2</w:t>
            </w:r>
            <w:r>
              <w:rPr>
                <w:bCs/>
              </w:rPr>
              <w:t>-</w:t>
            </w:r>
            <w:r w:rsidR="002F68F9">
              <w:rPr>
                <w:bCs/>
              </w:rPr>
              <w:t>15</w:t>
            </w:r>
            <w:r>
              <w:rPr>
                <w:bCs/>
              </w:rPr>
              <w:t xml:space="preserve"> raštas Nr. </w:t>
            </w:r>
            <w:r w:rsidR="002F68F9">
              <w:rPr>
                <w:bCs/>
              </w:rPr>
              <w:t>(1.6E)2T-1756</w:t>
            </w:r>
          </w:p>
        </w:tc>
        <w:tc>
          <w:tcPr>
            <w:tcW w:w="2010" w:type="pct"/>
          </w:tcPr>
          <w:p w:rsidR="0037537C" w:rsidRPr="002F68F9" w:rsidRDefault="002F68F9" w:rsidP="002F68F9">
            <w:pPr>
              <w:pStyle w:val="Sraopastraipa"/>
              <w:numPr>
                <w:ilvl w:val="0"/>
                <w:numId w:val="11"/>
              </w:numPr>
              <w:tabs>
                <w:tab w:val="left" w:pos="466"/>
                <w:tab w:val="left" w:pos="750"/>
              </w:tabs>
              <w:suppressAutoHyphens/>
              <w:ind w:left="41" w:firstLine="284"/>
              <w:jc w:val="both"/>
              <w:rPr>
                <w:rFonts w:eastAsia="SimSun"/>
              </w:rPr>
            </w:pPr>
            <w:r w:rsidRPr="005E0E2E">
              <w:rPr>
                <w:rFonts w:eastAsia="SimSun"/>
              </w:rPr>
              <w:t xml:space="preserve">Pagal Mokymo lėšų apskaičiavimo, paskirstymo ir panaudojimo tvarkos aprašo (toliau –Aprašas) 16 p. iš mokymo lėšų, skiriamų pagal Aprašą ikimokykliniam ir priešmokykliniam ugdymui, finansuojamas ne trumpesnis kaip 20 valandų per savaitę mokinių ugdymas. Maksimali finansuotina ugdymo laiko </w:t>
            </w:r>
            <w:r w:rsidRPr="00C37A43">
              <w:rPr>
                <w:rFonts w:eastAsia="SimSun"/>
              </w:rPr>
              <w:t>trukmė nėra nustatyta, todėl auklėtojo veikla prailgintoje grupėje organizuojant mokinių užimtumą galėtų būti laikytina tuo pačiu ikimokykliniu ugdymu, kuris numatytas Aprašo 16 punkte. Siekiant apriboti iš mokymo lėšų finansuojamo ugdymo trukmę, manytina</w:t>
            </w:r>
            <w:r w:rsidRPr="005E0E2E">
              <w:rPr>
                <w:rFonts w:eastAsia="SimSun"/>
              </w:rPr>
              <w:t>, pi</w:t>
            </w:r>
            <w:r>
              <w:rPr>
                <w:rFonts w:eastAsia="SimSun"/>
              </w:rPr>
              <w:t>r</w:t>
            </w:r>
            <w:r w:rsidRPr="005E0E2E">
              <w:rPr>
                <w:rFonts w:eastAsia="SimSun"/>
              </w:rPr>
              <w:t>miausia turėtų būti keičiamas Aprašo 16 p.</w:t>
            </w:r>
          </w:p>
        </w:tc>
        <w:tc>
          <w:tcPr>
            <w:tcW w:w="2244" w:type="pct"/>
            <w:shd w:val="clear" w:color="auto" w:fill="auto"/>
          </w:tcPr>
          <w:p w:rsidR="0026627F" w:rsidRPr="00113A14" w:rsidRDefault="0037537C" w:rsidP="00C37A43">
            <w:pPr>
              <w:jc w:val="both"/>
            </w:pPr>
            <w:r w:rsidRPr="00113A14">
              <w:rPr>
                <w:b/>
                <w:bCs/>
                <w:color w:val="201F1E"/>
                <w:shd w:val="clear" w:color="auto" w:fill="FFFFFF"/>
              </w:rPr>
              <w:t xml:space="preserve">Neatsižvelgta. </w:t>
            </w:r>
            <w:r w:rsidR="005918CB" w:rsidRPr="00157540">
              <w:rPr>
                <w:bCs/>
                <w:color w:val="201F1E"/>
                <w:shd w:val="clear" w:color="auto" w:fill="FFFFFF"/>
              </w:rPr>
              <w:t>Ugdy</w:t>
            </w:r>
            <w:r w:rsidR="005918CB">
              <w:rPr>
                <w:bCs/>
                <w:color w:val="201F1E"/>
                <w:shd w:val="clear" w:color="auto" w:fill="FFFFFF"/>
              </w:rPr>
              <w:t xml:space="preserve">mą pagal ikimokyklinio ir priešmokyklinio ugdymo programą vykdo mokytojai, dirbantys pagal ikimokyklinio ir priešmokyklinio ugdymo programas. Auklėtojų funkcijos yra kitos, todėl Aprašo </w:t>
            </w:r>
            <w:r w:rsidR="005918CB">
              <w:rPr>
                <w:color w:val="201F1E"/>
                <w:shd w:val="clear" w:color="auto" w:fill="FFFFFF"/>
              </w:rPr>
              <w:t xml:space="preserve">16 punkto nuostata su jų darbo užmokesčio finansavimu nėra susijusi. Nustatyti maksimalią finansuotino ugdymo laiko trukmę teikiamu nutarimo projektu nesiekiama, todėl keisti Aprašo </w:t>
            </w:r>
            <w:r w:rsidR="000E742F" w:rsidRPr="00312B8E">
              <w:rPr>
                <w:color w:val="201F1E"/>
                <w:shd w:val="clear" w:color="auto" w:fill="FFFFFF"/>
              </w:rPr>
              <w:t>16 punkt</w:t>
            </w:r>
            <w:r w:rsidR="000E742F">
              <w:rPr>
                <w:color w:val="201F1E"/>
                <w:shd w:val="clear" w:color="auto" w:fill="FFFFFF"/>
              </w:rPr>
              <w:t>ą</w:t>
            </w:r>
            <w:r w:rsidR="005918CB" w:rsidRPr="00312B8E">
              <w:rPr>
                <w:color w:val="201F1E"/>
                <w:shd w:val="clear" w:color="auto" w:fill="FFFFFF"/>
              </w:rPr>
              <w:t xml:space="preserve"> netikslinga</w:t>
            </w:r>
            <w:r w:rsidR="005918CB">
              <w:rPr>
                <w:color w:val="201F1E"/>
                <w:shd w:val="clear" w:color="auto" w:fill="FFFFFF"/>
              </w:rPr>
              <w:t xml:space="preserve">. </w:t>
            </w:r>
          </w:p>
        </w:tc>
      </w:tr>
      <w:tr w:rsidR="0037537C" w:rsidRPr="00EB583D" w:rsidTr="00D51976">
        <w:trPr>
          <w:trHeight w:val="1660"/>
          <w:jc w:val="center"/>
        </w:trPr>
        <w:tc>
          <w:tcPr>
            <w:tcW w:w="746" w:type="pct"/>
            <w:vMerge/>
          </w:tcPr>
          <w:p w:rsidR="0037537C" w:rsidRDefault="0037537C" w:rsidP="00A84C78">
            <w:pPr>
              <w:jc w:val="left"/>
              <w:rPr>
                <w:bCs/>
              </w:rPr>
            </w:pPr>
          </w:p>
        </w:tc>
        <w:tc>
          <w:tcPr>
            <w:tcW w:w="2010" w:type="pct"/>
          </w:tcPr>
          <w:p w:rsidR="002F68F9" w:rsidRPr="002F68F9" w:rsidRDefault="002F68F9" w:rsidP="002F68F9">
            <w:pPr>
              <w:pStyle w:val="Sraopastraipa"/>
              <w:numPr>
                <w:ilvl w:val="0"/>
                <w:numId w:val="11"/>
              </w:numPr>
              <w:tabs>
                <w:tab w:val="left" w:pos="750"/>
              </w:tabs>
              <w:suppressAutoHyphens/>
              <w:ind w:left="41" w:firstLine="284"/>
              <w:jc w:val="both"/>
              <w:rPr>
                <w:rFonts w:eastAsia="SimSun"/>
              </w:rPr>
            </w:pPr>
            <w:r w:rsidRPr="002F68F9">
              <w:rPr>
                <w:rFonts w:eastAsia="SimSun"/>
              </w:rPr>
              <w:t>Atkreipiame dėmesį į tai, kad projektu siūloma Mokymo lėšų apskaičiavimo, paskirstymo ir panaudojimo tvarkos aprašo 17.2 p. formuluotė gali būti suprantama, kaip draudžianti iš viso mokėti darbo užmokesti auklėtojams, net kai jie vykdo veiklą pagal atitinkamas ikimokyklinio ugdymo programas. Kadangi toks tikslas lydraštyje nėra nurodomas, siekiant aiškumo, siūlytume 17.2 p. dėstyti taip:</w:t>
            </w:r>
          </w:p>
          <w:p w:rsidR="0037537C" w:rsidRPr="002F68F9" w:rsidRDefault="002F68F9" w:rsidP="002F68F9">
            <w:pPr>
              <w:ind w:firstLine="325"/>
              <w:jc w:val="both"/>
              <w:rPr>
                <w:color w:val="000000"/>
              </w:rPr>
            </w:pPr>
            <w:r>
              <w:rPr>
                <w:color w:val="000000"/>
              </w:rPr>
              <w:t>„</w:t>
            </w:r>
            <w:r w:rsidRPr="009B0F49">
              <w:rPr>
                <w:color w:val="000000"/>
              </w:rPr>
              <w:t>17.2.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r>
              <w:rPr>
                <w:color w:val="000000"/>
              </w:rPr>
              <w:t xml:space="preserve"> </w:t>
            </w:r>
            <w:r w:rsidRPr="009B0F49">
              <w:rPr>
                <w:b/>
                <w:bCs/>
                <w:color w:val="000000"/>
              </w:rPr>
              <w:t>(įskaitant ir darbo užmokestį auklėtojams teikiant šias paslaugas)</w:t>
            </w:r>
            <w:r w:rsidRPr="009B0F49">
              <w:rPr>
                <w:color w:val="000000"/>
              </w:rPr>
              <w:t>;</w:t>
            </w:r>
            <w:r>
              <w:rPr>
                <w:color w:val="000000"/>
              </w:rPr>
              <w:t>“</w:t>
            </w:r>
          </w:p>
        </w:tc>
        <w:tc>
          <w:tcPr>
            <w:tcW w:w="2244" w:type="pct"/>
            <w:shd w:val="clear" w:color="auto" w:fill="auto"/>
          </w:tcPr>
          <w:p w:rsidR="00037621" w:rsidRDefault="00113A14" w:rsidP="000149F0">
            <w:pPr>
              <w:ind w:firstLine="322"/>
              <w:jc w:val="both"/>
            </w:pPr>
            <w:r w:rsidRPr="00DB02CE">
              <w:rPr>
                <w:b/>
                <w:bCs/>
                <w:color w:val="201F1E"/>
                <w:shd w:val="clear" w:color="auto" w:fill="FFFFFF"/>
              </w:rPr>
              <w:t>Neatsižvelgta.</w:t>
            </w:r>
            <w:r w:rsidR="00A92969">
              <w:rPr>
                <w:color w:val="201F1E"/>
                <w:shd w:val="clear" w:color="auto" w:fill="FFFFFF"/>
              </w:rPr>
              <w:t xml:space="preserve"> </w:t>
            </w:r>
            <w:r w:rsidR="00037621">
              <w:rPr>
                <w:color w:val="201F1E"/>
                <w:shd w:val="clear" w:color="auto" w:fill="FFFFFF"/>
              </w:rPr>
              <w:t>P</w:t>
            </w:r>
            <w:r w:rsidR="00DB02CE" w:rsidRPr="00DB02CE">
              <w:rPr>
                <w:color w:val="201F1E"/>
                <w:shd w:val="clear" w:color="auto" w:fill="FFFFFF"/>
              </w:rPr>
              <w:t xml:space="preserve">agal Lietuvos Respublikos švietimo įstatymą mokytojas </w:t>
            </w:r>
            <w:r w:rsidR="00DB02CE" w:rsidRPr="00DB02CE">
              <w:t>– asmuo, ugdantis mokinius pagal formaliojo arba neformaliojo švietimo programas.</w:t>
            </w:r>
            <w:r w:rsidR="00D9217B">
              <w:t xml:space="preserve"> </w:t>
            </w:r>
            <w:r w:rsidR="009666C6">
              <w:t>Ugdymą pagal ikimokyklinio ugdymo programas vykdo mokytojai. Ikimokyklinio ugdymo įstaigose jie populiariai dažnai vadinami „auklėtojais“, tačiau formaliai yra mokytojai, dirbantys pagal</w:t>
            </w:r>
            <w:r w:rsidR="009666C6" w:rsidRPr="00312B8E">
              <w:t xml:space="preserve"> ikimokyklinio ugdymo program</w:t>
            </w:r>
            <w:r w:rsidR="009666C6">
              <w:t>ą</w:t>
            </w:r>
            <w:r w:rsidR="00213190">
              <w:t xml:space="preserve">. Auklėtojai minėtose įstaigose </w:t>
            </w:r>
            <w:r w:rsidR="009666C6">
              <w:t>atlieka kitas funkcijas nei mokytojai – jie</w:t>
            </w:r>
            <w:r w:rsidR="00213190">
              <w:t xml:space="preserve"> </w:t>
            </w:r>
            <w:r w:rsidR="00844681">
              <w:t xml:space="preserve">tėvų (globėjų, rūpintojų) pageidavimu </w:t>
            </w:r>
            <w:r w:rsidR="00213190">
              <w:t>teikia papildomas paslaugas</w:t>
            </w:r>
            <w:r w:rsidR="009666C6">
              <w:t xml:space="preserve">, taip pat atlieka </w:t>
            </w:r>
            <w:r w:rsidR="009666C6" w:rsidRPr="005D7298">
              <w:rPr>
                <w:color w:val="000000"/>
              </w:rPr>
              <w:t>mokinių, gyvenančių mokyklų bendrabučiuose</w:t>
            </w:r>
            <w:r w:rsidR="009666C6">
              <w:rPr>
                <w:color w:val="000000"/>
              </w:rPr>
              <w:t>,</w:t>
            </w:r>
            <w:r w:rsidR="00213190">
              <w:t xml:space="preserve"> </w:t>
            </w:r>
            <w:r w:rsidR="009666C6" w:rsidRPr="005D7298">
              <w:rPr>
                <w:color w:val="000000"/>
              </w:rPr>
              <w:t>priežiūrą</w:t>
            </w:r>
            <w:r w:rsidR="00844681">
              <w:rPr>
                <w:color w:val="000000"/>
              </w:rPr>
              <w:t>. J</w:t>
            </w:r>
            <w:r w:rsidR="00213190">
              <w:t>ų darbo užmokesčiui mokymo lėšos nėra skiriamos.</w:t>
            </w:r>
            <w:r w:rsidR="009666C6">
              <w:t xml:space="preserve"> Siekdami aiškumo, siūlome Apraše aiškiai įvardyti, kad </w:t>
            </w:r>
            <w:r w:rsidR="00600620">
              <w:t>darbo užmokestis auklėtojams nemokamas iš mokymo lėšų</w:t>
            </w:r>
            <w:r w:rsidR="00844681">
              <w:t xml:space="preserve"> (ne tik tais atvejais, kai jie tėvų (globėjų, rūpintojų) pageidavimu teikia papildomas paslaugas, bet ir tais atvejais, kai jie atlieka kitas pagal auklėtojo pareigybę priskirtas funkcijas, pvz., mokinių priežiūrą bendrabučiuose)</w:t>
            </w:r>
            <w:r w:rsidR="00600620">
              <w:t>.</w:t>
            </w:r>
          </w:p>
          <w:p w:rsidR="00FF7699" w:rsidRPr="00312B8E" w:rsidRDefault="00213190">
            <w:pPr>
              <w:ind w:firstLine="322"/>
              <w:jc w:val="both"/>
            </w:pPr>
            <w:r>
              <w:t xml:space="preserve"> </w:t>
            </w:r>
          </w:p>
        </w:tc>
      </w:tr>
    </w:tbl>
    <w:p w:rsidR="000010EC" w:rsidRDefault="000010EC" w:rsidP="001210F9"/>
    <w:p w:rsidR="0056717A" w:rsidRDefault="001210F9" w:rsidP="001210F9">
      <w:r>
        <w:t>_____________________________</w:t>
      </w:r>
    </w:p>
    <w:sectPr w:rsidR="0056717A" w:rsidSect="00D51976">
      <w:headerReference w:type="even" r:id="rId8"/>
      <w:headerReference w:type="default" r:id="rId9"/>
      <w:pgSz w:w="16838" w:h="11906" w:orient="landscape" w:code="9"/>
      <w:pgMar w:top="284" w:right="1134" w:bottom="142"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EC" w:rsidRDefault="001E1BEC">
      <w:r>
        <w:separator/>
      </w:r>
    </w:p>
  </w:endnote>
  <w:endnote w:type="continuationSeparator" w:id="0">
    <w:p w:rsidR="001E1BEC" w:rsidRDefault="001E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EC" w:rsidRDefault="001E1BEC">
      <w:r>
        <w:separator/>
      </w:r>
    </w:p>
  </w:footnote>
  <w:footnote w:type="continuationSeparator" w:id="0">
    <w:p w:rsidR="001E1BEC" w:rsidRDefault="001E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F36C0F"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1BE5" w:rsidRDefault="001E1B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12" w:rsidRDefault="00F36C0F">
    <w:pPr>
      <w:pStyle w:val="Antrats"/>
    </w:pPr>
    <w:r>
      <w:fldChar w:fldCharType="begin"/>
    </w:r>
    <w:r>
      <w:instrText>PAGE   \* MERGEFORMAT</w:instrText>
    </w:r>
    <w:r>
      <w:fldChar w:fldCharType="separate"/>
    </w:r>
    <w:r w:rsidR="00091130" w:rsidRPr="00091130">
      <w:rPr>
        <w:noProof/>
        <w:lang w:val="lt-LT"/>
      </w:rPr>
      <w:t>2</w:t>
    </w:r>
    <w:r>
      <w:fldChar w:fldCharType="end"/>
    </w:r>
  </w:p>
  <w:p w:rsidR="00251BE5" w:rsidRDefault="001E1B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1A"/>
    <w:multiLevelType w:val="hybridMultilevel"/>
    <w:tmpl w:val="C870FB1C"/>
    <w:lvl w:ilvl="0" w:tplc="04270017">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6307D2"/>
    <w:multiLevelType w:val="hybridMultilevel"/>
    <w:tmpl w:val="2814D3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82591"/>
    <w:multiLevelType w:val="hybridMultilevel"/>
    <w:tmpl w:val="92C2BD54"/>
    <w:lvl w:ilvl="0" w:tplc="EFE0F968">
      <w:start w:val="1"/>
      <w:numFmt w:val="decimal"/>
      <w:lvlText w:val="%1."/>
      <w:lvlJc w:val="left"/>
      <w:pPr>
        <w:ind w:left="360" w:hanging="360"/>
      </w:pPr>
      <w:rPr>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36EE1173"/>
    <w:multiLevelType w:val="hybridMultilevel"/>
    <w:tmpl w:val="48C88236"/>
    <w:lvl w:ilvl="0" w:tplc="3CDA0056">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A8A7AFF"/>
    <w:multiLevelType w:val="hybridMultilevel"/>
    <w:tmpl w:val="1C506AEA"/>
    <w:lvl w:ilvl="0" w:tplc="80F84AF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E254CF6"/>
    <w:multiLevelType w:val="hybridMultilevel"/>
    <w:tmpl w:val="6D445DCE"/>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6" w15:restartNumberingAfterBreak="0">
    <w:nsid w:val="482906C5"/>
    <w:multiLevelType w:val="hybridMultilevel"/>
    <w:tmpl w:val="2B84D43A"/>
    <w:lvl w:ilvl="0" w:tplc="E6A878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85E121A"/>
    <w:multiLevelType w:val="hybridMultilevel"/>
    <w:tmpl w:val="48C88236"/>
    <w:lvl w:ilvl="0" w:tplc="3CDA005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4E1B35F5"/>
    <w:multiLevelType w:val="hybridMultilevel"/>
    <w:tmpl w:val="4C7CC652"/>
    <w:lvl w:ilvl="0" w:tplc="FA3C7E4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15:restartNumberingAfterBreak="0">
    <w:nsid w:val="69D15273"/>
    <w:multiLevelType w:val="hybridMultilevel"/>
    <w:tmpl w:val="CA1C26B8"/>
    <w:lvl w:ilvl="0" w:tplc="ADCAC930">
      <w:start w:val="1"/>
      <w:numFmt w:val="decimal"/>
      <w:lvlText w:val="%1."/>
      <w:lvlJc w:val="left"/>
      <w:pPr>
        <w:ind w:left="1069" w:hanging="36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7D155C81"/>
    <w:multiLevelType w:val="hybridMultilevel"/>
    <w:tmpl w:val="6F826E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6"/>
  </w:num>
  <w:num w:numId="6">
    <w:abstractNumId w:val="1"/>
  </w:num>
  <w:num w:numId="7">
    <w:abstractNumId w:val="10"/>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F"/>
    <w:rsid w:val="000008CB"/>
    <w:rsid w:val="000010EC"/>
    <w:rsid w:val="000149F0"/>
    <w:rsid w:val="00037621"/>
    <w:rsid w:val="00037EF9"/>
    <w:rsid w:val="0004389A"/>
    <w:rsid w:val="00062FE0"/>
    <w:rsid w:val="00091130"/>
    <w:rsid w:val="000E742F"/>
    <w:rsid w:val="000F1C50"/>
    <w:rsid w:val="00113A14"/>
    <w:rsid w:val="0011468E"/>
    <w:rsid w:val="001210F9"/>
    <w:rsid w:val="00145193"/>
    <w:rsid w:val="00150B66"/>
    <w:rsid w:val="00154224"/>
    <w:rsid w:val="00157540"/>
    <w:rsid w:val="00174FA0"/>
    <w:rsid w:val="00187212"/>
    <w:rsid w:val="00194F75"/>
    <w:rsid w:val="001B336A"/>
    <w:rsid w:val="001B368E"/>
    <w:rsid w:val="001E1BEC"/>
    <w:rsid w:val="001F47FD"/>
    <w:rsid w:val="00213190"/>
    <w:rsid w:val="0026627F"/>
    <w:rsid w:val="00270819"/>
    <w:rsid w:val="00274279"/>
    <w:rsid w:val="0029305C"/>
    <w:rsid w:val="002A2268"/>
    <w:rsid w:val="002A53F4"/>
    <w:rsid w:val="002B6297"/>
    <w:rsid w:val="002E0E82"/>
    <w:rsid w:val="002F68F9"/>
    <w:rsid w:val="00312B8E"/>
    <w:rsid w:val="00317F1D"/>
    <w:rsid w:val="0032236D"/>
    <w:rsid w:val="00327729"/>
    <w:rsid w:val="00331A37"/>
    <w:rsid w:val="003416E6"/>
    <w:rsid w:val="00354643"/>
    <w:rsid w:val="00357802"/>
    <w:rsid w:val="00367D8F"/>
    <w:rsid w:val="0037537C"/>
    <w:rsid w:val="0037584D"/>
    <w:rsid w:val="00384A3A"/>
    <w:rsid w:val="003C54FA"/>
    <w:rsid w:val="003C66CE"/>
    <w:rsid w:val="003C6BEC"/>
    <w:rsid w:val="003C7270"/>
    <w:rsid w:val="003E3DC0"/>
    <w:rsid w:val="00426A78"/>
    <w:rsid w:val="00435874"/>
    <w:rsid w:val="0044090C"/>
    <w:rsid w:val="00444265"/>
    <w:rsid w:val="004565B6"/>
    <w:rsid w:val="00466226"/>
    <w:rsid w:val="00471404"/>
    <w:rsid w:val="004A4647"/>
    <w:rsid w:val="004A6EB7"/>
    <w:rsid w:val="004F1C9D"/>
    <w:rsid w:val="004F24F1"/>
    <w:rsid w:val="00546C89"/>
    <w:rsid w:val="00560225"/>
    <w:rsid w:val="0056717A"/>
    <w:rsid w:val="005918CB"/>
    <w:rsid w:val="00597038"/>
    <w:rsid w:val="005B0169"/>
    <w:rsid w:val="005B3111"/>
    <w:rsid w:val="005D3356"/>
    <w:rsid w:val="005D6008"/>
    <w:rsid w:val="005E24D8"/>
    <w:rsid w:val="005E40C4"/>
    <w:rsid w:val="00600620"/>
    <w:rsid w:val="00632666"/>
    <w:rsid w:val="006622C1"/>
    <w:rsid w:val="006C02EF"/>
    <w:rsid w:val="006C2A88"/>
    <w:rsid w:val="006C6E4D"/>
    <w:rsid w:val="006D0B2C"/>
    <w:rsid w:val="00713299"/>
    <w:rsid w:val="0073340F"/>
    <w:rsid w:val="00763704"/>
    <w:rsid w:val="00774FFD"/>
    <w:rsid w:val="00783A83"/>
    <w:rsid w:val="007C7885"/>
    <w:rsid w:val="00803329"/>
    <w:rsid w:val="008314AE"/>
    <w:rsid w:val="008401AD"/>
    <w:rsid w:val="00844681"/>
    <w:rsid w:val="008579BC"/>
    <w:rsid w:val="00860A90"/>
    <w:rsid w:val="00876110"/>
    <w:rsid w:val="008D6140"/>
    <w:rsid w:val="008E2FE8"/>
    <w:rsid w:val="008F1D0D"/>
    <w:rsid w:val="00950941"/>
    <w:rsid w:val="009562AD"/>
    <w:rsid w:val="009666C6"/>
    <w:rsid w:val="00973CB1"/>
    <w:rsid w:val="00994198"/>
    <w:rsid w:val="009A0433"/>
    <w:rsid w:val="009B1C94"/>
    <w:rsid w:val="009C4EF5"/>
    <w:rsid w:val="009D2E44"/>
    <w:rsid w:val="009D58CC"/>
    <w:rsid w:val="009D7B02"/>
    <w:rsid w:val="009E3C5D"/>
    <w:rsid w:val="00A01A62"/>
    <w:rsid w:val="00A07042"/>
    <w:rsid w:val="00A11A2D"/>
    <w:rsid w:val="00A32C4A"/>
    <w:rsid w:val="00A84C78"/>
    <w:rsid w:val="00A92969"/>
    <w:rsid w:val="00AB2E74"/>
    <w:rsid w:val="00AC7F9B"/>
    <w:rsid w:val="00AD6C08"/>
    <w:rsid w:val="00B1754F"/>
    <w:rsid w:val="00B20E3D"/>
    <w:rsid w:val="00B353ED"/>
    <w:rsid w:val="00B53B12"/>
    <w:rsid w:val="00B9278B"/>
    <w:rsid w:val="00B93F65"/>
    <w:rsid w:val="00BA72C3"/>
    <w:rsid w:val="00BE2A4A"/>
    <w:rsid w:val="00BF0B4B"/>
    <w:rsid w:val="00BF2530"/>
    <w:rsid w:val="00C0075A"/>
    <w:rsid w:val="00C072E4"/>
    <w:rsid w:val="00C07C77"/>
    <w:rsid w:val="00C37A43"/>
    <w:rsid w:val="00C5153C"/>
    <w:rsid w:val="00C54904"/>
    <w:rsid w:val="00C8706A"/>
    <w:rsid w:val="00CA2568"/>
    <w:rsid w:val="00CE0550"/>
    <w:rsid w:val="00CE12C5"/>
    <w:rsid w:val="00CF31E1"/>
    <w:rsid w:val="00D13E7F"/>
    <w:rsid w:val="00D41E5B"/>
    <w:rsid w:val="00D51976"/>
    <w:rsid w:val="00D519CF"/>
    <w:rsid w:val="00D77133"/>
    <w:rsid w:val="00D77CAA"/>
    <w:rsid w:val="00D9217B"/>
    <w:rsid w:val="00DB02CE"/>
    <w:rsid w:val="00DC2EF9"/>
    <w:rsid w:val="00DE3C47"/>
    <w:rsid w:val="00DE6A3D"/>
    <w:rsid w:val="00E24E08"/>
    <w:rsid w:val="00E34FFD"/>
    <w:rsid w:val="00E40D39"/>
    <w:rsid w:val="00E73D0C"/>
    <w:rsid w:val="00E770C0"/>
    <w:rsid w:val="00E9747F"/>
    <w:rsid w:val="00EB1134"/>
    <w:rsid w:val="00F166CC"/>
    <w:rsid w:val="00F36C0F"/>
    <w:rsid w:val="00F43CB0"/>
    <w:rsid w:val="00F566AB"/>
    <w:rsid w:val="00F7143D"/>
    <w:rsid w:val="00F84917"/>
    <w:rsid w:val="00F96151"/>
    <w:rsid w:val="00F97B63"/>
    <w:rsid w:val="00FB0098"/>
    <w:rsid w:val="00FB2EC0"/>
    <w:rsid w:val="00FD19F2"/>
    <w:rsid w:val="00FE22C5"/>
    <w:rsid w:val="00FF6C4D"/>
    <w:rsid w:val="00FF76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1257-B9AE-41A7-9470-E4C377DB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C0F"/>
    <w:pPr>
      <w:spacing w:after="0" w:line="240" w:lineRule="auto"/>
      <w:jc w:val="center"/>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F36C0F"/>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F36C0F"/>
    <w:rPr>
      <w:rFonts w:ascii="Times New Roman" w:eastAsia="Times New Roman" w:hAnsi="Times New Roman" w:cs="Times New Roman"/>
      <w:sz w:val="24"/>
      <w:szCs w:val="24"/>
      <w:lang w:val="x-none" w:eastAsia="x-none"/>
    </w:rPr>
  </w:style>
  <w:style w:type="character" w:styleId="Puslapionumeris">
    <w:name w:val="page number"/>
    <w:uiPriority w:val="99"/>
    <w:rsid w:val="00F36C0F"/>
    <w:rPr>
      <w:rFonts w:cs="Times New Roman"/>
    </w:rPr>
  </w:style>
  <w:style w:type="paragraph" w:styleId="Sraopastraipa">
    <w:name w:val="List Paragraph"/>
    <w:basedOn w:val="prastasis"/>
    <w:link w:val="SraopastraipaDiagrama"/>
    <w:uiPriority w:val="34"/>
    <w:qFormat/>
    <w:rsid w:val="00F36C0F"/>
    <w:pPr>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8F1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0D"/>
    <w:rPr>
      <w:rFonts w:ascii="Segoe UI" w:eastAsia="Times New Roman" w:hAnsi="Segoe UI" w:cs="Segoe UI"/>
      <w:sz w:val="18"/>
      <w:szCs w:val="18"/>
      <w:lang w:eastAsia="lt-LT"/>
    </w:rPr>
  </w:style>
  <w:style w:type="character" w:customStyle="1" w:styleId="SraopastraipaDiagrama">
    <w:name w:val="Sąrašo pastraipa Diagrama"/>
    <w:link w:val="Sraopastraipa"/>
    <w:uiPriority w:val="34"/>
    <w:qFormat/>
    <w:rsid w:val="003753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040831">
      <w:bodyDiv w:val="1"/>
      <w:marLeft w:val="0"/>
      <w:marRight w:val="0"/>
      <w:marTop w:val="0"/>
      <w:marBottom w:val="0"/>
      <w:divBdr>
        <w:top w:val="none" w:sz="0" w:space="0" w:color="auto"/>
        <w:left w:val="none" w:sz="0" w:space="0" w:color="auto"/>
        <w:bottom w:val="none" w:sz="0" w:space="0" w:color="auto"/>
        <w:right w:val="none" w:sz="0" w:space="0" w:color="auto"/>
      </w:divBdr>
    </w:div>
    <w:div w:id="1024862026">
      <w:bodyDiv w:val="1"/>
      <w:marLeft w:val="0"/>
      <w:marRight w:val="0"/>
      <w:marTop w:val="0"/>
      <w:marBottom w:val="0"/>
      <w:divBdr>
        <w:top w:val="none" w:sz="0" w:space="0" w:color="auto"/>
        <w:left w:val="none" w:sz="0" w:space="0" w:color="auto"/>
        <w:bottom w:val="none" w:sz="0" w:space="0" w:color="auto"/>
        <w:right w:val="none" w:sz="0" w:space="0" w:color="auto"/>
      </w:divBdr>
    </w:div>
    <w:div w:id="1416320575">
      <w:bodyDiv w:val="1"/>
      <w:marLeft w:val="0"/>
      <w:marRight w:val="0"/>
      <w:marTop w:val="0"/>
      <w:marBottom w:val="0"/>
      <w:divBdr>
        <w:top w:val="none" w:sz="0" w:space="0" w:color="auto"/>
        <w:left w:val="none" w:sz="0" w:space="0" w:color="auto"/>
        <w:bottom w:val="none" w:sz="0" w:space="0" w:color="auto"/>
        <w:right w:val="none" w:sz="0" w:space="0" w:color="auto"/>
      </w:divBdr>
    </w:div>
    <w:div w:id="1478037006">
      <w:bodyDiv w:val="1"/>
      <w:marLeft w:val="0"/>
      <w:marRight w:val="0"/>
      <w:marTop w:val="0"/>
      <w:marBottom w:val="0"/>
      <w:divBdr>
        <w:top w:val="none" w:sz="0" w:space="0" w:color="auto"/>
        <w:left w:val="none" w:sz="0" w:space="0" w:color="auto"/>
        <w:bottom w:val="none" w:sz="0" w:space="0" w:color="auto"/>
        <w:right w:val="none" w:sz="0" w:space="0" w:color="auto"/>
      </w:divBdr>
    </w:div>
    <w:div w:id="17498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E6BA6-20FC-4BBC-A187-08EC70DA24FA}">
  <ds:schemaRefs>
    <ds:schemaRef ds:uri="http://schemas.openxmlformats.org/officeDocument/2006/bibliography"/>
  </ds:schemaRefs>
</ds:datastoreItem>
</file>

<file path=customXml/itemProps2.xml><?xml version="1.0" encoding="utf-8"?>
<ds:datastoreItem xmlns:ds="http://schemas.openxmlformats.org/officeDocument/2006/customXml" ds:itemID="{A6CB1604-4637-4C45-B083-D481B50809AA}"/>
</file>

<file path=customXml/itemProps3.xml><?xml version="1.0" encoding="utf-8"?>
<ds:datastoreItem xmlns:ds="http://schemas.openxmlformats.org/officeDocument/2006/customXml" ds:itemID="{BBCC6243-11A9-4EF6-B9A9-8000EC5D17E0}"/>
</file>

<file path=customXml/itemProps4.xml><?xml version="1.0" encoding="utf-8"?>
<ds:datastoreItem xmlns:ds="http://schemas.openxmlformats.org/officeDocument/2006/customXml" ds:itemID="{B3189872-0B53-4E82-9FB0-46DB1EF5E55B}"/>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1169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a77e9c42-8417-4f6d-a47c-e9b89e5382f5</dc:title>
  <dc:subject/>
  <dc:creator>Bužinskienė Danutė</dc:creator>
  <cp:keywords/>
  <dc:description/>
  <cp:lastModifiedBy>Naudžiuvienė Vitalija</cp:lastModifiedBy>
  <cp:revision>2</cp:revision>
  <cp:lastPrinted>2019-08-21T13:17:00Z</cp:lastPrinted>
  <dcterms:created xsi:type="dcterms:W3CDTF">2020-12-18T11:22:00Z</dcterms:created>
  <dcterms:modified xsi:type="dcterms:W3CDTF">2020-12-18T11:22:00Z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