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F6F53" w14:textId="77777777" w:rsidR="004B217F" w:rsidRPr="00A33567" w:rsidRDefault="004B217F">
      <w:pPr>
        <w:pStyle w:val="BodyA"/>
        <w:rPr>
          <w:rFonts w:ascii="Times New Roman Bold" w:eastAsia="Times New Roman Bold" w:hAnsi="Times New Roman Bold" w:cs="Times New Roman Bold"/>
          <w:lang w:val="lt-LT"/>
        </w:rPr>
      </w:pPr>
    </w:p>
    <w:p w14:paraId="268C8EED" w14:textId="4C6AD9C6" w:rsidR="00F62288" w:rsidRPr="00E455B8" w:rsidRDefault="001C69D0" w:rsidP="00E4021F">
      <w:pPr>
        <w:pStyle w:val="BodyA"/>
        <w:jc w:val="center"/>
        <w:rPr>
          <w:rFonts w:eastAsia="Times New Roman Bold" w:hAnsi="Times New Roman" w:cs="Times New Roman"/>
          <w:b/>
          <w:lang w:val="lt-LT"/>
        </w:rPr>
      </w:pPr>
      <w:r w:rsidRPr="00E455B8">
        <w:rPr>
          <w:rFonts w:hAnsi="Times New Roman" w:cs="Times New Roman"/>
          <w:b/>
          <w:color w:val="auto"/>
          <w:lang w:val="lt-LT"/>
        </w:rPr>
        <w:t xml:space="preserve">Lietuvos Respublikos pozicijos dėl klausimų, svarstomų 2021 m. sausio 18 d. </w:t>
      </w:r>
      <w:r w:rsidRPr="00E455B8">
        <w:rPr>
          <w:rFonts w:hAnsi="Times New Roman" w:cs="Times New Roman"/>
          <w:b/>
          <w:color w:val="auto"/>
          <w:lang w:val="lt-LT"/>
        </w:rPr>
        <w:br/>
        <w:t xml:space="preserve">Europos Sąjungos Bendrųjų reikalų </w:t>
      </w:r>
      <w:r w:rsidR="000F52C6">
        <w:rPr>
          <w:rFonts w:hAnsi="Times New Roman" w:cs="Times New Roman"/>
          <w:b/>
          <w:color w:val="auto"/>
          <w:lang w:val="lt-LT"/>
        </w:rPr>
        <w:t xml:space="preserve">tarybos </w:t>
      </w:r>
      <w:r w:rsidRPr="00E455B8">
        <w:rPr>
          <w:rFonts w:hAnsi="Times New Roman" w:cs="Times New Roman"/>
          <w:b/>
          <w:color w:val="auto"/>
          <w:lang w:val="lt-LT"/>
        </w:rPr>
        <w:t>ministrų vaizdo konferencijoje</w:t>
      </w:r>
    </w:p>
    <w:p w14:paraId="7953DC42" w14:textId="77777777" w:rsidR="004B217F" w:rsidRDefault="004B217F">
      <w:pPr>
        <w:pStyle w:val="BodyA"/>
        <w:rPr>
          <w:rFonts w:ascii="Times New Roman Bold" w:eastAsia="Times New Roman Bold" w:hAnsi="Times New Roman Bold" w:cs="Times New Roman Bold"/>
          <w:lang w:val="lt-LT"/>
        </w:rPr>
      </w:pPr>
    </w:p>
    <w:p w14:paraId="58E0CB87" w14:textId="14067723" w:rsidR="001C69D0" w:rsidRPr="001C69D0" w:rsidRDefault="001C69D0" w:rsidP="001C69D0">
      <w:pPr>
        <w:pStyle w:val="BodyA"/>
        <w:jc w:val="both"/>
        <w:rPr>
          <w:rFonts w:eastAsia="Times New Roman Bold" w:hAnsi="Times New Roman" w:cs="Times New Roman Bold"/>
          <w:lang w:val="lt-LT"/>
        </w:rPr>
      </w:pPr>
      <w:r w:rsidRPr="001C69D0">
        <w:rPr>
          <w:rFonts w:eastAsia="Times New Roman Bold" w:hAnsi="Times New Roman" w:cs="Times New Roman Bold"/>
          <w:lang w:val="lt-LT"/>
        </w:rPr>
        <w:t>2021 m. sausio 18 d. ES Bendrųjų reikalų tarybos ministrų vaizdo konferencijoje</w:t>
      </w:r>
      <w:r w:rsidR="00CD0734">
        <w:rPr>
          <w:rFonts w:eastAsia="Times New Roman Bold" w:hAnsi="Times New Roman" w:cs="Times New Roman Bold"/>
          <w:lang w:val="lt-LT"/>
        </w:rPr>
        <w:t xml:space="preserve"> (BRT)</w:t>
      </w:r>
      <w:r w:rsidRPr="001C69D0">
        <w:rPr>
          <w:rFonts w:eastAsia="Times New Roman Bold" w:hAnsi="Times New Roman" w:cs="Times New Roman Bold"/>
          <w:lang w:val="lt-LT"/>
        </w:rPr>
        <w:t xml:space="preserve"> bus pristatomi 2021 m. pirmojo pusmečio Portugalijos pirmininkavimo ES Tarybai prioritetai. P</w:t>
      </w:r>
      <w:r>
        <w:rPr>
          <w:rFonts w:eastAsia="Times New Roman Bold" w:hAnsi="Times New Roman" w:cs="Times New Roman Bold"/>
          <w:lang w:val="lt-LT"/>
        </w:rPr>
        <w:t>osėdyje ministrai bus informuoti</w:t>
      </w:r>
      <w:r w:rsidRPr="001C69D0">
        <w:rPr>
          <w:rFonts w:eastAsia="Times New Roman Bold" w:hAnsi="Times New Roman" w:cs="Times New Roman Bold"/>
          <w:lang w:val="lt-LT"/>
        </w:rPr>
        <w:t xml:space="preserve"> apie tolesnius žingsnius organizuojant Konferenciją dėl Europos ateities. Taip pat ministrai apsikeis nuomonėmis dėl koordinuoto ES atsako </w:t>
      </w:r>
      <w:r w:rsidR="000F52C6">
        <w:rPr>
          <w:rFonts w:eastAsia="Times New Roman Bold" w:hAnsi="Times New Roman" w:cs="Times New Roman Bold"/>
          <w:lang w:val="lt-LT"/>
        </w:rPr>
        <w:t xml:space="preserve">į </w:t>
      </w:r>
      <w:r w:rsidRPr="001C69D0">
        <w:rPr>
          <w:rFonts w:eastAsia="Times New Roman Bold" w:hAnsi="Times New Roman" w:cs="Times New Roman Bold"/>
          <w:lang w:val="lt-LT"/>
        </w:rPr>
        <w:t>COVID-19 pandemiją.</w:t>
      </w:r>
    </w:p>
    <w:p w14:paraId="269AF02E" w14:textId="77777777" w:rsidR="001C69D0" w:rsidRPr="00A33567" w:rsidRDefault="001C69D0">
      <w:pPr>
        <w:pStyle w:val="BodyA"/>
        <w:rPr>
          <w:rFonts w:ascii="Times New Roman Bold" w:eastAsia="Times New Roman Bold" w:hAnsi="Times New Roman Bold" w:cs="Times New Roman Bold"/>
          <w:lang w:val="lt-LT"/>
        </w:rPr>
      </w:pPr>
    </w:p>
    <w:p w14:paraId="2C26AF79" w14:textId="77777777" w:rsidR="00C842BA" w:rsidRDefault="00C842BA" w:rsidP="00ED0AAA">
      <w:pPr>
        <w:pStyle w:val="BodyA"/>
        <w:rPr>
          <w:rFonts w:ascii="Times New Roman Bold"/>
          <w:caps/>
          <w:lang w:val="lt-LT"/>
        </w:rPr>
      </w:pPr>
    </w:p>
    <w:tbl>
      <w:tblPr>
        <w:tblStyle w:val="TableGrid"/>
        <w:tblW w:w="0" w:type="auto"/>
        <w:tblLook w:val="04A0" w:firstRow="1" w:lastRow="0" w:firstColumn="1" w:lastColumn="0" w:noHBand="0" w:noVBand="1"/>
      </w:tblPr>
      <w:tblGrid>
        <w:gridCol w:w="9055"/>
      </w:tblGrid>
      <w:tr w:rsidR="00E455B8" w:rsidRPr="001C69AC" w14:paraId="3814057B" w14:textId="77777777" w:rsidTr="00E455B8">
        <w:tc>
          <w:tcPr>
            <w:tcW w:w="9055" w:type="dxa"/>
          </w:tcPr>
          <w:p w14:paraId="75F334C7" w14:textId="1657DA06" w:rsidR="00E455B8" w:rsidRPr="000F52C6" w:rsidRDefault="000F52C6" w:rsidP="00E455B8">
            <w:pPr>
              <w:pStyle w:val="Body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b/>
                <w:lang w:val="lt-LT"/>
              </w:rPr>
            </w:pPr>
            <w:r w:rsidRPr="000F52C6">
              <w:rPr>
                <w:rFonts w:hAnsi="Times New Roman" w:cs="Times New Roman"/>
                <w:b/>
                <w:lang w:val="lt-LT"/>
              </w:rPr>
              <w:t xml:space="preserve">Portugalijos pirmininkavimo ES Tarybai prioritetų </w:t>
            </w:r>
            <w:r w:rsidR="00E455B8" w:rsidRPr="000F52C6">
              <w:rPr>
                <w:rFonts w:hAnsi="Times New Roman" w:cs="Times New Roman"/>
                <w:b/>
                <w:lang w:val="lt-LT"/>
              </w:rPr>
              <w:t>pristatymas</w:t>
            </w:r>
          </w:p>
          <w:p w14:paraId="463E2568" w14:textId="77777777" w:rsidR="00E455B8" w:rsidRDefault="00E455B8" w:rsidP="00E455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caps/>
                <w:lang w:val="lt-LT"/>
              </w:rPr>
            </w:pPr>
          </w:p>
          <w:p w14:paraId="4FF52699" w14:textId="45A7BAD3" w:rsidR="00E455B8" w:rsidRDefault="00E455B8" w:rsidP="00E455B8">
            <w:pPr>
              <w:ind w:firstLine="607"/>
              <w:jc w:val="both"/>
              <w:rPr>
                <w:lang w:val="lt-LT"/>
              </w:rPr>
            </w:pPr>
            <w:r w:rsidRPr="00E455B8">
              <w:rPr>
                <w:b/>
                <w:u w:val="single"/>
                <w:lang w:val="lt-LT"/>
              </w:rPr>
              <w:t>Klausimo esmė.</w:t>
            </w:r>
            <w:r>
              <w:rPr>
                <w:lang w:val="lt-LT"/>
              </w:rPr>
              <w:t xml:space="preserve"> BRT metu pirmininkavimą pradėjusi Portugalija pristatys ministrams savo pirmininkavimo prioritetus. </w:t>
            </w:r>
          </w:p>
          <w:p w14:paraId="0AD693B4" w14:textId="735ADE95" w:rsidR="00E455B8" w:rsidRDefault="00E455B8" w:rsidP="00E455B8">
            <w:pPr>
              <w:ind w:firstLine="607"/>
              <w:jc w:val="both"/>
              <w:rPr>
                <w:lang w:val="lt-LT"/>
              </w:rPr>
            </w:pPr>
            <w:r w:rsidRPr="00326565">
              <w:rPr>
                <w:lang w:val="lt-LT"/>
              </w:rPr>
              <w:t>2021 m. sausio 1 d. išplatinta Portugalijos pirmininkavimo ES Tarybai programa, kurios šūkis – „</w:t>
            </w:r>
            <w:r w:rsidRPr="003360DF">
              <w:rPr>
                <w:b/>
                <w:lang w:val="lt-LT"/>
              </w:rPr>
              <w:t>Laikas įgyvendinti</w:t>
            </w:r>
            <w:r w:rsidRPr="00326565">
              <w:rPr>
                <w:lang w:val="lt-LT"/>
              </w:rPr>
              <w:t xml:space="preserve">: už teisingą, žalią ir skaitmeninį atsigavimą“. Portugalija pabrėžia, kad </w:t>
            </w:r>
            <w:r>
              <w:rPr>
                <w:lang w:val="lt-LT"/>
              </w:rPr>
              <w:t>ES</w:t>
            </w:r>
            <w:r w:rsidRPr="00326565">
              <w:rPr>
                <w:lang w:val="lt-LT"/>
              </w:rPr>
              <w:t xml:space="preserve"> turi ir viziją, ir programą, ir </w:t>
            </w:r>
            <w:r w:rsidR="000F52C6">
              <w:rPr>
                <w:lang w:val="lt-LT"/>
              </w:rPr>
              <w:t xml:space="preserve">finansines priemones pažangai, todėl būtina </w:t>
            </w:r>
            <w:r w:rsidRPr="00326565">
              <w:rPr>
                <w:lang w:val="lt-LT"/>
              </w:rPr>
              <w:t>jomis pasinaudoti ir įgyvend</w:t>
            </w:r>
            <w:r>
              <w:rPr>
                <w:lang w:val="lt-LT"/>
              </w:rPr>
              <w:t>inti ES darbotvarkę.</w:t>
            </w:r>
          </w:p>
          <w:p w14:paraId="64ED04E1" w14:textId="77777777" w:rsidR="00E455B8" w:rsidRDefault="00E455B8" w:rsidP="00E455B8">
            <w:pPr>
              <w:jc w:val="both"/>
              <w:rPr>
                <w:lang w:val="lt-LT"/>
              </w:rPr>
            </w:pPr>
          </w:p>
          <w:p w14:paraId="73E1172F" w14:textId="77777777" w:rsidR="00E455B8" w:rsidRPr="00326565" w:rsidRDefault="00E455B8" w:rsidP="00E455B8">
            <w:pPr>
              <w:jc w:val="both"/>
              <w:rPr>
                <w:lang w:val="lt-LT"/>
              </w:rPr>
            </w:pPr>
            <w:r w:rsidRPr="00326565">
              <w:rPr>
                <w:lang w:val="lt-LT"/>
              </w:rPr>
              <w:t xml:space="preserve">Portugalija savo pirmininkavimui kelia </w:t>
            </w:r>
            <w:r w:rsidRPr="003360DF">
              <w:rPr>
                <w:b/>
                <w:lang w:val="lt-LT"/>
              </w:rPr>
              <w:t>3 pagrindinius tikslus</w:t>
            </w:r>
            <w:r w:rsidRPr="00326565">
              <w:rPr>
                <w:lang w:val="lt-LT"/>
              </w:rPr>
              <w:t>:</w:t>
            </w:r>
          </w:p>
          <w:p w14:paraId="1D43520C" w14:textId="1BD95030" w:rsidR="00E455B8" w:rsidRPr="00326565" w:rsidRDefault="00E455B8" w:rsidP="00E455B8">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hAnsi="Times New Roman" w:cs="Times New Roman"/>
                <w:lang w:val="lt-LT"/>
              </w:rPr>
            </w:pPr>
            <w:r>
              <w:rPr>
                <w:rFonts w:hAnsi="Times New Roman" w:cs="Times New Roman"/>
                <w:b/>
                <w:lang w:val="lt-LT"/>
              </w:rPr>
              <w:t>G</w:t>
            </w:r>
            <w:r w:rsidRPr="003360DF">
              <w:rPr>
                <w:rFonts w:hAnsi="Times New Roman" w:cs="Times New Roman"/>
                <w:b/>
                <w:lang w:val="lt-LT"/>
              </w:rPr>
              <w:t>aivinimo</w:t>
            </w:r>
            <w:r w:rsidRPr="00326565">
              <w:rPr>
                <w:rFonts w:hAnsi="Times New Roman" w:cs="Times New Roman"/>
                <w:lang w:val="lt-LT"/>
              </w:rPr>
              <w:t xml:space="preserve"> skatinimas, </w:t>
            </w:r>
            <w:r>
              <w:rPr>
                <w:rFonts w:hAnsi="Times New Roman" w:cs="Times New Roman"/>
                <w:lang w:val="lt-LT"/>
              </w:rPr>
              <w:t>kartu su žaliuoju ir skaitmeniniu perėjimu. P</w:t>
            </w:r>
            <w:r w:rsidRPr="00326565">
              <w:rPr>
                <w:rFonts w:hAnsi="Times New Roman" w:cs="Times New Roman"/>
                <w:lang w:val="lt-LT"/>
              </w:rPr>
              <w:t>agr</w:t>
            </w:r>
            <w:r>
              <w:rPr>
                <w:rFonts w:hAnsi="Times New Roman" w:cs="Times New Roman"/>
                <w:lang w:val="lt-LT"/>
              </w:rPr>
              <w:t>indinis dėmesys bus skirtas ES D</w:t>
            </w:r>
            <w:r w:rsidRPr="00326565">
              <w:rPr>
                <w:rFonts w:hAnsi="Times New Roman" w:cs="Times New Roman"/>
                <w:lang w:val="lt-LT"/>
              </w:rPr>
              <w:t>augi</w:t>
            </w:r>
            <w:r>
              <w:rPr>
                <w:rFonts w:hAnsi="Times New Roman" w:cs="Times New Roman"/>
                <w:lang w:val="lt-LT"/>
              </w:rPr>
              <w:t>ametės finansinės programos ir A</w:t>
            </w:r>
            <w:r w:rsidRPr="00326565">
              <w:rPr>
                <w:rFonts w:hAnsi="Times New Roman" w:cs="Times New Roman"/>
                <w:lang w:val="lt-LT"/>
              </w:rPr>
              <w:t xml:space="preserve">tsigavimo fondo įgyvendinimui, ypač nacionalinių atsigavimo planų patvirtinimui ir įgyvendinimui. Bus teikiamas prioritetas Europos žaliojo kurso įsipareigojimų įgyvendinimui (emisijų mažinimas, energetinis perėjimas, tvarus judumas, vandenynų ekonomika). </w:t>
            </w:r>
          </w:p>
          <w:p w14:paraId="3AAF6675" w14:textId="0A1CA9CA" w:rsidR="00E455B8" w:rsidRPr="00326565" w:rsidRDefault="00E455B8" w:rsidP="00E455B8">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hAnsi="Times New Roman" w:cs="Times New Roman"/>
                <w:lang w:val="lt-LT"/>
              </w:rPr>
            </w:pPr>
            <w:r w:rsidRPr="003360DF">
              <w:rPr>
                <w:rFonts w:hAnsi="Times New Roman" w:cs="Times New Roman"/>
                <w:b/>
                <w:lang w:val="lt-LT"/>
              </w:rPr>
              <w:t xml:space="preserve">Socialinio </w:t>
            </w:r>
            <w:r w:rsidRPr="00326565">
              <w:rPr>
                <w:rFonts w:hAnsi="Times New Roman" w:cs="Times New Roman"/>
                <w:lang w:val="lt-LT"/>
              </w:rPr>
              <w:t>ramsčio įsipareigojimų įgyvendinimas, tuo užtikrinant teisingą ir įtraukų žaliąjį ir skaitmeninį perėjimą</w:t>
            </w:r>
            <w:r>
              <w:rPr>
                <w:rFonts w:hAnsi="Times New Roman" w:cs="Times New Roman"/>
                <w:lang w:val="lt-LT"/>
              </w:rPr>
              <w:t xml:space="preserve">. </w:t>
            </w:r>
            <w:r w:rsidRPr="00326565">
              <w:rPr>
                <w:rFonts w:hAnsi="Times New Roman" w:cs="Times New Roman"/>
                <w:lang w:val="lt-LT"/>
              </w:rPr>
              <w:t xml:space="preserve">Portugalija sieks stiprinti pasitikėjimą Europos socialiniu modeliu, ir stiprinti </w:t>
            </w:r>
            <w:r>
              <w:rPr>
                <w:rFonts w:hAnsi="Times New Roman" w:cs="Times New Roman"/>
                <w:lang w:val="lt-LT"/>
              </w:rPr>
              <w:t>ES</w:t>
            </w:r>
            <w:r w:rsidRPr="00326565">
              <w:rPr>
                <w:rFonts w:hAnsi="Times New Roman" w:cs="Times New Roman"/>
                <w:lang w:val="lt-LT"/>
              </w:rPr>
              <w:t>, paremtą solidarumu, konvergencija ir sanglauda, galinčią imtis koordinuotų veiksmų išėjimui iš krizės. Bus teikiamas prioritet</w:t>
            </w:r>
            <w:r>
              <w:rPr>
                <w:rFonts w:hAnsi="Times New Roman" w:cs="Times New Roman"/>
                <w:lang w:val="lt-LT"/>
              </w:rPr>
              <w:t>as krizės socialiniam matmeniui</w:t>
            </w:r>
            <w:r w:rsidRPr="00326565">
              <w:rPr>
                <w:rFonts w:hAnsi="Times New Roman" w:cs="Times New Roman"/>
                <w:lang w:val="lt-LT"/>
              </w:rPr>
              <w:t xml:space="preserve"> ir atsakui į klimato, skaitmeninės ir demografinės kaitos sukeliamus pokyčius. Portugalija skirs dėmesį Europos sveikatos sąjungos kūrimui. </w:t>
            </w:r>
          </w:p>
          <w:p w14:paraId="75FA7702" w14:textId="77777777" w:rsidR="00E455B8" w:rsidRDefault="00E455B8" w:rsidP="00E455B8">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hAnsi="Times New Roman" w:cs="Times New Roman"/>
                <w:lang w:val="lt-LT"/>
              </w:rPr>
            </w:pPr>
            <w:r w:rsidRPr="003360DF">
              <w:rPr>
                <w:rFonts w:hAnsi="Times New Roman" w:cs="Times New Roman"/>
                <w:b/>
                <w:lang w:val="lt-LT"/>
              </w:rPr>
              <w:t>Atviros</w:t>
            </w:r>
            <w:r w:rsidRPr="00326565">
              <w:rPr>
                <w:rFonts w:hAnsi="Times New Roman" w:cs="Times New Roman"/>
                <w:lang w:val="lt-LT"/>
              </w:rPr>
              <w:t xml:space="preserve"> pasauliui</w:t>
            </w:r>
            <w:r>
              <w:rPr>
                <w:rFonts w:hAnsi="Times New Roman" w:cs="Times New Roman"/>
                <w:lang w:val="lt-LT"/>
              </w:rPr>
              <w:t xml:space="preserve"> </w:t>
            </w:r>
            <w:r w:rsidRPr="00326565">
              <w:rPr>
                <w:rFonts w:hAnsi="Times New Roman" w:cs="Times New Roman"/>
                <w:lang w:val="lt-LT"/>
              </w:rPr>
              <w:t>Europos strate</w:t>
            </w:r>
            <w:r>
              <w:rPr>
                <w:rFonts w:hAnsi="Times New Roman" w:cs="Times New Roman"/>
                <w:lang w:val="lt-LT"/>
              </w:rPr>
              <w:t xml:space="preserve">ginės autonomijos stiprinimas. </w:t>
            </w:r>
            <w:r w:rsidRPr="00326565">
              <w:rPr>
                <w:rFonts w:hAnsi="Times New Roman" w:cs="Times New Roman"/>
                <w:lang w:val="lt-LT"/>
              </w:rPr>
              <w:t xml:space="preserve">Portugalija sieks toliau kurti atvirą vidaus rinką su aukštu socialinių, darbo, aplinkosaugos ir saugos standartų lygmeniu. Pabrėžiamas dinamiškos pramonės strategijos, smulkiųjų ir vidutinių įmonių, mokslinių tyrimų vaidmuo. Portugalija sieks stiprinti ES vaidmenį pasaulyje, ypač ES kaimynystėje, Afrikos, Indijos ir Ramiojo vandenynų regione, transatlantinėje erdvėje. </w:t>
            </w:r>
          </w:p>
          <w:p w14:paraId="24B48622" w14:textId="77777777" w:rsidR="00E455B8" w:rsidRDefault="00E455B8" w:rsidP="00E455B8">
            <w:pPr>
              <w:jc w:val="both"/>
              <w:rPr>
                <w:b/>
                <w:lang w:val="lt-LT"/>
              </w:rPr>
            </w:pPr>
          </w:p>
          <w:p w14:paraId="4364AC9E" w14:textId="77777777" w:rsidR="000F52C6" w:rsidRDefault="00E455B8" w:rsidP="000F52C6">
            <w:pPr>
              <w:ind w:firstLine="607"/>
              <w:jc w:val="both"/>
              <w:rPr>
                <w:lang w:val="lt-LT"/>
              </w:rPr>
            </w:pPr>
            <w:r w:rsidRPr="00E455B8">
              <w:rPr>
                <w:b/>
                <w:u w:val="single"/>
                <w:lang w:val="lt-LT"/>
              </w:rPr>
              <w:t>Lietuvos pozicija.</w:t>
            </w:r>
            <w:r>
              <w:rPr>
                <w:lang w:val="lt-LT"/>
              </w:rPr>
              <w:t xml:space="preserve"> </w:t>
            </w:r>
            <w:r w:rsidR="000F52C6">
              <w:rPr>
                <w:lang w:val="lt-LT"/>
              </w:rPr>
              <w:t>P</w:t>
            </w:r>
            <w:r>
              <w:rPr>
                <w:lang w:val="lt-LT"/>
              </w:rPr>
              <w:t xml:space="preserve">alankiai vertiname pirmininkaujančios Portugalijos išsikeltus prioritetus, kuriuose daugelis klausimų atliepia ir Lietuvai svarbius klausimus – sprendimų dėl Daugiametės finansinės programos ir Atsigavimo fondo įgyvendinimas, koordinuotas ES atsakas į pandemiją, klimato sprendimų tinkamas įgyvendinimas, vidaus rinkos stiprinimas, visapusiški santykiai su Jungtine Karalyste, kova prieš dezinformaciją bei atsparumo ir demokratijos stiprinimas, dėmesys socialiniams klausimams, </w:t>
            </w:r>
            <w:r w:rsidR="000F52C6">
              <w:rPr>
                <w:lang w:val="lt-LT"/>
              </w:rPr>
              <w:t xml:space="preserve">konstruktyvus teisės viršenybės dialogas, </w:t>
            </w:r>
            <w:r>
              <w:rPr>
                <w:lang w:val="lt-LT"/>
              </w:rPr>
              <w:t>transatlantinių santykių stiprinimas.</w:t>
            </w:r>
          </w:p>
          <w:p w14:paraId="29E8EF3D" w14:textId="3EB04D43" w:rsidR="00E455B8" w:rsidRDefault="000F52C6" w:rsidP="000F52C6">
            <w:pPr>
              <w:ind w:firstLine="607"/>
              <w:jc w:val="both"/>
              <w:rPr>
                <w:lang w:val="lt-LT"/>
              </w:rPr>
            </w:pPr>
            <w:r>
              <w:rPr>
                <w:lang w:val="lt-LT"/>
              </w:rPr>
              <w:t>I</w:t>
            </w:r>
            <w:r w:rsidR="00E455B8">
              <w:rPr>
                <w:lang w:val="lt-LT"/>
              </w:rPr>
              <w:t>šorės santykių srityje didži</w:t>
            </w:r>
            <w:r>
              <w:rPr>
                <w:lang w:val="lt-LT"/>
              </w:rPr>
              <w:t>ausias Portugalijos dėmesys skiriamas</w:t>
            </w:r>
            <w:r w:rsidR="00E455B8">
              <w:rPr>
                <w:lang w:val="lt-LT"/>
              </w:rPr>
              <w:t xml:space="preserve"> Afrikai, Pietų Kaimynystei bei Indijai, todėl Lietuvai labai svarbu</w:t>
            </w:r>
            <w:r>
              <w:rPr>
                <w:lang w:val="lt-LT"/>
              </w:rPr>
              <w:t>s</w:t>
            </w:r>
            <w:r w:rsidR="00E455B8">
              <w:rPr>
                <w:lang w:val="lt-LT"/>
              </w:rPr>
              <w:t xml:space="preserve"> aktyvi ES politika </w:t>
            </w:r>
            <w:r>
              <w:rPr>
                <w:lang w:val="lt-LT"/>
              </w:rPr>
              <w:t>dėmesys Rytų kaimynystei</w:t>
            </w:r>
            <w:r w:rsidR="00E455B8">
              <w:rPr>
                <w:lang w:val="lt-LT"/>
              </w:rPr>
              <w:t xml:space="preserve"> (Portugalijos pirmininkavimo metu planuojamas Rytų Partnerystės viršūnių susitikimas).   </w:t>
            </w:r>
          </w:p>
          <w:p w14:paraId="21363821" w14:textId="2540AF90" w:rsidR="00E455B8" w:rsidRPr="006A031C" w:rsidRDefault="000F52C6" w:rsidP="006A031C">
            <w:pPr>
              <w:ind w:firstLine="607"/>
              <w:jc w:val="both"/>
              <w:rPr>
                <w:lang w:val="lt-LT"/>
              </w:rPr>
            </w:pPr>
            <w:r>
              <w:rPr>
                <w:lang w:val="lt-LT"/>
              </w:rPr>
              <w:lastRenderedPageBreak/>
              <w:t xml:space="preserve">Kartu </w:t>
            </w:r>
            <w:r w:rsidR="00E455B8" w:rsidRPr="005746C9">
              <w:rPr>
                <w:lang w:val="lt-LT"/>
              </w:rPr>
              <w:t>Lietuvai svarbu, kad būtų nedelsia</w:t>
            </w:r>
            <w:r w:rsidR="00E455B8">
              <w:rPr>
                <w:lang w:val="lt-LT"/>
              </w:rPr>
              <w:t>nt vykdomas 2020 m. gruodžio 10–</w:t>
            </w:r>
            <w:r w:rsidR="00E455B8" w:rsidRPr="005746C9">
              <w:rPr>
                <w:lang w:val="lt-LT"/>
              </w:rPr>
              <w:t xml:space="preserve">11 d. EVT išvadose įrašytas pavedimas </w:t>
            </w:r>
            <w:r w:rsidR="00E455B8">
              <w:rPr>
                <w:lang w:val="lt-LT"/>
              </w:rPr>
              <w:t>EK</w:t>
            </w:r>
            <w:r w:rsidR="00E455B8" w:rsidRPr="005746C9">
              <w:rPr>
                <w:lang w:val="lt-LT"/>
              </w:rPr>
              <w:t xml:space="preserve"> išnagrinėti galimas priemones kaip riboti trečiųjų šalių </w:t>
            </w:r>
            <w:r w:rsidR="00E455B8">
              <w:rPr>
                <w:lang w:val="lt-LT"/>
              </w:rPr>
              <w:t>komercinę elektrą iš nesaugių Atominių elektrinių.</w:t>
            </w:r>
          </w:p>
        </w:tc>
      </w:tr>
    </w:tbl>
    <w:p w14:paraId="058B56C3" w14:textId="77777777" w:rsidR="00E455B8" w:rsidRDefault="00E455B8" w:rsidP="00ED0AAA">
      <w:pPr>
        <w:pStyle w:val="BodyA"/>
        <w:rPr>
          <w:rFonts w:ascii="Times New Roman Bold"/>
          <w:caps/>
          <w:lang w:val="lt-LT"/>
        </w:rPr>
      </w:pPr>
    </w:p>
    <w:tbl>
      <w:tblPr>
        <w:tblStyle w:val="TableGrid"/>
        <w:tblW w:w="0" w:type="auto"/>
        <w:tblLook w:val="04A0" w:firstRow="1" w:lastRow="0" w:firstColumn="1" w:lastColumn="0" w:noHBand="0" w:noVBand="1"/>
      </w:tblPr>
      <w:tblGrid>
        <w:gridCol w:w="9055"/>
      </w:tblGrid>
      <w:tr w:rsidR="006A031C" w:rsidRPr="001C69AC" w14:paraId="651A2180" w14:textId="77777777" w:rsidTr="006A031C">
        <w:tc>
          <w:tcPr>
            <w:tcW w:w="9055" w:type="dxa"/>
          </w:tcPr>
          <w:p w14:paraId="5D17E2A1" w14:textId="3C684E79" w:rsidR="006A031C" w:rsidRPr="006A031C" w:rsidRDefault="006A031C" w:rsidP="006A031C">
            <w:pPr>
              <w:pStyle w:val="Body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lang w:val="lt-LT"/>
              </w:rPr>
            </w:pPr>
            <w:r w:rsidRPr="006A031C">
              <w:rPr>
                <w:rFonts w:ascii="Times New Roman Bold"/>
                <w:lang w:val="lt-LT"/>
              </w:rPr>
              <w:t>Konferencija d</w:t>
            </w:r>
            <w:r w:rsidRPr="006A031C">
              <w:rPr>
                <w:rFonts w:hAnsi="Times New Roman" w:cs="Times New Roman"/>
                <w:b/>
                <w:lang w:val="lt-LT"/>
              </w:rPr>
              <w:t>ė</w:t>
            </w:r>
            <w:r>
              <w:rPr>
                <w:rFonts w:ascii="Times New Roman Bold"/>
                <w:lang w:val="lt-LT"/>
              </w:rPr>
              <w:t>l E</w:t>
            </w:r>
            <w:r w:rsidRPr="006A031C">
              <w:rPr>
                <w:rFonts w:ascii="Times New Roman Bold"/>
                <w:lang w:val="lt-LT"/>
              </w:rPr>
              <w:t>uropos ateities</w:t>
            </w:r>
          </w:p>
          <w:p w14:paraId="5043BDE3" w14:textId="77777777" w:rsidR="006A031C" w:rsidRDefault="006A031C" w:rsidP="006A031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caps/>
                <w:lang w:val="lt-LT"/>
              </w:rPr>
            </w:pPr>
          </w:p>
          <w:p w14:paraId="39D702FF" w14:textId="3B390BB9" w:rsidR="00ED5699" w:rsidRPr="00ED5699" w:rsidRDefault="006A031C" w:rsidP="00ED5699">
            <w:pPr>
              <w:shd w:val="clear" w:color="auto" w:fill="FFFFFF"/>
              <w:ind w:firstLine="607"/>
              <w:jc w:val="both"/>
              <w:rPr>
                <w:rFonts w:ascii="Segoe UI" w:hAnsi="Segoe UI" w:cs="Segoe UI"/>
                <w:color w:val="212121"/>
                <w:sz w:val="23"/>
                <w:szCs w:val="23"/>
                <w:lang w:val="lt-LT"/>
              </w:rPr>
            </w:pPr>
            <w:r w:rsidRPr="00ED5699">
              <w:rPr>
                <w:b/>
                <w:color w:val="212121"/>
                <w:u w:val="single"/>
                <w:lang w:val="lt-LT"/>
              </w:rPr>
              <w:t>Klausimo esmė.</w:t>
            </w:r>
            <w:r w:rsidRPr="00ED5699">
              <w:rPr>
                <w:color w:val="212121"/>
                <w:lang w:val="lt-LT"/>
              </w:rPr>
              <w:t xml:space="preserve"> BRT posėdyje Tarybai pirmininkaujanti Portugalija pristatys esamą situaciją dėl Konferencijos dėl Europos ateities </w:t>
            </w:r>
            <w:r w:rsidR="00ED5699" w:rsidRPr="00ED5699">
              <w:rPr>
                <w:color w:val="212121"/>
                <w:lang w:val="lt-LT"/>
              </w:rPr>
              <w:t xml:space="preserve">(Konferencija) </w:t>
            </w:r>
            <w:r w:rsidRPr="00ED5699">
              <w:rPr>
                <w:color w:val="212121"/>
                <w:lang w:val="lt-LT"/>
              </w:rPr>
              <w:t xml:space="preserve">organizavimo. </w:t>
            </w:r>
            <w:r w:rsidR="000F52C6">
              <w:rPr>
                <w:lang w:val="lt-LT"/>
              </w:rPr>
              <w:t xml:space="preserve">Konferencija </w:t>
            </w:r>
            <w:r w:rsidR="00ED5699" w:rsidRPr="00ED5699">
              <w:rPr>
                <w:lang w:val="lt-LT"/>
              </w:rPr>
              <w:t>bus orientuota į ES valstybių narių, institucijų ir piliečių bendras diskusijas ir pastangas ieškoti būdų efektyvinti ES veikimą.</w:t>
            </w:r>
          </w:p>
          <w:p w14:paraId="4E45F2F6" w14:textId="171942F8" w:rsidR="00ED5699" w:rsidRPr="00ED5699" w:rsidRDefault="006A031C" w:rsidP="00ED5699">
            <w:pPr>
              <w:shd w:val="clear" w:color="auto" w:fill="FFFFFF"/>
              <w:ind w:firstLine="607"/>
              <w:jc w:val="both"/>
              <w:rPr>
                <w:color w:val="212121"/>
                <w:lang w:val="lt-LT"/>
              </w:rPr>
            </w:pPr>
            <w:r w:rsidRPr="00ED5699">
              <w:rPr>
                <w:color w:val="212121"/>
                <w:lang w:val="lt-LT"/>
              </w:rPr>
              <w:t xml:space="preserve">2020 m. </w:t>
            </w:r>
            <w:r w:rsidR="000F52C6">
              <w:rPr>
                <w:color w:val="212121"/>
                <w:lang w:val="lt-LT"/>
              </w:rPr>
              <w:t>buvo</w:t>
            </w:r>
            <w:r w:rsidRPr="00ED5699">
              <w:rPr>
                <w:color w:val="212121"/>
                <w:lang w:val="lt-LT"/>
              </w:rPr>
              <w:t xml:space="preserve"> siekta susitarti dėl bendros ES Tarybos</w:t>
            </w:r>
            <w:r w:rsidR="00ED5699" w:rsidRPr="00ED5699">
              <w:rPr>
                <w:color w:val="212121"/>
                <w:lang w:val="lt-LT"/>
              </w:rPr>
              <w:t>, EP ir Komisijos deklaracijos</w:t>
            </w:r>
            <w:r w:rsidRPr="00ED5699">
              <w:rPr>
                <w:color w:val="212121"/>
                <w:lang w:val="lt-LT"/>
              </w:rPr>
              <w:t xml:space="preserve">, </w:t>
            </w:r>
            <w:r w:rsidR="00ED5699" w:rsidRPr="00ED5699">
              <w:rPr>
                <w:color w:val="212121"/>
                <w:lang w:val="lt-LT"/>
              </w:rPr>
              <w:t xml:space="preserve">kurią patvirtinus būtų pradedama Konferencija. </w:t>
            </w:r>
            <w:r w:rsidR="000F52C6">
              <w:rPr>
                <w:color w:val="212121"/>
                <w:lang w:val="lt-LT"/>
              </w:rPr>
              <w:t>Taip pat</w:t>
            </w:r>
            <w:r w:rsidR="00ED5699" w:rsidRPr="00ED5699">
              <w:rPr>
                <w:color w:val="212121"/>
                <w:lang w:val="lt-LT"/>
              </w:rPr>
              <w:t xml:space="preserve"> tarpinstituciniu ES lygmeniu vyksta derybos dėl Konferencijos</w:t>
            </w:r>
            <w:r w:rsidRPr="00ED5699">
              <w:rPr>
                <w:color w:val="212121"/>
                <w:lang w:val="lt-LT"/>
              </w:rPr>
              <w:t xml:space="preserve"> pirmininko kandidatūros</w:t>
            </w:r>
            <w:r w:rsidR="00ED5699" w:rsidRPr="00ED5699">
              <w:rPr>
                <w:color w:val="212121"/>
                <w:lang w:val="lt-LT"/>
              </w:rPr>
              <w:t>.</w:t>
            </w:r>
          </w:p>
          <w:p w14:paraId="74BF959E" w14:textId="77777777" w:rsidR="006A031C" w:rsidRPr="00ED5699" w:rsidRDefault="006A031C" w:rsidP="006A031C">
            <w:pPr>
              <w:shd w:val="clear" w:color="auto" w:fill="FFFFFF"/>
              <w:jc w:val="both"/>
              <w:rPr>
                <w:rFonts w:ascii="Segoe UI" w:hAnsi="Segoe UI" w:cs="Segoe UI"/>
                <w:color w:val="212121"/>
                <w:sz w:val="23"/>
                <w:szCs w:val="23"/>
                <w:lang w:val="lt-LT"/>
              </w:rPr>
            </w:pPr>
            <w:r w:rsidRPr="00ED5699">
              <w:rPr>
                <w:color w:val="212121"/>
                <w:lang w:val="lt-LT"/>
              </w:rPr>
              <w:t> </w:t>
            </w:r>
          </w:p>
          <w:p w14:paraId="5F2D3A15" w14:textId="135F7FA5" w:rsidR="006A031C" w:rsidRPr="00021434" w:rsidRDefault="00ED5699" w:rsidP="00021434">
            <w:pPr>
              <w:shd w:val="clear" w:color="auto" w:fill="FFFFFF"/>
              <w:ind w:firstLine="607"/>
              <w:jc w:val="both"/>
              <w:rPr>
                <w:rFonts w:ascii="Segoe UI" w:hAnsi="Segoe UI" w:cs="Segoe UI"/>
                <w:color w:val="212121"/>
                <w:sz w:val="23"/>
                <w:szCs w:val="23"/>
                <w:lang w:val="lt-LT"/>
              </w:rPr>
            </w:pPr>
            <w:r w:rsidRPr="00ED5699">
              <w:rPr>
                <w:b/>
                <w:bCs/>
                <w:color w:val="212121"/>
                <w:u w:val="single"/>
                <w:lang w:val="lt-LT"/>
              </w:rPr>
              <w:t>Lietuvos pozicija.</w:t>
            </w:r>
            <w:r w:rsidRPr="00ED5699">
              <w:rPr>
                <w:color w:val="212121"/>
                <w:lang w:val="lt-LT"/>
              </w:rPr>
              <w:t> R</w:t>
            </w:r>
            <w:r w:rsidR="006A031C" w:rsidRPr="00ED5699">
              <w:rPr>
                <w:color w:val="212121"/>
                <w:lang w:val="lt-LT"/>
              </w:rPr>
              <w:t>emiame iniciatyvą surengti Konferenciją, reikia ieškoti būdų, kaip užti</w:t>
            </w:r>
            <w:r w:rsidR="000F52C6">
              <w:rPr>
                <w:color w:val="212121"/>
                <w:lang w:val="lt-LT"/>
              </w:rPr>
              <w:t>krinti geresnį ES veikimą. Į k</w:t>
            </w:r>
            <w:r w:rsidR="006A031C" w:rsidRPr="00ED5699">
              <w:rPr>
                <w:color w:val="212121"/>
                <w:lang w:val="lt-LT"/>
              </w:rPr>
              <w:t xml:space="preserve">onferencijos procesą </w:t>
            </w:r>
            <w:r w:rsidR="000F52C6">
              <w:rPr>
                <w:color w:val="212121"/>
                <w:lang w:val="lt-LT"/>
              </w:rPr>
              <w:t>būtina</w:t>
            </w:r>
            <w:r w:rsidR="006A031C" w:rsidRPr="00ED5699">
              <w:rPr>
                <w:color w:val="212121"/>
                <w:lang w:val="lt-LT"/>
              </w:rPr>
              <w:t xml:space="preserve"> įtraukti su COVID-19 krizės pasekmėmis susijusius aspektus. Konferencijos turinio </w:t>
            </w:r>
            <w:r w:rsidR="000F52C6">
              <w:rPr>
                <w:color w:val="212121"/>
                <w:lang w:val="lt-LT"/>
              </w:rPr>
              <w:t>klausimu svarbu,</w:t>
            </w:r>
            <w:r w:rsidR="006A031C" w:rsidRPr="00ED5699">
              <w:rPr>
                <w:color w:val="212121"/>
                <w:lang w:val="lt-LT"/>
              </w:rPr>
              <w:t xml:space="preserve"> kad diskusijos </w:t>
            </w:r>
            <w:r w:rsidR="000F52C6">
              <w:rPr>
                <w:color w:val="212121"/>
                <w:lang w:val="lt-LT"/>
              </w:rPr>
              <w:t>būtų</w:t>
            </w:r>
            <w:r w:rsidR="006A031C" w:rsidRPr="00ED5699">
              <w:rPr>
                <w:color w:val="212121"/>
                <w:lang w:val="lt-LT"/>
              </w:rPr>
              <w:t xml:space="preserve"> sutelktos į konkrečių ES politikų įgyvendinimą. 2019 m. bir</w:t>
            </w:r>
            <w:r w:rsidR="000F52C6">
              <w:rPr>
                <w:color w:val="212121"/>
                <w:lang w:val="lt-LT"/>
              </w:rPr>
              <w:t xml:space="preserve">želį Europos vadovai patvirtino </w:t>
            </w:r>
            <w:r w:rsidR="006A031C" w:rsidRPr="00ED5699">
              <w:rPr>
                <w:color w:val="212121"/>
                <w:lang w:val="lt-LT"/>
              </w:rPr>
              <w:t>ES Strategin</w:t>
            </w:r>
            <w:r w:rsidR="000F52C6">
              <w:rPr>
                <w:color w:val="212121"/>
                <w:lang w:val="lt-LT"/>
              </w:rPr>
              <w:t xml:space="preserve">ę darbotvarkę 2019-2024 metams, todėl svarbu </w:t>
            </w:r>
            <w:r w:rsidR="006A031C" w:rsidRPr="00ED5699">
              <w:rPr>
                <w:color w:val="212121"/>
                <w:lang w:val="lt-LT"/>
              </w:rPr>
              <w:t>susitelkti į jos įgyvendinimą.</w:t>
            </w:r>
          </w:p>
        </w:tc>
      </w:tr>
    </w:tbl>
    <w:p w14:paraId="0D2377FA" w14:textId="77777777" w:rsidR="006A031C" w:rsidRDefault="006A031C" w:rsidP="00ED0AAA">
      <w:pPr>
        <w:pStyle w:val="BodyA"/>
        <w:rPr>
          <w:rFonts w:ascii="Times New Roman Bold"/>
          <w:caps/>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ED5699" w:rsidRPr="001C69AC" w14:paraId="10D5A7FA" w14:textId="77777777" w:rsidTr="008700E1">
        <w:trPr>
          <w:trHeight w:val="411"/>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C05B4" w14:textId="77777777" w:rsidR="00ED5699" w:rsidRPr="001C69D0" w:rsidRDefault="00ED5699" w:rsidP="008700E1">
            <w:pPr>
              <w:pStyle w:val="BodyA"/>
              <w:numPr>
                <w:ilvl w:val="0"/>
                <w:numId w:val="39"/>
              </w:numPr>
              <w:rPr>
                <w:rFonts w:hAnsi="Times New Roman" w:cs="Times New Roman"/>
                <w:b/>
                <w:color w:val="auto"/>
                <w:lang w:val="lt-LT"/>
              </w:rPr>
            </w:pPr>
            <w:r w:rsidRPr="001C69D0">
              <w:rPr>
                <w:rFonts w:hAnsi="Times New Roman" w:cs="Times New Roman"/>
                <w:b/>
                <w:color w:val="auto"/>
                <w:lang w:val="lt-LT"/>
              </w:rPr>
              <w:t>Koordinuotas ES atsakas į COVID-19 pandemiją</w:t>
            </w:r>
          </w:p>
          <w:p w14:paraId="17B399BE" w14:textId="77777777" w:rsidR="00ED5699" w:rsidRDefault="00ED5699" w:rsidP="008700E1">
            <w:pPr>
              <w:pStyle w:val="BodyA"/>
              <w:ind w:left="720"/>
              <w:rPr>
                <w:rFonts w:hAnsi="Times New Roman" w:cs="Times New Roman"/>
                <w:color w:val="auto"/>
                <w:lang w:val="lt-LT"/>
              </w:rPr>
            </w:pPr>
          </w:p>
          <w:p w14:paraId="601DCF36" w14:textId="77777777" w:rsidR="00ED5699" w:rsidRPr="001C69D0" w:rsidRDefault="00ED5699" w:rsidP="008700E1">
            <w:pPr>
              <w:ind w:firstLine="527"/>
              <w:jc w:val="both"/>
              <w:rPr>
                <w:color w:val="000000"/>
                <w:lang w:val="lt-LT"/>
              </w:rPr>
            </w:pPr>
            <w:r w:rsidRPr="00E455B8">
              <w:rPr>
                <w:b/>
                <w:color w:val="000000"/>
                <w:u w:val="single"/>
                <w:lang w:val="lt-LT"/>
              </w:rPr>
              <w:t>Klausimo esmė.</w:t>
            </w:r>
            <w:r>
              <w:rPr>
                <w:color w:val="000000"/>
                <w:lang w:val="lt-LT"/>
              </w:rPr>
              <w:t xml:space="preserve"> </w:t>
            </w:r>
            <w:r w:rsidRPr="001C69D0">
              <w:rPr>
                <w:color w:val="000000"/>
                <w:lang w:val="lt-LT"/>
              </w:rPr>
              <w:t xml:space="preserve">Dedamos pastangos stiprinti koordinuotą ES atsaką į COVID-19 pandemiją. Didžiausias dėmesys šiuo metu skiriamas vakcinos nuo COVID-19 įsigijimui ir vakcinacijos strategijų valstybėse narėse sklandžiam įgyvendinimui. </w:t>
            </w:r>
          </w:p>
          <w:p w14:paraId="72A32581" w14:textId="77777777" w:rsidR="00ED5699" w:rsidRPr="001C69D0" w:rsidRDefault="00ED5699" w:rsidP="008700E1">
            <w:pPr>
              <w:ind w:firstLine="527"/>
              <w:jc w:val="both"/>
              <w:rPr>
                <w:color w:val="000000"/>
                <w:lang w:val="lt-LT"/>
              </w:rPr>
            </w:pPr>
            <w:r w:rsidRPr="001C69D0">
              <w:rPr>
                <w:color w:val="000000"/>
                <w:lang w:val="lt-LT"/>
              </w:rPr>
              <w:t>Sausio 6 d. Europos Komisija</w:t>
            </w:r>
            <w:r>
              <w:rPr>
                <w:color w:val="000000"/>
                <w:lang w:val="lt-LT"/>
              </w:rPr>
              <w:t xml:space="preserve"> (EK)</w:t>
            </w:r>
            <w:r w:rsidRPr="001C69D0">
              <w:rPr>
                <w:color w:val="000000"/>
                <w:lang w:val="lt-LT"/>
              </w:rPr>
              <w:t xml:space="preserve"> suteikė sąlyginį rinkodaros leidimą jau antrajai vakcinai, ku</w:t>
            </w:r>
            <w:r>
              <w:rPr>
                <w:color w:val="000000"/>
                <w:lang w:val="lt-LT"/>
              </w:rPr>
              <w:t>rią sukūrė „Moderna“</w:t>
            </w:r>
            <w:r w:rsidRPr="001C69D0">
              <w:rPr>
                <w:color w:val="000000"/>
                <w:lang w:val="lt-LT"/>
              </w:rPr>
              <w:t xml:space="preserve">. Sausio 8 d. EK paskelbė susiderėjusi su BioNTech/ Pfizer dėl dar 300 mln. papildomų vakcinos dozių. Esminis klausimas išlieka kol kas nepakankami gamybos pajėgumai, taip pat būtinybė užtikrinti sklandų ir spartų logistikos procesą. Ypatingas dėmesys turi būti skiriamas vakcinacijos procesams valstybėse narėse.  </w:t>
            </w:r>
          </w:p>
          <w:p w14:paraId="77E2AC5D" w14:textId="77777777" w:rsidR="00ED5699" w:rsidRPr="001C69D0" w:rsidRDefault="00ED5699" w:rsidP="008700E1">
            <w:pPr>
              <w:ind w:firstLine="527"/>
              <w:jc w:val="both"/>
              <w:rPr>
                <w:color w:val="000000"/>
                <w:lang w:val="lt-LT"/>
              </w:rPr>
            </w:pPr>
            <w:r w:rsidRPr="001C69D0">
              <w:rPr>
                <w:color w:val="000000"/>
                <w:lang w:val="lt-LT"/>
              </w:rPr>
              <w:t>Klausimas dėl koordinuoto atsako į pandemiją sausio 21 d. bus aptartas ir Europos Vadovų Tarybos narių neformalioje vaizdo konferencijoje</w:t>
            </w:r>
            <w:r>
              <w:rPr>
                <w:color w:val="000000"/>
                <w:lang w:val="lt-LT"/>
              </w:rPr>
              <w:t xml:space="preserve"> (EVT)</w:t>
            </w:r>
            <w:r w:rsidRPr="001C69D0">
              <w:rPr>
                <w:color w:val="000000"/>
                <w:lang w:val="lt-LT"/>
              </w:rPr>
              <w:t xml:space="preserve">.    </w:t>
            </w:r>
          </w:p>
          <w:p w14:paraId="4DFB5835" w14:textId="353F1877" w:rsidR="00ED5699" w:rsidRDefault="00ED5699" w:rsidP="008700E1">
            <w:pPr>
              <w:pStyle w:val="BodyA"/>
              <w:ind w:firstLine="527"/>
              <w:jc w:val="both"/>
              <w:rPr>
                <w:rFonts w:hAnsi="Times New Roman" w:cs="Times New Roman"/>
                <w:lang w:val="lt-LT"/>
              </w:rPr>
            </w:pPr>
            <w:r w:rsidRPr="001C69D0">
              <w:rPr>
                <w:rFonts w:hAnsi="Times New Roman" w:cs="Times New Roman"/>
                <w:lang w:val="lt-LT"/>
              </w:rPr>
              <w:t xml:space="preserve">Be vakcinų </w:t>
            </w:r>
            <w:r>
              <w:rPr>
                <w:rFonts w:hAnsi="Times New Roman" w:cs="Times New Roman"/>
                <w:lang w:val="lt-LT"/>
              </w:rPr>
              <w:t>BRT</w:t>
            </w:r>
            <w:r w:rsidRPr="001C69D0">
              <w:rPr>
                <w:rFonts w:hAnsi="Times New Roman" w:cs="Times New Roman"/>
                <w:lang w:val="lt-LT"/>
              </w:rPr>
              <w:t xml:space="preserve"> taip pat gali būti aptartas koordinuotos komunikacijos klausimas bei žingsniai, kurie, esant palankiai epidemiologinei situacijai, bu</w:t>
            </w:r>
            <w:r w:rsidR="000F52C6">
              <w:rPr>
                <w:rFonts w:hAnsi="Times New Roman" w:cs="Times New Roman"/>
                <w:lang w:val="lt-LT"/>
              </w:rPr>
              <w:t>s reikalingi, siekiant koordinuo</w:t>
            </w:r>
            <w:r w:rsidRPr="001C69D0">
              <w:rPr>
                <w:rFonts w:hAnsi="Times New Roman" w:cs="Times New Roman"/>
                <w:lang w:val="lt-LT"/>
              </w:rPr>
              <w:t>tai švelninti ribojančias priemones (ypač greitųjų antigeno testų naudojimas (EK gruodžio 18 d. pateikė pasiūlymą dėl Tarybos rekomendacijos dėl greitųjų antigeno testų naudojimo, validavimo ir abipusio pripažinimo), skaitmeniniai įrankiai (tokie kaip keleivio buvimo vietos anketa ar vakcinos sertifikatas), kurie užtikrintų didesnį nuspėjamumą piliečiams ir palengvintų keliones)).</w:t>
            </w:r>
          </w:p>
          <w:p w14:paraId="3E73BCCD" w14:textId="77777777" w:rsidR="00ED5699" w:rsidRDefault="00ED5699" w:rsidP="008700E1">
            <w:pPr>
              <w:pStyle w:val="BodyA"/>
              <w:jc w:val="both"/>
              <w:rPr>
                <w:rFonts w:hAnsi="Times New Roman" w:cs="Times New Roman"/>
                <w:lang w:val="lt-LT"/>
              </w:rPr>
            </w:pPr>
          </w:p>
          <w:p w14:paraId="2D8EB3E7" w14:textId="41203777" w:rsidR="00ED5699" w:rsidRPr="001C69D0" w:rsidRDefault="00ED5699" w:rsidP="000F52C6">
            <w:pPr>
              <w:pStyle w:val="BodyA"/>
              <w:ind w:firstLine="527"/>
              <w:jc w:val="both"/>
              <w:rPr>
                <w:rFonts w:hAnsi="Times New Roman" w:cs="Times New Roman"/>
                <w:lang w:val="lt-LT"/>
              </w:rPr>
            </w:pPr>
            <w:r w:rsidRPr="00E455B8">
              <w:rPr>
                <w:rFonts w:hAnsi="Times New Roman" w:cs="Times New Roman"/>
                <w:b/>
                <w:u w:val="single"/>
                <w:lang w:val="lt-LT"/>
              </w:rPr>
              <w:t>Lietuvos pozicija.</w:t>
            </w:r>
            <w:r>
              <w:rPr>
                <w:rFonts w:hAnsi="Times New Roman" w:cs="Times New Roman"/>
                <w:lang w:val="lt-LT"/>
              </w:rPr>
              <w:t xml:space="preserve"> </w:t>
            </w:r>
            <w:r w:rsidRPr="001C69D0">
              <w:rPr>
                <w:rFonts w:hAnsi="Times New Roman" w:cs="Times New Roman"/>
                <w:lang w:val="lt-LT"/>
              </w:rPr>
              <w:t>Šiuo metu didžiausių sunkumų kelia nepakan</w:t>
            </w:r>
            <w:r w:rsidR="000F52C6">
              <w:rPr>
                <w:rFonts w:hAnsi="Times New Roman" w:cs="Times New Roman"/>
                <w:lang w:val="lt-LT"/>
              </w:rPr>
              <w:t>kamas vakcinos dozių skaičius, t</w:t>
            </w:r>
            <w:r w:rsidRPr="001C69D0">
              <w:rPr>
                <w:rFonts w:hAnsi="Times New Roman" w:cs="Times New Roman"/>
                <w:lang w:val="lt-LT"/>
              </w:rPr>
              <w:t>odėl būtina dėti pastangas, su vakcinos gamintojais ieškant galimybių kaip galima greičiau padidinti gamybos pajėgumus. Taip pat labai svarbu</w:t>
            </w:r>
            <w:r w:rsidR="000F52C6">
              <w:rPr>
                <w:rFonts w:hAnsi="Times New Roman" w:cs="Times New Roman"/>
                <w:lang w:val="lt-LT"/>
              </w:rPr>
              <w:t>,</w:t>
            </w:r>
            <w:r w:rsidRPr="001C69D0">
              <w:rPr>
                <w:rFonts w:hAnsi="Times New Roman" w:cs="Times New Roman"/>
                <w:lang w:val="lt-LT"/>
              </w:rPr>
              <w:t xml:space="preserve"> kaip įmanoma labiau sutrumpinti vakcinos tiekimo terminus (ypač įsigyjamų papildomų vakcinos dozių). Palankiai vertiname nuolatinį keitimąsi nuomonėmis apie vakcinacijos procesą (ir aukščiausiu politiniu lygiu), siekiant pasidalinti gerąja</w:t>
            </w:r>
            <w:bookmarkStart w:id="0" w:name="_GoBack"/>
            <w:bookmarkEnd w:id="0"/>
            <w:r w:rsidRPr="001C69D0">
              <w:rPr>
                <w:rFonts w:hAnsi="Times New Roman" w:cs="Times New Roman"/>
                <w:lang w:val="lt-LT"/>
              </w:rPr>
              <w:t xml:space="preserve"> patirtimi ir prireikus išspręsti iššūkius, su kuriais susiduria valstybės narės.</w:t>
            </w:r>
          </w:p>
          <w:p w14:paraId="56987A1C" w14:textId="77777777" w:rsidR="00ED5699" w:rsidRPr="001C69D0" w:rsidRDefault="00ED5699" w:rsidP="008700E1">
            <w:pPr>
              <w:pStyle w:val="BodyA"/>
              <w:ind w:firstLine="527"/>
              <w:jc w:val="both"/>
              <w:rPr>
                <w:rFonts w:hAnsi="Times New Roman" w:cs="Times New Roman"/>
                <w:lang w:val="lt-LT"/>
              </w:rPr>
            </w:pPr>
            <w:r w:rsidRPr="001C69D0">
              <w:rPr>
                <w:rFonts w:hAnsi="Times New Roman" w:cs="Times New Roman"/>
                <w:lang w:val="lt-LT"/>
              </w:rPr>
              <w:t xml:space="preserve">Ypatingas dėmesys ir toliau turi būti skiriamas skaidrios, išsamios, savalaikės informacijos teikimui tiek valstybėms narėms, tiek visuomenei. Taip pat bendros ES institucijų ir valstybių narių stipresnės pastangos reikalingos kovoje su dezinformacija apie vakcinos saugumą ir veiksmingumą.   </w:t>
            </w:r>
          </w:p>
          <w:p w14:paraId="3291722B" w14:textId="77777777" w:rsidR="00ED5699" w:rsidRPr="00E4021F" w:rsidRDefault="00ED5699" w:rsidP="008700E1">
            <w:pPr>
              <w:pStyle w:val="BodyA"/>
              <w:ind w:firstLine="527"/>
              <w:jc w:val="both"/>
              <w:rPr>
                <w:rFonts w:hAnsi="Times New Roman" w:cs="Times New Roman"/>
                <w:lang w:val="lt-LT"/>
              </w:rPr>
            </w:pPr>
            <w:r w:rsidRPr="001C69D0">
              <w:rPr>
                <w:rFonts w:hAnsi="Times New Roman" w:cs="Times New Roman"/>
                <w:lang w:val="lt-LT"/>
              </w:rPr>
              <w:lastRenderedPageBreak/>
              <w:t>Pabrėžiame, kad labai svarbus ir globalus atsakas į pandemiją, todėl turime siekti, kad būtų užtikrinta sąžininga prieiga prie vakcinos ES partnerėms, ypač artimiausioje kaimynystėje (Rytų partnerystės valstybėms). Šiame kontekste svarbus 13 ES valstybių narių užsienio reikalų ministrų laiškas Vyriausiajam įgaliotiniui</w:t>
            </w:r>
            <w:r>
              <w:rPr>
                <w:rFonts w:hAnsi="Times New Roman" w:cs="Times New Roman"/>
                <w:lang w:val="lt-LT"/>
              </w:rPr>
              <w:t xml:space="preserve"> ES</w:t>
            </w:r>
            <w:r w:rsidRPr="001C69D0">
              <w:rPr>
                <w:rFonts w:hAnsi="Times New Roman" w:cs="Times New Roman"/>
                <w:lang w:val="lt-LT"/>
              </w:rPr>
              <w:t>, už sveikatą ir maisto saugą ir už kaimynystę ir ES plėtrą atsakingiems EK nariams, kuriame EK raginama sukurti paramos Rytų partnerystės valstybėms mechanizmą, kuriuo būtų palengvinama jų prieiga prie vakcinos.</w:t>
            </w:r>
          </w:p>
        </w:tc>
      </w:tr>
    </w:tbl>
    <w:p w14:paraId="4A110514" w14:textId="77777777" w:rsidR="00ED5699" w:rsidRPr="00A33567" w:rsidRDefault="00ED5699" w:rsidP="00ED0AAA">
      <w:pPr>
        <w:pStyle w:val="BodyA"/>
        <w:rPr>
          <w:rFonts w:ascii="Times New Roman Bold"/>
          <w:caps/>
          <w:lang w:val="lt-LT"/>
        </w:rPr>
      </w:pPr>
    </w:p>
    <w:sectPr w:rsidR="00ED5699" w:rsidRPr="00A33567">
      <w:headerReference w:type="default" r:id="rId7"/>
      <w:footerReference w:type="default" r:id="rId8"/>
      <w:headerReference w:type="first" r:id="rId9"/>
      <w:footerReference w:type="first" r:id="rId10"/>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90DD5" w14:textId="77777777" w:rsidR="00D3784C" w:rsidRDefault="00D3784C">
      <w:r>
        <w:separator/>
      </w:r>
    </w:p>
  </w:endnote>
  <w:endnote w:type="continuationSeparator" w:id="0">
    <w:p w14:paraId="42306AE3" w14:textId="77777777" w:rsidR="00D3784C" w:rsidRDefault="00D3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5BB5D" w14:textId="77777777" w:rsidR="004B217F" w:rsidRDefault="004B217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F6ECA" w14:textId="77777777" w:rsidR="00B70894" w:rsidRDefault="00B70894"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p w14:paraId="26EA148D" w14:textId="77777777" w:rsidR="00B70894" w:rsidRDefault="00B70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A5C1B" w14:textId="77777777" w:rsidR="00D3784C" w:rsidRDefault="00D3784C">
      <w:r>
        <w:separator/>
      </w:r>
    </w:p>
  </w:footnote>
  <w:footnote w:type="continuationSeparator" w:id="0">
    <w:p w14:paraId="0E06FBB1" w14:textId="77777777" w:rsidR="00D3784C" w:rsidRDefault="00D37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1EE6F" w14:textId="77777777" w:rsidR="00E4021F" w:rsidRDefault="00EE1216" w:rsidP="00E4021F">
    <w:pPr>
      <w:pStyle w:val="BodyA"/>
      <w:tabs>
        <w:tab w:val="center" w:pos="4153"/>
        <w:tab w:val="right" w:pos="8306"/>
      </w:tabs>
      <w:jc w:val="right"/>
    </w:pPr>
    <w:r>
      <w:t xml:space="preserve">                                         </w:t>
    </w:r>
  </w:p>
  <w:p w14:paraId="78D4E0C7" w14:textId="77777777" w:rsidR="004B217F" w:rsidRDefault="004B217F"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68F50" w14:textId="77777777" w:rsidR="00EF0DF3" w:rsidRPr="00E4021F" w:rsidRDefault="00EF0DF3" w:rsidP="00B03FB8">
    <w:pPr>
      <w:pStyle w:val="BodyA"/>
      <w:tabs>
        <w:tab w:val="center" w:pos="4153"/>
        <w:tab w:val="right" w:pos="8306"/>
      </w:tabs>
      <w:jc w:val="right"/>
      <w:rPr>
        <w:rFonts w:hAnsi="Times New Roman" w:cs="Times New Roman"/>
        <w:i/>
        <w:iCs/>
        <w:lang w:val="lt-LT"/>
      </w:rPr>
    </w:pPr>
    <w:proofErr w:type="spellStart"/>
    <w:r w:rsidRPr="00B9161C">
      <w:rPr>
        <w:rFonts w:hAnsi="Times New Roman" w:cs="Times New Roman"/>
        <w:i/>
        <w:iCs/>
        <w:lang w:val="fr-FR"/>
      </w:rPr>
      <w:t>Parengė</w:t>
    </w:r>
    <w:proofErr w:type="spellEnd"/>
    <w:r w:rsidRPr="00B9161C">
      <w:rPr>
        <w:rFonts w:hAnsi="Times New Roman" w:cs="Times New Roman"/>
        <w:i/>
        <w:iCs/>
        <w:lang w:val="fr-FR"/>
      </w:rPr>
      <w:t>:</w:t>
    </w:r>
    <w:r w:rsidR="00E4021F" w:rsidRPr="00B9161C">
      <w:rPr>
        <w:rFonts w:hAnsi="Times New Roman" w:cs="Times New Roman"/>
        <w:i/>
        <w:iCs/>
        <w:lang w:val="fr-FR"/>
      </w:rPr>
      <w:t xml:space="preserve"> U</w:t>
    </w:r>
    <w:r w:rsidR="00ED0AAA">
      <w:rPr>
        <w:rFonts w:hAnsi="Times New Roman" w:cs="Times New Roman"/>
        <w:i/>
        <w:iCs/>
        <w:lang w:val="lt-LT"/>
      </w:rPr>
      <w:t>žsienio reikalų ministerijos</w:t>
    </w:r>
    <w:r w:rsidR="00E4021F" w:rsidRPr="00E4021F">
      <w:rPr>
        <w:rFonts w:hAnsi="Times New Roman" w:cs="Times New Roman"/>
        <w:i/>
        <w:iCs/>
        <w:lang w:val="lt-LT"/>
      </w:rPr>
      <w:t xml:space="preserve"> E</w:t>
    </w:r>
    <w:r w:rsidR="00ED0AAA">
      <w:rPr>
        <w:rFonts w:hAnsi="Times New Roman" w:cs="Times New Roman"/>
        <w:i/>
        <w:iCs/>
        <w:lang w:val="lt-LT"/>
      </w:rPr>
      <w:t>uropos Sąjungos departamentas</w:t>
    </w:r>
  </w:p>
  <w:p w14:paraId="48D4BBBD" w14:textId="6EDFC6D8" w:rsidR="00EF0DF3" w:rsidRPr="00F62288" w:rsidRDefault="00EF0DF3" w:rsidP="00B03FB8">
    <w:pPr>
      <w:pStyle w:val="BodyA"/>
      <w:tabs>
        <w:tab w:val="center" w:pos="4153"/>
        <w:tab w:val="right" w:pos="8306"/>
      </w:tabs>
      <w:jc w:val="right"/>
      <w:rPr>
        <w:rFonts w:hAnsi="Times New Roman" w:cs="Times New Roman"/>
        <w:lang w:val="lt-LT"/>
      </w:rPr>
    </w:pPr>
    <w:r w:rsidRPr="00E4021F">
      <w:rPr>
        <w:rFonts w:hAnsi="Times New Roman" w:cs="Times New Roman"/>
        <w:i/>
        <w:iCs/>
      </w:rPr>
      <w:t>Data:</w:t>
    </w:r>
    <w:r w:rsidR="006E3ACE">
      <w:rPr>
        <w:rFonts w:hAnsi="Times New Roman" w:cs="Times New Roman"/>
        <w:i/>
        <w:iCs/>
      </w:rPr>
      <w:t xml:space="preserve"> 2021-01</w:t>
    </w:r>
    <w:r w:rsidR="00F62288">
      <w:rPr>
        <w:rFonts w:hAnsi="Times New Roman" w:cs="Times New Roman"/>
        <w:i/>
        <w:iCs/>
      </w:rPr>
      <w:t>-</w:t>
    </w:r>
    <w:r w:rsidR="001C69AC">
      <w:rPr>
        <w:rFonts w:hAnsi="Times New Roman" w:cs="Times New Roman"/>
        <w:i/>
        <w:iCs/>
      </w:rPr>
      <w:t>12</w:t>
    </w:r>
  </w:p>
  <w:p w14:paraId="24332D09" w14:textId="77777777" w:rsidR="00EF0DF3" w:rsidRDefault="00EF0DF3" w:rsidP="00EF0D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0E730F52"/>
    <w:multiLevelType w:val="hybridMultilevel"/>
    <w:tmpl w:val="4A6A1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8"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0" w15:restartNumberingAfterBreak="0">
    <w:nsid w:val="202D2774"/>
    <w:multiLevelType w:val="hybridMultilevel"/>
    <w:tmpl w:val="AF06E8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2"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3"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9"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0"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1"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2"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3"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4"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15:restartNumberingAfterBreak="0">
    <w:nsid w:val="416D3C85"/>
    <w:multiLevelType w:val="hybridMultilevel"/>
    <w:tmpl w:val="4CD88D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8"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0"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1"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3"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4" w15:restartNumberingAfterBreak="0">
    <w:nsid w:val="48E6571B"/>
    <w:multiLevelType w:val="hybridMultilevel"/>
    <w:tmpl w:val="0E72A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6"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15:restartNumberingAfterBreak="0">
    <w:nsid w:val="612C1F7E"/>
    <w:multiLevelType w:val="hybridMultilevel"/>
    <w:tmpl w:val="7B5286C6"/>
    <w:lvl w:ilvl="0" w:tplc="AA74A398">
      <w:start w:val="1"/>
      <w:numFmt w:val="decimal"/>
      <w:lvlText w:val="%1."/>
      <w:lvlJc w:val="left"/>
      <w:pPr>
        <w:ind w:left="720" w:hanging="360"/>
      </w:pPr>
      <w:rPr>
        <w:rFonts w:hAnsi="Arial Unicode MS" w:cs="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num w:numId="1">
    <w:abstractNumId w:val="22"/>
  </w:num>
  <w:num w:numId="2">
    <w:abstractNumId w:val="9"/>
  </w:num>
  <w:num w:numId="3">
    <w:abstractNumId w:val="7"/>
  </w:num>
  <w:num w:numId="4">
    <w:abstractNumId w:val="24"/>
  </w:num>
  <w:num w:numId="5">
    <w:abstractNumId w:val="15"/>
  </w:num>
  <w:num w:numId="6">
    <w:abstractNumId w:val="11"/>
  </w:num>
  <w:num w:numId="7">
    <w:abstractNumId w:val="13"/>
  </w:num>
  <w:num w:numId="8">
    <w:abstractNumId w:val="19"/>
  </w:num>
  <w:num w:numId="9">
    <w:abstractNumId w:val="32"/>
  </w:num>
  <w:num w:numId="10">
    <w:abstractNumId w:val="14"/>
  </w:num>
  <w:num w:numId="11">
    <w:abstractNumId w:val="21"/>
  </w:num>
  <w:num w:numId="12">
    <w:abstractNumId w:val="2"/>
  </w:num>
  <w:num w:numId="13">
    <w:abstractNumId w:val="26"/>
  </w:num>
  <w:num w:numId="14">
    <w:abstractNumId w:val="27"/>
  </w:num>
  <w:num w:numId="15">
    <w:abstractNumId w:val="4"/>
  </w:num>
  <w:num w:numId="16">
    <w:abstractNumId w:val="28"/>
  </w:num>
  <w:num w:numId="17">
    <w:abstractNumId w:val="30"/>
  </w:num>
  <w:num w:numId="18">
    <w:abstractNumId w:val="35"/>
  </w:num>
  <w:num w:numId="19">
    <w:abstractNumId w:val="6"/>
  </w:num>
  <w:num w:numId="20">
    <w:abstractNumId w:val="5"/>
  </w:num>
  <w:num w:numId="21">
    <w:abstractNumId w:val="17"/>
  </w:num>
  <w:num w:numId="22">
    <w:abstractNumId w:val="38"/>
  </w:num>
  <w:num w:numId="23">
    <w:abstractNumId w:val="0"/>
  </w:num>
  <w:num w:numId="24">
    <w:abstractNumId w:val="29"/>
  </w:num>
  <w:num w:numId="25">
    <w:abstractNumId w:val="36"/>
  </w:num>
  <w:num w:numId="26">
    <w:abstractNumId w:val="1"/>
  </w:num>
  <w:num w:numId="27">
    <w:abstractNumId w:val="23"/>
  </w:num>
  <w:num w:numId="28">
    <w:abstractNumId w:val="16"/>
  </w:num>
  <w:num w:numId="29">
    <w:abstractNumId w:val="20"/>
  </w:num>
  <w:num w:numId="30">
    <w:abstractNumId w:val="18"/>
  </w:num>
  <w:num w:numId="31">
    <w:abstractNumId w:val="31"/>
  </w:num>
  <w:num w:numId="32">
    <w:abstractNumId w:val="12"/>
  </w:num>
  <w:num w:numId="33">
    <w:abstractNumId w:val="33"/>
  </w:num>
  <w:num w:numId="34">
    <w:abstractNumId w:val="8"/>
  </w:num>
  <w:num w:numId="35">
    <w:abstractNumId w:val="39"/>
  </w:num>
  <w:num w:numId="36">
    <w:abstractNumId w:val="34"/>
  </w:num>
  <w:num w:numId="37">
    <w:abstractNumId w:val="25"/>
  </w:num>
  <w:num w:numId="38">
    <w:abstractNumId w:val="10"/>
  </w:num>
  <w:num w:numId="39">
    <w:abstractNumId w:val="3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F"/>
    <w:rsid w:val="00021434"/>
    <w:rsid w:val="00030581"/>
    <w:rsid w:val="000D296A"/>
    <w:rsid w:val="000F52C6"/>
    <w:rsid w:val="001614F2"/>
    <w:rsid w:val="001C69AC"/>
    <w:rsid w:val="001C69D0"/>
    <w:rsid w:val="00214FE9"/>
    <w:rsid w:val="003C6810"/>
    <w:rsid w:val="003E2F37"/>
    <w:rsid w:val="003F58E0"/>
    <w:rsid w:val="004B217F"/>
    <w:rsid w:val="00537535"/>
    <w:rsid w:val="00557D5B"/>
    <w:rsid w:val="006A031C"/>
    <w:rsid w:val="006E3ACE"/>
    <w:rsid w:val="0072795C"/>
    <w:rsid w:val="00727B43"/>
    <w:rsid w:val="008B6EAF"/>
    <w:rsid w:val="009469ED"/>
    <w:rsid w:val="00A33567"/>
    <w:rsid w:val="00AD7E3A"/>
    <w:rsid w:val="00B03FB8"/>
    <w:rsid w:val="00B35DA5"/>
    <w:rsid w:val="00B557C6"/>
    <w:rsid w:val="00B67F14"/>
    <w:rsid w:val="00B70894"/>
    <w:rsid w:val="00B9161C"/>
    <w:rsid w:val="00BA186A"/>
    <w:rsid w:val="00C1573F"/>
    <w:rsid w:val="00C842BA"/>
    <w:rsid w:val="00C8510A"/>
    <w:rsid w:val="00C93B8A"/>
    <w:rsid w:val="00CD0734"/>
    <w:rsid w:val="00CE2A3B"/>
    <w:rsid w:val="00D34348"/>
    <w:rsid w:val="00D3784C"/>
    <w:rsid w:val="00D40C5F"/>
    <w:rsid w:val="00D776BE"/>
    <w:rsid w:val="00DF3EC2"/>
    <w:rsid w:val="00E336A8"/>
    <w:rsid w:val="00E4021F"/>
    <w:rsid w:val="00E455B8"/>
    <w:rsid w:val="00ED0AAA"/>
    <w:rsid w:val="00ED5699"/>
    <w:rsid w:val="00EE1216"/>
    <w:rsid w:val="00EF0DF3"/>
    <w:rsid w:val="00F6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1FEE9"/>
  <w15:docId w15:val="{B8FD9486-7C19-49F5-8AC8-7E68A51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link w:val="ListParagraphChar"/>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Header">
    <w:name w:val="header"/>
    <w:basedOn w:val="Normal"/>
    <w:link w:val="HeaderChar"/>
    <w:uiPriority w:val="99"/>
    <w:unhideWhenUsed/>
    <w:rsid w:val="00A33567"/>
    <w:pPr>
      <w:tabs>
        <w:tab w:val="center" w:pos="4819"/>
        <w:tab w:val="right" w:pos="9638"/>
      </w:tabs>
    </w:pPr>
  </w:style>
  <w:style w:type="character" w:customStyle="1" w:styleId="HeaderChar">
    <w:name w:val="Header Char"/>
    <w:basedOn w:val="DefaultParagraphFont"/>
    <w:link w:val="Header"/>
    <w:uiPriority w:val="99"/>
    <w:rsid w:val="00A33567"/>
    <w:rPr>
      <w:sz w:val="24"/>
      <w:szCs w:val="24"/>
    </w:rPr>
  </w:style>
  <w:style w:type="paragraph" w:styleId="Footer">
    <w:name w:val="footer"/>
    <w:basedOn w:val="Normal"/>
    <w:link w:val="FooterChar"/>
    <w:uiPriority w:val="99"/>
    <w:unhideWhenUsed/>
    <w:rsid w:val="00A33567"/>
    <w:pPr>
      <w:tabs>
        <w:tab w:val="center" w:pos="4819"/>
        <w:tab w:val="right" w:pos="9638"/>
      </w:tabs>
    </w:pPr>
  </w:style>
  <w:style w:type="character" w:customStyle="1" w:styleId="FooterChar">
    <w:name w:val="Footer Char"/>
    <w:basedOn w:val="DefaultParagraphFont"/>
    <w:link w:val="Footer"/>
    <w:uiPriority w:val="99"/>
    <w:rsid w:val="00A33567"/>
    <w:rPr>
      <w:sz w:val="24"/>
      <w:szCs w:val="24"/>
    </w:rPr>
  </w:style>
  <w:style w:type="paragraph" w:styleId="NormalWeb">
    <w:name w:val="Normal (Web)"/>
    <w:basedOn w:val="Normal"/>
    <w:uiPriority w:val="99"/>
    <w:semiHidden/>
    <w:unhideWhenUsed/>
    <w:rsid w:val="00F622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F62288"/>
    <w:rPr>
      <w:b/>
      <w:bCs/>
    </w:r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basedOn w:val="DefaultParagraphFont"/>
    <w:link w:val="ListParagraph"/>
    <w:uiPriority w:val="34"/>
    <w:qFormat/>
    <w:locked/>
    <w:rsid w:val="00F62288"/>
    <w:rPr>
      <w:rFonts w:hAnsi="Arial Unicode MS" w:cs="Arial Unicode MS"/>
      <w:color w:val="000000"/>
      <w:sz w:val="24"/>
      <w:szCs w:val="24"/>
      <w:u w:color="000000"/>
    </w:rPr>
  </w:style>
  <w:style w:type="paragraph" w:customStyle="1" w:styleId="xmsonospacing">
    <w:name w:val="x_msonospacing"/>
    <w:basedOn w:val="Normal"/>
    <w:rsid w:val="00214F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table" w:styleId="TableGrid">
    <w:name w:val="Table Grid"/>
    <w:basedOn w:val="TableNormal"/>
    <w:uiPriority w:val="39"/>
    <w:rsid w:val="00E4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40535">
      <w:bodyDiv w:val="1"/>
      <w:marLeft w:val="0"/>
      <w:marRight w:val="0"/>
      <w:marTop w:val="0"/>
      <w:marBottom w:val="0"/>
      <w:divBdr>
        <w:top w:val="none" w:sz="0" w:space="0" w:color="auto"/>
        <w:left w:val="none" w:sz="0" w:space="0" w:color="auto"/>
        <w:bottom w:val="none" w:sz="0" w:space="0" w:color="auto"/>
        <w:right w:val="none" w:sz="0" w:space="0" w:color="auto"/>
      </w:divBdr>
    </w:div>
    <w:div w:id="786462195">
      <w:bodyDiv w:val="1"/>
      <w:marLeft w:val="0"/>
      <w:marRight w:val="0"/>
      <w:marTop w:val="0"/>
      <w:marBottom w:val="0"/>
      <w:divBdr>
        <w:top w:val="none" w:sz="0" w:space="0" w:color="auto"/>
        <w:left w:val="none" w:sz="0" w:space="0" w:color="auto"/>
        <w:bottom w:val="none" w:sz="0" w:space="0" w:color="auto"/>
        <w:right w:val="none" w:sz="0" w:space="0" w:color="auto"/>
      </w:divBdr>
      <w:divsChild>
        <w:div w:id="415057788">
          <w:marLeft w:val="0"/>
          <w:marRight w:val="0"/>
          <w:marTop w:val="0"/>
          <w:marBottom w:val="0"/>
          <w:divBdr>
            <w:top w:val="none" w:sz="0" w:space="0" w:color="auto"/>
            <w:left w:val="none" w:sz="0" w:space="0" w:color="auto"/>
            <w:bottom w:val="none" w:sz="0" w:space="0" w:color="auto"/>
            <w:right w:val="none" w:sz="0" w:space="0" w:color="auto"/>
          </w:divBdr>
        </w:div>
        <w:div w:id="2083604000">
          <w:marLeft w:val="0"/>
          <w:marRight w:val="0"/>
          <w:marTop w:val="0"/>
          <w:marBottom w:val="0"/>
          <w:divBdr>
            <w:top w:val="none" w:sz="0" w:space="0" w:color="auto"/>
            <w:left w:val="none" w:sz="0" w:space="0" w:color="auto"/>
            <w:bottom w:val="none" w:sz="0" w:space="0" w:color="auto"/>
            <w:right w:val="none" w:sz="0" w:space="0" w:color="auto"/>
          </w:divBdr>
        </w:div>
        <w:div w:id="1422216896">
          <w:marLeft w:val="0"/>
          <w:marRight w:val="0"/>
          <w:marTop w:val="0"/>
          <w:marBottom w:val="0"/>
          <w:divBdr>
            <w:top w:val="none" w:sz="0" w:space="0" w:color="auto"/>
            <w:left w:val="none" w:sz="0" w:space="0" w:color="auto"/>
            <w:bottom w:val="none" w:sz="0" w:space="0" w:color="auto"/>
            <w:right w:val="none" w:sz="0" w:space="0" w:color="auto"/>
          </w:divBdr>
        </w:div>
      </w:divsChild>
    </w:div>
    <w:div w:id="1570843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_rels/theme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2021-01-12T05:46:00Z</dcterms:created>
  <dc:creator>Margarita Antanaitė</dc:creator>
  <cp:lastModifiedBy>Žymantas Mozūraitis</cp:lastModifiedBy>
  <dcterms:modified xsi:type="dcterms:W3CDTF">2021-01-12T05:51:00Z</dcterms:modified>
  <cp:revision>4</cp:revision>
</cp:coreProperties>
</file>