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05D57D54" w:rsidR="00033F22" w:rsidRDefault="00065BE7" w:rsidP="00477775">
            <w:pPr>
              <w:framePr w:hSpace="180" w:wrap="around" w:vAnchor="text" w:hAnchor="page" w:x="7286" w:y="12"/>
              <w:ind w:right="24"/>
            </w:pPr>
            <w:bookmarkStart w:id="0" w:name="_GoBack"/>
            <w:bookmarkEnd w:id="0"/>
            <w:r>
              <w:t xml:space="preserve">  </w:t>
            </w:r>
            <w:r w:rsidR="00033F22">
              <w:t>20</w:t>
            </w:r>
            <w:r w:rsidR="00BF4628">
              <w:t>21</w:t>
            </w:r>
            <w:r w:rsidR="00033F22">
              <w:t>-</w:t>
            </w:r>
            <w:r>
              <w:t xml:space="preserve">05-  </w:t>
            </w:r>
            <w:r w:rsidR="00E75D83">
              <w:t xml:space="preserve"> </w:t>
            </w:r>
            <w:r>
              <w:t xml:space="preserve">  </w:t>
            </w:r>
            <w:r w:rsidR="00033F22">
              <w:t xml:space="preserve">Nr. </w:t>
            </w:r>
          </w:p>
        </w:tc>
      </w:tr>
      <w:tr w:rsidR="00033F22" w14:paraId="77037953" w14:textId="77777777" w:rsidTr="00D22A39">
        <w:trPr>
          <w:gridAfter w:val="1"/>
          <w:wAfter w:w="16" w:type="dxa"/>
          <w:cantSplit/>
          <w:trHeight w:val="340"/>
        </w:trPr>
        <w:tc>
          <w:tcPr>
            <w:tcW w:w="4068" w:type="dxa"/>
          </w:tcPr>
          <w:p w14:paraId="655E1F05" w14:textId="179924F9" w:rsidR="00065BE7" w:rsidRDefault="00BF4628" w:rsidP="00065BE7">
            <w:pPr>
              <w:framePr w:hSpace="180" w:wrap="around" w:vAnchor="text" w:hAnchor="page" w:x="7286" w:y="12"/>
            </w:pPr>
            <w:r>
              <w:t>Į 2021</w:t>
            </w:r>
            <w:r w:rsidR="00E75D83">
              <w:t>-</w:t>
            </w:r>
            <w:r w:rsidR="00065BE7">
              <w:t>04-29</w:t>
            </w:r>
            <w:r w:rsidR="00E75D83">
              <w:t xml:space="preserve"> Nr.</w:t>
            </w:r>
            <w:r w:rsidR="00065BE7">
              <w:rPr>
                <w:rFonts w:ascii="Arial" w:hAnsi="Arial" w:cs="Arial"/>
                <w:color w:val="000000"/>
                <w:sz w:val="20"/>
                <w:szCs w:val="20"/>
                <w:shd w:val="clear" w:color="auto" w:fill="FFFFFF"/>
              </w:rPr>
              <w:t xml:space="preserve"> </w:t>
            </w:r>
            <w:r w:rsidR="00065BE7" w:rsidRPr="00065BE7">
              <w:rPr>
                <w:color w:val="000000"/>
                <w:shd w:val="clear" w:color="auto" w:fill="FFFFFF"/>
              </w:rPr>
              <w:t>1D-2441</w:t>
            </w:r>
          </w:p>
          <w:p w14:paraId="678511A9" w14:textId="66D8FC0C" w:rsidR="00033F22" w:rsidRDefault="00033F22" w:rsidP="007B4A13">
            <w:pPr>
              <w:framePr w:hSpace="180" w:wrap="around" w:vAnchor="text" w:hAnchor="page" w:x="7286" w:y="12"/>
              <w:ind w:right="24"/>
            </w:pPr>
          </w:p>
        </w:tc>
      </w:tr>
    </w:tbl>
    <w:p w14:paraId="5B526BCC" w14:textId="47DEC6A8" w:rsidR="00E75D83" w:rsidRDefault="00065BE7" w:rsidP="00E75D83">
      <w:pPr>
        <w:pStyle w:val="Adresas"/>
      </w:pPr>
      <w:r>
        <w:t>Lietuvos Respublikos vidaus reikalų ministerijai</w:t>
      </w:r>
    </w:p>
    <w:p w14:paraId="03FE5AB0" w14:textId="77777777" w:rsidR="00E75D83" w:rsidRDefault="00E75D83" w:rsidP="00E75D83">
      <w:pPr>
        <w:pStyle w:val="Adresas"/>
      </w:pPr>
    </w:p>
    <w:p w14:paraId="4FE9C2CA" w14:textId="77777777" w:rsidR="00E75D83" w:rsidRDefault="00E75D83" w:rsidP="00E75D83">
      <w:pPr>
        <w:pStyle w:val="Adresas"/>
      </w:pPr>
    </w:p>
    <w:p w14:paraId="739554ED" w14:textId="71CBF43D" w:rsidR="00E75D83" w:rsidRPr="00CA1F17" w:rsidRDefault="00E75D83" w:rsidP="00E75D83">
      <w:pPr>
        <w:pStyle w:val="Kopija"/>
        <w:ind w:right="279"/>
      </w:pPr>
    </w:p>
    <w:p w14:paraId="3F438CEE" w14:textId="0E446B10" w:rsidR="00065BE7" w:rsidRPr="00065BE7" w:rsidRDefault="00065BE7" w:rsidP="00065BE7">
      <w:pPr>
        <w:jc w:val="both"/>
        <w:rPr>
          <w:b/>
          <w:bCs/>
        </w:rPr>
      </w:pPr>
      <w:r>
        <w:rPr>
          <w:b/>
          <w:bCs/>
          <w:color w:val="000000"/>
        </w:rPr>
        <w:t xml:space="preserve">DĖL </w:t>
      </w:r>
      <w:r w:rsidRPr="00065BE7">
        <w:rPr>
          <w:b/>
          <w:bCs/>
          <w:color w:val="000000"/>
        </w:rPr>
        <w:t>LIETUVOS RESPUBLIKOS VYRIAUSYBĖS NUTARIMO „DĖL LIETUVOS RESPUBLIKOS VYRIAUSYBĖS 2013 M. BALANDŽIO 3 D. NUTARIMO NR. 280 „DĖL ĮGALIOJIMŲ SUTEIKIMO ĮGYVENDINANT LIETUVOS RESPUBLIKOS PILIETYBĖS ĮSTATYMĄ IR LIETUVOS RESPUBLIKOS PILIETYBĖS DOKUMENTŲ RENGIMO TVARKOS APRAŠO PATVIRTINIMO“ PAKEITIMO“ PROJEKT</w:t>
      </w:r>
      <w:r>
        <w:rPr>
          <w:b/>
          <w:bCs/>
          <w:color w:val="000000"/>
        </w:rPr>
        <w:t>O</w:t>
      </w:r>
      <w:r w:rsidRPr="00065BE7">
        <w:rPr>
          <w:b/>
          <w:bCs/>
          <w:color w:val="000000"/>
        </w:rPr>
        <w:t xml:space="preserve"> </w:t>
      </w:r>
      <w:r>
        <w:rPr>
          <w:b/>
          <w:bCs/>
          <w:color w:val="000000"/>
        </w:rPr>
        <w:t xml:space="preserve">IR </w:t>
      </w:r>
      <w:r w:rsidRPr="00065BE7">
        <w:rPr>
          <w:b/>
          <w:bCs/>
          <w:color w:val="000000"/>
        </w:rPr>
        <w:t>LIETUVOS RESPUBLIKOS VYRIAUSYBĖS NUTARIMO „DĖL LIETUVOS RESPUBLIKOS VYRIAUSYBĖS 2000 M. GRUODŽIO 15 D. NUTARIMO NR. 1458 „DĖL KONKREČIŲ VALSTYBĖS RINKLIAVOS DYDŽIŲ SĄRAŠO IR VALSTYBĖS RINKLIAVOS MOKĖJIMO IR GRĄŽINIMO TAISYKLIŲ PATVIRTINIMO“ PAKEITIMO“ PROJEKT</w:t>
      </w:r>
      <w:r>
        <w:rPr>
          <w:b/>
          <w:bCs/>
          <w:color w:val="000000"/>
        </w:rPr>
        <w:t>O</w:t>
      </w:r>
    </w:p>
    <w:p w14:paraId="56DEAE65" w14:textId="77777777" w:rsidR="00E75D83" w:rsidRDefault="00E75D83" w:rsidP="00E75D83"/>
    <w:p w14:paraId="37D54A49" w14:textId="77777777" w:rsidR="00E75D83" w:rsidRDefault="00E75D83" w:rsidP="00E75D83">
      <w:pPr>
        <w:ind w:firstLine="1276"/>
        <w:jc w:val="both"/>
      </w:pPr>
    </w:p>
    <w:p w14:paraId="3136C961" w14:textId="6ED99014" w:rsidR="003E36C5" w:rsidRDefault="00981295" w:rsidP="003E36C5">
      <w:pPr>
        <w:ind w:firstLine="1276"/>
        <w:jc w:val="both"/>
      </w:pPr>
      <w:r>
        <w:t xml:space="preserve">Lietuvos Respublikos teisingumo ministerija gavo išvadai gauti pateiktą </w:t>
      </w:r>
      <w:hyperlink r:id="rId8" w:history="1">
        <w:r w:rsidR="00065BE7" w:rsidRPr="00065BE7">
          <w:rPr>
            <w:rStyle w:val="Hipersaitas"/>
          </w:rPr>
          <w:t>Lietuvos Respublikos Vyriausybės nutarimo „Dėl Lietuvos Respublikos Vyriausybės 2013 m. balandžio 3 d. nutarimo Nr. 280 „Dėl įgaliojimų suteikimo įgyvendinant Lietuvos Respublikos pilietybės</w:t>
        </w:r>
      </w:hyperlink>
      <w:r w:rsidR="00065BE7" w:rsidRPr="00065BE7">
        <w:rPr>
          <w:color w:val="000000"/>
        </w:rPr>
        <w:t xml:space="preserve"> </w:t>
      </w:r>
      <w:hyperlink r:id="rId9" w:history="1">
        <w:r w:rsidR="00065BE7" w:rsidRPr="00065BE7">
          <w:rPr>
            <w:rStyle w:val="Hipersaitas"/>
          </w:rPr>
          <w:t>įstatymą ir Lietuvos Respublikos pilietybės dokumentų rengimo tvarkos aprašo patvirtinimo“ pakeitimo“ projektą</w:t>
        </w:r>
      </w:hyperlink>
      <w:r w:rsidR="00065BE7" w:rsidRPr="00065BE7">
        <w:rPr>
          <w:color w:val="000000"/>
        </w:rPr>
        <w:t xml:space="preserve"> </w:t>
      </w:r>
      <w:r w:rsidR="0033165B">
        <w:rPr>
          <w:color w:val="000000"/>
        </w:rPr>
        <w:t xml:space="preserve">(toliau – Projektas) </w:t>
      </w:r>
      <w:r>
        <w:rPr>
          <w:color w:val="000000"/>
        </w:rPr>
        <w:t xml:space="preserve">ir </w:t>
      </w:r>
      <w:hyperlink r:id="rId10" w:history="1">
        <w:r w:rsidR="0033165B" w:rsidRPr="0033165B">
          <w:rPr>
            <w:rStyle w:val="Hipersaitas"/>
          </w:rPr>
          <w:t>Lietuvos Respublikos Vyriausybės nutarimo „Dėl Lietuvos Respublikos Vyriausybės 2000 m. gruodžio 15 d. nutarimo Nr. 1458 „Dėl Konkrečių valstybės rinkliavos dydžių sąrašo ir Valstybės rinkliavos mokėjimo ir grąžinimo taisyklių patvirtinimo“ pakeitimo“ pr</w:t>
        </w:r>
        <w:r w:rsidR="00AD5EDE">
          <w:rPr>
            <w:rStyle w:val="Hipersaitas"/>
          </w:rPr>
          <w:t>ojektą</w:t>
        </w:r>
      </w:hyperlink>
      <w:r>
        <w:rPr>
          <w:color w:val="000000"/>
        </w:rPr>
        <w:t xml:space="preserve">. </w:t>
      </w:r>
      <w:r>
        <w:t xml:space="preserve">Pagal kompetenciją įvertinę pateiktus projektus teikiame pastabas ir pasiūlymus: </w:t>
      </w:r>
    </w:p>
    <w:p w14:paraId="02A10BC3" w14:textId="641FB184" w:rsidR="004D2B85" w:rsidRDefault="004D2B85" w:rsidP="00F408D4">
      <w:pPr>
        <w:pStyle w:val="Sraopastraipa"/>
        <w:numPr>
          <w:ilvl w:val="0"/>
          <w:numId w:val="13"/>
        </w:numPr>
        <w:ind w:left="0" w:firstLine="1134"/>
        <w:jc w:val="both"/>
      </w:pPr>
      <w:r>
        <w:t xml:space="preserve">Siekiant aiškumo ir pavadinimo tikslumo siūlytina Projektu nauja redakcija dėstomo </w:t>
      </w:r>
      <w:r w:rsidRPr="00AD5EDE">
        <w:rPr>
          <w:color w:val="000000"/>
          <w:lang w:eastAsia="en-GB"/>
        </w:rPr>
        <w:t xml:space="preserve">Lietuvos Respublikos Vyriausybės nutarimo „Dėl įgaliojimų suteikimo įgyvendinant Lietuvos Respublikos pilietybės įstatymą ir </w:t>
      </w:r>
      <w:r w:rsidR="00F86726">
        <w:rPr>
          <w:color w:val="000000"/>
          <w:lang w:eastAsia="en-GB"/>
        </w:rPr>
        <w:t>D</w:t>
      </w:r>
      <w:r w:rsidRPr="00AD5EDE">
        <w:rPr>
          <w:color w:val="000000"/>
          <w:lang w:eastAsia="en-GB"/>
        </w:rPr>
        <w:t xml:space="preserve">okumentų, susijusių su Lietuvos Respublikos pilietybe, teikimo ir nagrinėjimo tvarkos aprašo patvirtinimo“ (toliau – </w:t>
      </w:r>
      <w:r>
        <w:rPr>
          <w:color w:val="000000"/>
          <w:lang w:eastAsia="en-GB"/>
        </w:rPr>
        <w:t>k</w:t>
      </w:r>
      <w:r w:rsidRPr="00AD5EDE">
        <w:rPr>
          <w:color w:val="000000"/>
          <w:lang w:eastAsia="en-GB"/>
        </w:rPr>
        <w:t>eičiamas nutarimas)</w:t>
      </w:r>
      <w:r>
        <w:rPr>
          <w:color w:val="000000"/>
          <w:lang w:eastAsia="en-GB"/>
        </w:rPr>
        <w:t xml:space="preserve"> </w:t>
      </w:r>
      <w:r w:rsidRPr="00F86726">
        <w:rPr>
          <w:i/>
          <w:iCs/>
          <w:color w:val="000000"/>
          <w:lang w:eastAsia="en-GB"/>
        </w:rPr>
        <w:t>pavadinimą sutrumpinti</w:t>
      </w:r>
      <w:r>
        <w:rPr>
          <w:color w:val="000000"/>
          <w:lang w:eastAsia="en-GB"/>
        </w:rPr>
        <w:t xml:space="preserve"> ir vadinti „Dėl </w:t>
      </w:r>
      <w:r w:rsidRPr="00AD5EDE">
        <w:rPr>
          <w:color w:val="000000"/>
          <w:lang w:eastAsia="en-GB"/>
        </w:rPr>
        <w:t>Lietuvos Respublikos pilietybės įstatym</w:t>
      </w:r>
      <w:r>
        <w:rPr>
          <w:color w:val="000000"/>
          <w:lang w:eastAsia="en-GB"/>
        </w:rPr>
        <w:t xml:space="preserve">o įgyvendinimo“. </w:t>
      </w:r>
    </w:p>
    <w:p w14:paraId="6A67E0DC" w14:textId="131B32F3" w:rsidR="0033165B" w:rsidRPr="00052B5A" w:rsidRDefault="005E4418" w:rsidP="00F408D4">
      <w:pPr>
        <w:pStyle w:val="Sraopastraipa"/>
        <w:numPr>
          <w:ilvl w:val="0"/>
          <w:numId w:val="13"/>
        </w:numPr>
        <w:ind w:left="0" w:firstLine="1134"/>
        <w:jc w:val="both"/>
      </w:pPr>
      <w:r>
        <w:t>K</w:t>
      </w:r>
      <w:r w:rsidR="003E36C5" w:rsidRPr="00AD5EDE">
        <w:rPr>
          <w:color w:val="000000"/>
          <w:lang w:eastAsia="en-GB"/>
        </w:rPr>
        <w:t>eičiam</w:t>
      </w:r>
      <w:r>
        <w:rPr>
          <w:color w:val="000000"/>
          <w:lang w:eastAsia="en-GB"/>
        </w:rPr>
        <w:t>o</w:t>
      </w:r>
      <w:r w:rsidR="003E36C5" w:rsidRPr="00AD5EDE">
        <w:rPr>
          <w:color w:val="000000"/>
          <w:lang w:eastAsia="en-GB"/>
        </w:rPr>
        <w:t xml:space="preserve"> nutarim</w:t>
      </w:r>
      <w:r>
        <w:rPr>
          <w:color w:val="000000"/>
          <w:lang w:eastAsia="en-GB"/>
        </w:rPr>
        <w:t>o</w:t>
      </w:r>
      <w:r w:rsidR="00052B5A" w:rsidRPr="00AD5EDE">
        <w:rPr>
          <w:color w:val="000000"/>
          <w:lang w:eastAsia="en-GB"/>
        </w:rPr>
        <w:t xml:space="preserve"> preambulėje siūlytina teikti nuorod</w:t>
      </w:r>
      <w:r w:rsidR="00AD5EDE">
        <w:rPr>
          <w:color w:val="000000"/>
          <w:lang w:eastAsia="en-GB"/>
        </w:rPr>
        <w:t>as</w:t>
      </w:r>
      <w:r w:rsidR="00052B5A" w:rsidRPr="00AD5EDE">
        <w:rPr>
          <w:color w:val="000000"/>
          <w:lang w:eastAsia="en-GB"/>
        </w:rPr>
        <w:t xml:space="preserve"> į Lietuvos Respublikos pilietybės įstatymo</w:t>
      </w:r>
      <w:r w:rsidR="00E62C9D" w:rsidRPr="00AD5EDE">
        <w:rPr>
          <w:color w:val="000000"/>
          <w:lang w:eastAsia="en-GB"/>
        </w:rPr>
        <w:t xml:space="preserve"> (toliau – Įstatymas)</w:t>
      </w:r>
      <w:r w:rsidR="00052B5A" w:rsidRPr="00AD5EDE">
        <w:rPr>
          <w:color w:val="000000"/>
          <w:lang w:eastAsia="en-GB"/>
        </w:rPr>
        <w:t xml:space="preserve"> 12 straipsnio 1 ir 2 dalis</w:t>
      </w:r>
      <w:r w:rsidR="00E62C9D" w:rsidRPr="00AD5EDE">
        <w:rPr>
          <w:color w:val="000000"/>
          <w:lang w:eastAsia="en-GB"/>
        </w:rPr>
        <w:t xml:space="preserve">, </w:t>
      </w:r>
      <w:r w:rsidR="00AD5EDE">
        <w:rPr>
          <w:color w:val="000000"/>
          <w:lang w:eastAsia="en-GB"/>
        </w:rPr>
        <w:t xml:space="preserve">23 straipsnio 10 dalį, 33 straipsnį, 37 straipsnio 2, 5 dalis, 46 straipsnio 2 dalies 1 punktą, kuriuose yra Įstatymu pavesta Lietuvos Respublikos Vyriausybei nustatyti tam tikrą tvarką. Kitose nuostatose įtvirtintu reguliavimu Vyriausybė vadovaujasi priimdama poįstatyminius aktus, tačiau jos nėra keičiamo nutarimo teisinis pagrindas. </w:t>
      </w:r>
    </w:p>
    <w:p w14:paraId="77DE5016" w14:textId="28BE2F07" w:rsidR="00BA6A5D" w:rsidRPr="00BA6A5D" w:rsidRDefault="00F86726" w:rsidP="00BA6A5D">
      <w:pPr>
        <w:pStyle w:val="Sraopastraipa"/>
        <w:numPr>
          <w:ilvl w:val="0"/>
          <w:numId w:val="13"/>
        </w:numPr>
        <w:ind w:left="0" w:firstLine="1134"/>
        <w:jc w:val="both"/>
      </w:pPr>
      <w:r>
        <w:t xml:space="preserve">Projekte nauja redakcija dėstomo keičiamu nutarimu tvirtinamo </w:t>
      </w:r>
      <w:r>
        <w:rPr>
          <w:color w:val="000000"/>
          <w:lang w:eastAsia="en-GB"/>
        </w:rPr>
        <w:t>D</w:t>
      </w:r>
      <w:r w:rsidRPr="00AD5EDE">
        <w:rPr>
          <w:color w:val="000000"/>
          <w:lang w:eastAsia="en-GB"/>
        </w:rPr>
        <w:t>okumentų, susijusių su Lietuvos Respublikos pilietybe, teikimo ir nagrinėjimo tvarkos apraš</w:t>
      </w:r>
      <w:r>
        <w:rPr>
          <w:color w:val="000000"/>
          <w:lang w:eastAsia="en-GB"/>
        </w:rPr>
        <w:t xml:space="preserve">e (toliau – Aprašas) </w:t>
      </w:r>
      <w:r w:rsidRPr="00F86726">
        <w:rPr>
          <w:color w:val="000000"/>
          <w:lang w:eastAsia="en-GB"/>
        </w:rPr>
        <w:t>4 punkte nustatoma, kad j</w:t>
      </w:r>
      <w:r w:rsidR="006C5719" w:rsidRPr="00F86726">
        <w:rPr>
          <w:color w:val="000000"/>
          <w:lang w:eastAsia="en-GB"/>
        </w:rPr>
        <w:t xml:space="preserve">eigu asmuo </w:t>
      </w:r>
      <w:r w:rsidR="006C5719" w:rsidRPr="00001A36">
        <w:rPr>
          <w:i/>
          <w:iCs/>
          <w:color w:val="000000"/>
          <w:lang w:eastAsia="en-GB"/>
        </w:rPr>
        <w:t>dėl objektyvių priežasčių</w:t>
      </w:r>
      <w:r w:rsidR="006C5719" w:rsidRPr="00F86726">
        <w:rPr>
          <w:color w:val="000000"/>
          <w:lang w:eastAsia="en-GB"/>
        </w:rPr>
        <w:t xml:space="preserve"> negali užpildyti prašymo per </w:t>
      </w:r>
      <w:r>
        <w:rPr>
          <w:color w:val="000000"/>
          <w:lang w:eastAsia="en-GB"/>
        </w:rPr>
        <w:t xml:space="preserve">Lietuvos migracijos informacinę sistemą (toliau – </w:t>
      </w:r>
      <w:r w:rsidR="006C5719" w:rsidRPr="00F86726">
        <w:rPr>
          <w:color w:val="000000"/>
          <w:lang w:eastAsia="en-GB"/>
        </w:rPr>
        <w:t>MIGRIS</w:t>
      </w:r>
      <w:r>
        <w:rPr>
          <w:color w:val="000000"/>
          <w:lang w:eastAsia="en-GB"/>
        </w:rPr>
        <w:t xml:space="preserve">), tuomet gali tą padaryti atvykęs į Migracijos departamentą ir padedant Migracijos departamento darbuotojui. Pastebėtina, kad tokia galimybė sudaroma </w:t>
      </w:r>
      <w:r w:rsidRPr="00F86726">
        <w:rPr>
          <w:i/>
          <w:iCs/>
          <w:color w:val="000000"/>
          <w:lang w:eastAsia="en-GB"/>
        </w:rPr>
        <w:t>tik skliausteliuose išvardintiems asmenims</w:t>
      </w:r>
      <w:r>
        <w:rPr>
          <w:color w:val="000000"/>
          <w:lang w:eastAsia="en-GB"/>
        </w:rPr>
        <w:t xml:space="preserve"> –</w:t>
      </w:r>
      <w:r w:rsidR="006C5719" w:rsidRPr="00F86726">
        <w:rPr>
          <w:color w:val="000000"/>
          <w:lang w:eastAsia="en-GB"/>
        </w:rPr>
        <w:t xml:space="preserve"> </w:t>
      </w:r>
      <w:r>
        <w:rPr>
          <w:color w:val="000000"/>
          <w:lang w:eastAsia="en-GB"/>
        </w:rPr>
        <w:t>„</w:t>
      </w:r>
      <w:r w:rsidR="006C5719" w:rsidRPr="00F86726">
        <w:rPr>
          <w:color w:val="000000"/>
          <w:lang w:eastAsia="en-GB"/>
        </w:rPr>
        <w:t xml:space="preserve">(asmenys, kuriems sukako 65 metai, asmenys, kuriems nustatytas 0–55 procentų darbingumo lygis, ir asmenys, kuriems sukako senatvės pensijos amžius ir kuriems teisės aktų nustatyta tvarka yra nustatytas didelių ir vidutinių </w:t>
      </w:r>
      <w:r w:rsidR="006C5719" w:rsidRPr="00F86726">
        <w:rPr>
          <w:color w:val="000000"/>
          <w:lang w:eastAsia="en-GB"/>
        </w:rPr>
        <w:lastRenderedPageBreak/>
        <w:t>specialiųjų poreikių lygis, taip pat asmenys, turintys sunkių lėtinių psichikos ir elgesio sutrikimų)</w:t>
      </w:r>
      <w:r>
        <w:rPr>
          <w:color w:val="000000"/>
          <w:lang w:eastAsia="en-GB"/>
        </w:rPr>
        <w:t xml:space="preserve">“. </w:t>
      </w:r>
      <w:r w:rsidR="00001A36">
        <w:rPr>
          <w:color w:val="000000"/>
          <w:lang w:eastAsia="en-GB"/>
        </w:rPr>
        <w:t xml:space="preserve">Manytina, kad baigtinis išvardintų asmenų sąrašas suponuoja, kad esant </w:t>
      </w:r>
      <w:r w:rsidR="00001A36" w:rsidRPr="00001A36">
        <w:rPr>
          <w:i/>
          <w:iCs/>
          <w:color w:val="000000"/>
          <w:lang w:eastAsia="en-GB"/>
        </w:rPr>
        <w:t>kitoms objektyvioms priežastims</w:t>
      </w:r>
      <w:r w:rsidR="00001A36">
        <w:rPr>
          <w:color w:val="000000"/>
          <w:lang w:eastAsia="en-GB"/>
        </w:rPr>
        <w:t xml:space="preserve"> asmenys negalėtų pateikti prašymo atvykę į Migracijos departamentą. Siūlytina palikti galimybę  šia </w:t>
      </w:r>
      <w:r w:rsidR="00001A36" w:rsidRPr="00BA6A5D">
        <w:rPr>
          <w:color w:val="000000"/>
          <w:lang w:eastAsia="en-GB"/>
        </w:rPr>
        <w:t xml:space="preserve">nuostata pasinaudoti ir kitais nenumatytais atvejais. </w:t>
      </w:r>
      <w:r w:rsidR="00615BA1">
        <w:rPr>
          <w:color w:val="000000"/>
          <w:lang w:eastAsia="en-GB"/>
        </w:rPr>
        <w:t>Taip pat svarstytina</w:t>
      </w:r>
      <w:r w:rsidR="00F22F17">
        <w:rPr>
          <w:color w:val="000000"/>
          <w:lang w:eastAsia="en-GB"/>
        </w:rPr>
        <w:t>,</w:t>
      </w:r>
      <w:r w:rsidR="00615BA1">
        <w:rPr>
          <w:color w:val="000000"/>
          <w:lang w:eastAsia="en-GB"/>
        </w:rPr>
        <w:t xml:space="preserve"> ar Projekto 2.2 p</w:t>
      </w:r>
      <w:r w:rsidR="00F22F17">
        <w:rPr>
          <w:color w:val="000000"/>
          <w:lang w:eastAsia="en-GB"/>
        </w:rPr>
        <w:t>unkte</w:t>
      </w:r>
      <w:r w:rsidR="00615BA1">
        <w:rPr>
          <w:color w:val="000000"/>
          <w:lang w:eastAsia="en-GB"/>
        </w:rPr>
        <w:t xml:space="preserve"> nurodytu pereinamuoju laikotarpiu tokia teisė neturėtų būti laiduojama visiems asmenims</w:t>
      </w:r>
      <w:r w:rsidR="00E072D6">
        <w:rPr>
          <w:color w:val="000000"/>
          <w:lang w:eastAsia="en-GB"/>
        </w:rPr>
        <w:t xml:space="preserve"> be išlygų</w:t>
      </w:r>
      <w:r w:rsidR="00F22F17">
        <w:rPr>
          <w:color w:val="000000"/>
          <w:lang w:eastAsia="en-GB"/>
        </w:rPr>
        <w:t>.</w:t>
      </w:r>
    </w:p>
    <w:p w14:paraId="1AD288BB" w14:textId="59F2F0A8" w:rsidR="0026413E" w:rsidRDefault="000E4B91" w:rsidP="000E4B91">
      <w:pPr>
        <w:pStyle w:val="Sraopastraipa"/>
        <w:numPr>
          <w:ilvl w:val="0"/>
          <w:numId w:val="13"/>
        </w:numPr>
        <w:ind w:left="0" w:firstLine="1134"/>
        <w:jc w:val="both"/>
      </w:pPr>
      <w:r>
        <w:t xml:space="preserve">Pažymėtina, kad </w:t>
      </w:r>
      <w:r w:rsidRPr="00B722AC">
        <w:rPr>
          <w:color w:val="201F1E"/>
          <w:bdr w:val="none" w:sz="0" w:space="0" w:color="auto" w:frame="1"/>
        </w:rPr>
        <w:t>dokument</w:t>
      </w:r>
      <w:r>
        <w:rPr>
          <w:color w:val="201F1E"/>
          <w:bdr w:val="none" w:sz="0" w:space="0" w:color="auto" w:frame="1"/>
        </w:rPr>
        <w:t>ų</w:t>
      </w:r>
      <w:r w:rsidRPr="00B722AC">
        <w:rPr>
          <w:color w:val="201F1E"/>
          <w:bdr w:val="none" w:sz="0" w:space="0" w:color="auto" w:frame="1"/>
        </w:rPr>
        <w:t xml:space="preserve"> legaliz</w:t>
      </w:r>
      <w:r>
        <w:rPr>
          <w:color w:val="201F1E"/>
          <w:bdr w:val="none" w:sz="0" w:space="0" w:color="auto" w:frame="1"/>
        </w:rPr>
        <w:t xml:space="preserve">avimo </w:t>
      </w:r>
      <w:r w:rsidR="00E50ABB">
        <w:rPr>
          <w:color w:val="201F1E"/>
          <w:bdr w:val="none" w:sz="0" w:space="0" w:color="auto" w:frame="1"/>
        </w:rPr>
        <w:t>a</w:t>
      </w:r>
      <w:r w:rsidRPr="00B722AC">
        <w:rPr>
          <w:color w:val="201F1E"/>
          <w:bdr w:val="none" w:sz="0" w:space="0" w:color="auto" w:frame="1"/>
        </w:rPr>
        <w:t>r patvirtin</w:t>
      </w:r>
      <w:r>
        <w:rPr>
          <w:color w:val="201F1E"/>
          <w:bdr w:val="none" w:sz="0" w:space="0" w:color="auto" w:frame="1"/>
        </w:rPr>
        <w:t>imo</w:t>
      </w:r>
      <w:r w:rsidRPr="00B722AC">
        <w:rPr>
          <w:color w:val="201F1E"/>
          <w:bdr w:val="none" w:sz="0" w:space="0" w:color="auto" w:frame="1"/>
        </w:rPr>
        <w:t xml:space="preserve"> pažyma (</w:t>
      </w:r>
      <w:r w:rsidRPr="00B722AC">
        <w:rPr>
          <w:i/>
          <w:color w:val="201F1E"/>
          <w:bdr w:val="none" w:sz="0" w:space="0" w:color="auto" w:frame="1"/>
        </w:rPr>
        <w:t>Apostille</w:t>
      </w:r>
      <w:r w:rsidRPr="00B722AC">
        <w:rPr>
          <w:color w:val="201F1E"/>
          <w:bdr w:val="none" w:sz="0" w:space="0" w:color="auto" w:frame="1"/>
        </w:rPr>
        <w:t>)</w:t>
      </w:r>
      <w:r>
        <w:rPr>
          <w:color w:val="201F1E"/>
          <w:bdr w:val="none" w:sz="0" w:space="0" w:color="auto" w:frame="1"/>
        </w:rPr>
        <w:t xml:space="preserve"> reikalavimas yra taikomas tik </w:t>
      </w:r>
      <w:r w:rsidRPr="00B722AC">
        <w:rPr>
          <w:color w:val="201F1E"/>
          <w:bdr w:val="none" w:sz="0" w:space="0" w:color="auto" w:frame="1"/>
        </w:rPr>
        <w:t>užsienio valstybių išduot</w:t>
      </w:r>
      <w:r>
        <w:rPr>
          <w:color w:val="201F1E"/>
          <w:bdr w:val="none" w:sz="0" w:space="0" w:color="auto" w:frame="1"/>
        </w:rPr>
        <w:t>ų</w:t>
      </w:r>
      <w:r w:rsidRPr="00B722AC">
        <w:rPr>
          <w:color w:val="201F1E"/>
          <w:bdr w:val="none" w:sz="0" w:space="0" w:color="auto" w:frame="1"/>
        </w:rPr>
        <w:t xml:space="preserve"> </w:t>
      </w:r>
      <w:r>
        <w:rPr>
          <w:color w:val="201F1E"/>
          <w:bdr w:val="none" w:sz="0" w:space="0" w:color="auto" w:frame="1"/>
        </w:rPr>
        <w:t xml:space="preserve">ar </w:t>
      </w:r>
      <w:r w:rsidRPr="00B722AC">
        <w:rPr>
          <w:color w:val="201F1E"/>
          <w:bdr w:val="none" w:sz="0" w:space="0" w:color="auto" w:frame="1"/>
        </w:rPr>
        <w:t>užsienio valstybės notarine ar jai prilyginta tvarka patvirtint</w:t>
      </w:r>
      <w:r>
        <w:rPr>
          <w:color w:val="201F1E"/>
          <w:bdr w:val="none" w:sz="0" w:space="0" w:color="auto" w:frame="1"/>
        </w:rPr>
        <w:t xml:space="preserve">ų dokumentų atveju. Atsižvelgiant į tai, siūlytina Aprašo 7.2 papunkčio paskutiniame sakinyje nurodyti, jog taikomos ne tik </w:t>
      </w:r>
      <w:r>
        <w:rPr>
          <w:color w:val="000000"/>
        </w:rPr>
        <w:t xml:space="preserve">Aprašo 5 punkte nurodytos </w:t>
      </w:r>
      <w:r w:rsidRPr="00C22306">
        <w:rPr>
          <w:color w:val="000000"/>
        </w:rPr>
        <w:t>išimtys</w:t>
      </w:r>
      <w:r w:rsidRPr="00C22306">
        <w:rPr>
          <w:color w:val="201F1E"/>
          <w:bdr w:val="none" w:sz="0" w:space="0" w:color="auto" w:frame="1"/>
        </w:rPr>
        <w:t xml:space="preserve">, bet ir </w:t>
      </w:r>
      <w:r w:rsidR="00C22306" w:rsidRPr="00C22306">
        <w:rPr>
          <w:color w:val="201F1E"/>
          <w:bdr w:val="none" w:sz="0" w:space="0" w:color="auto" w:frame="1"/>
        </w:rPr>
        <w:t xml:space="preserve">tais atvejais, kai dokumentas </w:t>
      </w:r>
      <w:r w:rsidR="00C22306" w:rsidRPr="00C22306">
        <w:rPr>
          <w:bCs/>
          <w:color w:val="201F1E"/>
          <w:bdr w:val="none" w:sz="0" w:space="0" w:color="auto" w:frame="1"/>
        </w:rPr>
        <w:t>yra patvirtintas Lietuvos Respublikos notaro</w:t>
      </w:r>
      <w:r w:rsidR="00E50ABB">
        <w:rPr>
          <w:bCs/>
          <w:color w:val="201F1E"/>
          <w:bdr w:val="none" w:sz="0" w:space="0" w:color="auto" w:frame="1"/>
        </w:rPr>
        <w:t xml:space="preserve"> (šiuo aspektu tikslintini ir kiti Aprašo punktai).</w:t>
      </w:r>
      <w:r w:rsidR="00C22306" w:rsidRPr="00C22306">
        <w:rPr>
          <w:color w:val="201F1E"/>
          <w:bdr w:val="none" w:sz="0" w:space="0" w:color="auto" w:frame="1"/>
        </w:rPr>
        <w:t xml:space="preserve"> </w:t>
      </w:r>
      <w:r w:rsidR="0026413E">
        <w:t xml:space="preserve">Aprašo 7.2 papunktyje taip pat siūlytina aptarti ir atvejus, jei pareiškimas būtų pasirašomas </w:t>
      </w:r>
      <w:r w:rsidR="0026413E" w:rsidRPr="000E4B91">
        <w:rPr>
          <w:i/>
          <w:iCs/>
        </w:rPr>
        <w:t>elektroniniu parašu</w:t>
      </w:r>
      <w:r w:rsidR="0026413E">
        <w:t xml:space="preserve">. </w:t>
      </w:r>
    </w:p>
    <w:p w14:paraId="2E36BB76" w14:textId="77777777" w:rsidR="003870A4" w:rsidRDefault="003870A4" w:rsidP="003870A4">
      <w:pPr>
        <w:pStyle w:val="Sraopastraipa"/>
        <w:numPr>
          <w:ilvl w:val="0"/>
          <w:numId w:val="13"/>
        </w:numPr>
        <w:ind w:left="0" w:firstLine="1134"/>
        <w:jc w:val="both"/>
      </w:pPr>
      <w:r>
        <w:t xml:space="preserve">Aprašo 7.7 papunktyje nustatyta, kad tuo atveju, kai Pilietybės įstatymo 37 straipsnio 1 dalyje nurodytas asmuo pageidauja, kad jo prašymas būtų nagrinėjamas naudojant prie kito asmens prašymo pridėtus dokumentus, jis turi pateikti Reglamento (ES) 2016/679 reikalavimus atitinkantį kito asmens pasirašytą sutikimą, kad prie jo prašymo dėl Lietuvos Respublikos pilietybės pridėti dokumentai su juose nurodytais jo asmens duomenimis būtų naudojami nagrinėjant pateikiančio asmens prašymą dėl Lietuvos Respublikos pilietybės atkūrimo. </w:t>
      </w:r>
    </w:p>
    <w:p w14:paraId="04C25B9D" w14:textId="77777777" w:rsidR="003870A4" w:rsidRDefault="003870A4" w:rsidP="003870A4">
      <w:pPr>
        <w:pStyle w:val="Sraopastraipa"/>
        <w:ind w:left="0" w:firstLine="1134"/>
        <w:jc w:val="both"/>
      </w:pPr>
      <w:r>
        <w:t>Aprašo 26 punkte nurodyta, kad „jeigu Migracijos departamentas, nagrinėdamas prašymą dėl Lietuvos Respublikos pilietybės atkūrimo &lt;..&gt; nustato, kad &lt;...&gt;  aprašo 7.7 papunktyje nurodytas sutikimas neatitinka Reglamento (ES) 2016/679 reikalavimų arba sutikimą pateikęs asmuo šį sutikimą atšaukė, &lt;...&gt; Migracijos departamentas šį prašymą pateikusiam asmeniui išsiunčia pranešimą per MIGRIS ir nustato pagrįstą, bet ne ilgesnį kaip 1 metų, terminą reikiamiems duomenims ir (ar) dokumentams pateikti arba patikslinti“.</w:t>
      </w:r>
    </w:p>
    <w:p w14:paraId="2F413CED" w14:textId="410898B9" w:rsidR="003870A4" w:rsidRDefault="003870A4" w:rsidP="003870A4">
      <w:pPr>
        <w:pStyle w:val="Sraopastraipa"/>
        <w:ind w:left="0" w:firstLine="1134"/>
        <w:jc w:val="both"/>
      </w:pPr>
      <w:r>
        <w:t xml:space="preserve">Iš šių Aprašo nuostatų nėra aišku, ar tokiu atveju, jeigu duomenų subjektas, kurio asmens duomenimis pageidauja naudotis Pilietybės įstatymo 37 straipsnio 1 dalyje nurodytas asmuo, nesutiks patvirtinti sutikimo arba prašymo nagrinėjimo procedūros eigoje atšauks minėtą sutikimą, kai jo asmens duomenys (dokumentai) galimai yra būtini nagrinėjant asmens prašymą, asmuo nepatirs neigiamų pasekmių prašymo nagrinėjimo procedūros eigoje. Be to, jei duomenų subjektas neduos sutikimo ar jį atšauks, kitam asmeniui gal būti sudėtinga ar apskritai neįmanoma per Migracijos departamento nustatytą terminą pateikti reikiamus duomenis ir (ar) dokumentus. Taip pat reikia įvertinti ir tą aplinkybę, kad pateiktuose dokumentuose gali būti ne tik to duomenų subjekto, kurio sutikimo būtų reikalaujama, bet ir, pavyzdžiui, jo artimųjų asmens duomenų. </w:t>
      </w:r>
      <w:r w:rsidRPr="007C4C72">
        <w:t xml:space="preserve">Be to, Reglamento (ES) 2016/679 7 straipsnio 1 dalyje įtvirtinta, kad kai asmens duomenys tvarkomi remiantis sutikimu, duomenų valdytojas turi galėti įrodyti, kad duomenų subjektas davė sutikimą, kad būtų tvarkomi jo asmens duomenys. Šiuo atveju sutikimas duodamas kitam asmeniui (ne Migracijos departamentui (duomenų valdytojui), tačiau įvertinimą, ar sutikimas atitinka Reglamento (ES) 2016/679 reikalavimus, atliks Migracijos departamentas, remiantis Aprašo 26 punktu. Taigi, jei Migracijos departamentas vertins sutikimo atitiktį Reglamento (ES) 2016/679 reikalavimams, tai jam, kaip duomenų valdytojui, ir turėtų būti teikiamas sutikimas. Priešingu atveju, kyla klausimas, kaip Migracijos departamentas galės įvertinti, ar sutikimas </w:t>
      </w:r>
      <w:r w:rsidRPr="007C4C72">
        <w:rPr>
          <w:color w:val="000000"/>
          <w:lang w:eastAsia="lt-LT"/>
        </w:rPr>
        <w:t xml:space="preserve">yra suteiktas laisva valia, konkretus, informacija pagrįstas ir vienareikšmis nurodymas ir pan. Be to, pagal </w:t>
      </w:r>
      <w:r w:rsidRPr="007C4C72">
        <w:t>Reglamento (ES) 2016/679 7 straipsnio 3 dalį atšaukti sutikimą turi būti taip pat lengva kaip jį duoti. Kyla klausimas, kaip Migracijos departamentas įsitikins, ar sutikimas nėra atšauktas, jei prašymas atšaukti sutikimą pateikiamas prašymą pateikusiam asmeniui, taip pat nėra nustatyta, kaip duomenų subjektas galės sutikimą atšaukti</w:t>
      </w:r>
      <w:r w:rsidRPr="007C4C72">
        <w:rPr>
          <w:color w:val="000000"/>
        </w:rPr>
        <w:t>.</w:t>
      </w:r>
      <w:r>
        <w:rPr>
          <w:color w:val="000000"/>
        </w:rPr>
        <w:t xml:space="preserve"> </w:t>
      </w:r>
    </w:p>
    <w:p w14:paraId="74CB0DFC" w14:textId="77777777" w:rsidR="003870A4" w:rsidRDefault="003870A4" w:rsidP="003870A4">
      <w:pPr>
        <w:pStyle w:val="Sraopastraipa"/>
        <w:ind w:left="0" w:firstLine="1134"/>
        <w:jc w:val="both"/>
      </w:pPr>
      <w:r>
        <w:t xml:space="preserve">Taigi, siūlome įvertinti, ar kito subjekto asmens duomenų naudojimas gali būti grindžiamas jo sutikimu, ar dėl to nekiltų asmenims neigiamų pasekmių prašymo nagrinėjimo procedūros eigoje. Atsižvelgiant į Reglamento (ES) 2016/679 nuostatas ir į tai, kad duomenų valdytojas – valstybės institucija, siūlome įvertinti galimybę nustatyti, kad asmens duomenų </w:t>
      </w:r>
      <w:r>
        <w:lastRenderedPageBreak/>
        <w:t>tvarkymas būtų grindžiamas kita teisėto asmens duomenų tvarkymo sąlyga, nustatyta Reglamento (ES) 2016/679 6 straipsnio 1 dalies c punktu ar e punktu.</w:t>
      </w:r>
    </w:p>
    <w:p w14:paraId="2CE47E19" w14:textId="77777777" w:rsidR="003870A4" w:rsidRDefault="003870A4" w:rsidP="003870A4">
      <w:pPr>
        <w:pStyle w:val="Sraopastraipa"/>
        <w:ind w:left="0" w:firstLine="1134"/>
        <w:jc w:val="both"/>
      </w:pPr>
      <w:r>
        <w:t>Pastebėtina, kad dėl šių Aprašo nuostatų buvo teikta pastaba ir Valstybinės duomenų apsaugos inspekcijos 2020 m. rugsėjo 11 d. išvadoje Nr. 2R-4560 – (3.2E), tai pat ir Lietuvos Respublikos Vyriausybės kanceliarijos Teisės grupės 2021 m. sausio 11 d. išvadoje Nr. NV-62.</w:t>
      </w:r>
    </w:p>
    <w:p w14:paraId="7602F837" w14:textId="3BCC5594" w:rsidR="00665249" w:rsidRDefault="00665249" w:rsidP="00665249">
      <w:pPr>
        <w:pStyle w:val="Sraopastraipa"/>
        <w:numPr>
          <w:ilvl w:val="0"/>
          <w:numId w:val="13"/>
        </w:numPr>
        <w:ind w:left="0" w:firstLine="1134"/>
        <w:jc w:val="both"/>
      </w:pPr>
      <w:r>
        <w:t>Vadovaujantis Lietuvos Respublikos civilinio kodekso 2.139 straipsniu, šiuo metu sudaryti įgaliojimus informacinių technologijų (toliau – IT) priemonėmis juos įregistruojant Įgaliojimų registre galima tik tuo atveju, jei įgaliojimas tvirtinamas supaprastinta tvarka, kaip tai numatyta minėto straipsnio 1 dalyje. 2022 m. birželio 1 d. įsigalioja Civilinio kodekso pakeitimai, leisiantys ne tik supaprastinta tvarka tvirtinamus, bet visus įgaliojimus, kuriems neprivalomas notarinis ar jam prilygintas patvirtinimas, sudaryti IT priemonėmis, įregistruojant juos Įgaliojimų registre bei atsiras galimybė IT priemonėmis sudaryti įgaliojimus, nurodytus Civilinio kodekso 2.138 straipsnio 1 dalies 2 punkte (įgaliojima</w:t>
      </w:r>
      <w:r w:rsidR="000E4B91">
        <w:t>i</w:t>
      </w:r>
      <w:r>
        <w:t xml:space="preserve"> fizinio asmens vardu atlikti veiksmus, susijusius su juridiniais asmenimis).</w:t>
      </w:r>
    </w:p>
    <w:p w14:paraId="6AF947CB" w14:textId="77777777" w:rsidR="00665249" w:rsidRDefault="00665249" w:rsidP="00665249">
      <w:pPr>
        <w:pStyle w:val="Sraopastraipa"/>
        <w:ind w:left="0" w:firstLine="1134"/>
        <w:jc w:val="both"/>
      </w:pPr>
      <w:r>
        <w:t>Atsižvelgdami į tai, siūlome įsivertinti, ar Aprašo 7.8, 8.5, 13.5, 36.4 ir 39.4 papunkčiuose minimi įgaliojimai patenka į Civilinio kodekso 2.139 straipsnio reguliavimo apimtį, ir jeigu nepatenka – tikslinti Aprašo 7.8, 8.5, 13.5, 36.4 ir 39.4 papunkčius, numatant galimybę teikti tik notarine tvarka patvirtintų įgaliojimų originalus bei nustatyti nuostatų dėl IT priemonėmis sudaromų įgaliojimų įsigaliojimą 2022 m. birželio 1 d.</w:t>
      </w:r>
    </w:p>
    <w:p w14:paraId="5A5E716C" w14:textId="784433A6" w:rsidR="00665249" w:rsidRDefault="00665249" w:rsidP="00665249">
      <w:pPr>
        <w:pStyle w:val="Sraopastraipa"/>
        <w:ind w:left="0" w:firstLine="1134"/>
        <w:jc w:val="both"/>
      </w:pPr>
      <w:r>
        <w:t>Taip pat siūlytina tikslinti formuluotes taip, kaip jos vartojamos Civilinio kodekso 2.138 straipsnio 1 dalyje (2022 m. birželio 1 d. redakcija): Aprašo 7.8, 8.5 ir 36.4  papunkčiai tikslintini po žodžių „kai įgaliojimas yra sudarytas informacinių technologijų priemonėmis“ įrašant „ir duotas jį įregistruojant“; Aprašo 13.5 ir 39.4 papunkčiai tikslintini po žodžių „Įgaliojimų registre“ įrašant žodį „įregistruotas“. Be to, 7.8 papunktyje žodžių „valstybės įmonės Registrų centro tvarkomame“ atsakytina kaip perteklinių.</w:t>
      </w:r>
    </w:p>
    <w:p w14:paraId="1ABAEC96" w14:textId="27F4188C" w:rsidR="00A54C94" w:rsidRPr="009A6B9A" w:rsidRDefault="00A54C94" w:rsidP="00025375">
      <w:pPr>
        <w:pStyle w:val="Sraopastraipa"/>
        <w:numPr>
          <w:ilvl w:val="0"/>
          <w:numId w:val="13"/>
        </w:numPr>
        <w:ind w:left="0" w:firstLine="1134"/>
        <w:jc w:val="both"/>
      </w:pPr>
      <w:r>
        <w:t>Aprašo 8.4 ir kituose punktuose nustatomas bendrąsias teikiamiems dokumentų originalams, kopijoms, vertimams taikomas taisykles („</w:t>
      </w:r>
      <w:r>
        <w:rPr>
          <w:color w:val="000000"/>
          <w:lang w:eastAsia="lt-LT"/>
        </w:rPr>
        <w:t xml:space="preserve">Šis pranešimas </w:t>
      </w:r>
      <w:r>
        <w:rPr>
          <w:lang w:eastAsia="lt-LT"/>
        </w:rPr>
        <w:t>turi būti surašytas &lt;...&gt;</w:t>
      </w:r>
      <w:r>
        <w:rPr>
          <w:color w:val="000000"/>
          <w:lang w:eastAsia="lt-LT"/>
        </w:rPr>
        <w:t xml:space="preserve"> išskyrus aprašo 5 punkte nurodytas išimtis“) siūlytina dėstyti kaip bendrąsias nuostatas, o atskiruose skyriuose detalizuoti tik konkrečiu atveju pateikiamus dokumentus. </w:t>
      </w:r>
    </w:p>
    <w:p w14:paraId="29431BDE" w14:textId="74895F6B" w:rsidR="00A54C94" w:rsidRPr="009A6B9A" w:rsidRDefault="00A54C94" w:rsidP="00025375">
      <w:pPr>
        <w:pStyle w:val="Sraopastraipa"/>
        <w:numPr>
          <w:ilvl w:val="0"/>
          <w:numId w:val="13"/>
        </w:numPr>
        <w:ind w:left="0" w:firstLine="1134"/>
        <w:jc w:val="both"/>
      </w:pPr>
      <w:r>
        <w:rPr>
          <w:color w:val="000000"/>
          <w:lang w:eastAsia="lt-LT"/>
        </w:rPr>
        <w:t xml:space="preserve">Aprašo 9 punkte redakciniu aspektu tikslintina formuluotė – po žodžių „kad aprašo 10 punkte“ įrašant žodžius „nustatyta tvarka“. </w:t>
      </w:r>
    </w:p>
    <w:p w14:paraId="551E7CC9" w14:textId="231EDF9C" w:rsidR="00EC5C50" w:rsidRPr="009A6B9A" w:rsidRDefault="00EC5C50" w:rsidP="00025375">
      <w:pPr>
        <w:pStyle w:val="Sraopastraipa"/>
        <w:numPr>
          <w:ilvl w:val="0"/>
          <w:numId w:val="13"/>
        </w:numPr>
        <w:ind w:left="0" w:firstLine="1134"/>
        <w:jc w:val="both"/>
      </w:pPr>
      <w:r>
        <w:rPr>
          <w:color w:val="000000"/>
          <w:lang w:eastAsia="lt-LT"/>
        </w:rPr>
        <w:t xml:space="preserve">Aprašo 9 punkto </w:t>
      </w:r>
      <w:r w:rsidR="00005F33">
        <w:rPr>
          <w:color w:val="000000"/>
          <w:lang w:eastAsia="lt-LT"/>
        </w:rPr>
        <w:t>trečiojoje</w:t>
      </w:r>
      <w:r>
        <w:rPr>
          <w:color w:val="000000"/>
          <w:lang w:eastAsia="lt-LT"/>
        </w:rPr>
        <w:t xml:space="preserve"> pastraipoje nurodytinas </w:t>
      </w:r>
      <w:r w:rsidRPr="009A6B9A">
        <w:rPr>
          <w:i/>
          <w:iCs/>
          <w:color w:val="000000"/>
          <w:lang w:eastAsia="lt-LT"/>
        </w:rPr>
        <w:t>terminas</w:t>
      </w:r>
      <w:r>
        <w:rPr>
          <w:color w:val="000000"/>
          <w:lang w:eastAsia="lt-LT"/>
        </w:rPr>
        <w:t xml:space="preserve">, per kiek laiko nuo vertinimo atlikimo išsiunčiamas pranešimas. </w:t>
      </w:r>
    </w:p>
    <w:p w14:paraId="4B19DFEF" w14:textId="1C0B5B55" w:rsidR="0081403E" w:rsidRPr="009A6B9A" w:rsidRDefault="008C1253" w:rsidP="00025375">
      <w:pPr>
        <w:pStyle w:val="Sraopastraipa"/>
        <w:numPr>
          <w:ilvl w:val="0"/>
          <w:numId w:val="13"/>
        </w:numPr>
        <w:ind w:left="0" w:firstLine="1134"/>
        <w:jc w:val="both"/>
      </w:pPr>
      <w:r>
        <w:rPr>
          <w:color w:val="000000"/>
          <w:lang w:eastAsia="lt-LT"/>
        </w:rPr>
        <w:t xml:space="preserve"> </w:t>
      </w:r>
      <w:r w:rsidR="0081403E">
        <w:rPr>
          <w:color w:val="000000"/>
          <w:lang w:eastAsia="lt-LT"/>
        </w:rPr>
        <w:t xml:space="preserve">Atsižvelgiant į Aprašo 9 punkte nustatytą reikalavimą asmeniui pateikti „pranešimą, kad jis gali atlikti aprašo 10 punkte nurodytus veiksmus“, siūlytina Aprašo 10 punktą sieti su šio pranešimo gavimu. Priešingu atveju pranešimas, „kad jis gali atlikti Aprašo 10 punkte nustatytus veiksmus“ yra netikslingas. </w:t>
      </w:r>
    </w:p>
    <w:p w14:paraId="135D3978" w14:textId="7ABB7C94" w:rsidR="004F0BA6" w:rsidRDefault="008C1253" w:rsidP="00025375">
      <w:pPr>
        <w:pStyle w:val="Sraopastraipa"/>
        <w:numPr>
          <w:ilvl w:val="0"/>
          <w:numId w:val="13"/>
        </w:numPr>
        <w:ind w:left="0" w:firstLine="1134"/>
        <w:jc w:val="both"/>
      </w:pPr>
      <w:r>
        <w:t xml:space="preserve"> </w:t>
      </w:r>
      <w:r w:rsidR="004F0BA6">
        <w:t>Aprašo 11 punkte nustatoma, kad pateikiant vaiko prašymą leisti atsisakyti Lietuvos Respublikos pilietybės ir jei prašymą</w:t>
      </w:r>
      <w:r w:rsidR="004F0BA6" w:rsidRPr="004F0BA6">
        <w:rPr>
          <w:lang w:eastAsia="lt-LT"/>
        </w:rPr>
        <w:t xml:space="preserve"> </w:t>
      </w:r>
      <w:r w:rsidR="004F0BA6">
        <w:rPr>
          <w:lang w:eastAsia="lt-LT"/>
        </w:rPr>
        <w:t xml:space="preserve">užpildo vienas iš teisėtų atstovų, tuomet prie šio prašymo pridedamas „kito teisėto atstovo aprašo 7.5 papunktyje nurodytas </w:t>
      </w:r>
      <w:r w:rsidR="004F0BA6" w:rsidRPr="009A6B9A">
        <w:rPr>
          <w:i/>
          <w:iCs/>
          <w:lang w:eastAsia="lt-LT"/>
        </w:rPr>
        <w:t>laisvos formos</w:t>
      </w:r>
      <w:r w:rsidR="004F0BA6">
        <w:rPr>
          <w:lang w:eastAsia="lt-LT"/>
        </w:rPr>
        <w:t xml:space="preserve"> prašymas“. Atsižvelgiant į šių veiksmų pasekmes (pilietybės atsisakymas) ir </w:t>
      </w:r>
      <w:r w:rsidR="007B6F02">
        <w:rPr>
          <w:lang w:eastAsia="lt-LT"/>
        </w:rPr>
        <w:t xml:space="preserve">kituose aprašo punktuose (pvz., 13.5 papunktis, 23, 25 punktai) nustatytą reikalavimą dėl notaro patvirtintų dokumentų teikimo, manytina, kad turėtų būti reikalaujama teikti pareiškimą, kuriame būtų patvirtintas pareiškėjo parašo tikrumas. </w:t>
      </w:r>
    </w:p>
    <w:p w14:paraId="4BD0167A" w14:textId="359F1AAD" w:rsidR="00782D4F" w:rsidRPr="009A6B9A" w:rsidRDefault="00782D4F" w:rsidP="00025375">
      <w:pPr>
        <w:pStyle w:val="Sraopastraipa"/>
        <w:numPr>
          <w:ilvl w:val="0"/>
          <w:numId w:val="13"/>
        </w:numPr>
        <w:ind w:left="0" w:firstLine="1134"/>
        <w:jc w:val="both"/>
      </w:pPr>
      <w:r>
        <w:rPr>
          <w:lang w:eastAsia="lt-LT"/>
        </w:rPr>
        <w:t xml:space="preserve"> Aprašo 15 punkte nustatomi prašymo </w:t>
      </w:r>
      <w:r w:rsidRPr="009A6B9A">
        <w:rPr>
          <w:i/>
          <w:iCs/>
          <w:lang w:eastAsia="lt-LT"/>
        </w:rPr>
        <w:t>nepriėmimo</w:t>
      </w:r>
      <w:r>
        <w:rPr>
          <w:lang w:eastAsia="lt-LT"/>
        </w:rPr>
        <w:t xml:space="preserve"> atvejai. Visgi pastebėtina, kad lydraštyje kaip vienas iš projekto tikslų nurodomas reguliavimas, jog konsulinis pareigūnas „priimdamas prašymus nevertina šių prašymų ir prie jų pridedamų dokumentų atitikimo Pilietybės įstatyme nustatytiems reikalavimams“. </w:t>
      </w:r>
      <w:r w:rsidR="00811B9D">
        <w:rPr>
          <w:lang w:eastAsia="lt-LT"/>
        </w:rPr>
        <w:t xml:space="preserve">Taip pat priėmus prašymą, manytina, turėtų būti skiriama laiko jiems įvertinti ir tuomet priimamas sprendimas jį grąžinti arba atsisakyti tenkinti. </w:t>
      </w:r>
      <w:r w:rsidR="00FA0ACA">
        <w:rPr>
          <w:lang w:eastAsia="lt-LT"/>
        </w:rPr>
        <w:t>Tuo pačiu pažymėtina, kad Viešojo administravimo įstatymas iš viso nenumato prašymų nepriėmimo instituto</w:t>
      </w:r>
      <w:r w:rsidR="0020054C">
        <w:rPr>
          <w:lang w:eastAsia="lt-LT"/>
        </w:rPr>
        <w:t>.</w:t>
      </w:r>
    </w:p>
    <w:p w14:paraId="54846F47" w14:textId="7C2AF5B6" w:rsidR="00025375" w:rsidRPr="009A6B9A" w:rsidRDefault="001772BD" w:rsidP="00025375">
      <w:pPr>
        <w:pStyle w:val="Sraopastraipa"/>
        <w:numPr>
          <w:ilvl w:val="0"/>
          <w:numId w:val="13"/>
        </w:numPr>
        <w:ind w:left="0" w:firstLine="1134"/>
        <w:jc w:val="both"/>
      </w:pPr>
      <w:r>
        <w:rPr>
          <w:color w:val="000000"/>
          <w:lang w:eastAsia="en-GB"/>
        </w:rPr>
        <w:t xml:space="preserve"> </w:t>
      </w:r>
      <w:r w:rsidR="001779C4" w:rsidRPr="00BA6A5D">
        <w:rPr>
          <w:color w:val="000000"/>
          <w:lang w:eastAsia="en-GB"/>
        </w:rPr>
        <w:t>Vadovaujantis Valstybės rinkliavų mokėjimo ir grąžinimo taisyklių, patvirtintų Lietuvos Respublikos Vyriausybės</w:t>
      </w:r>
      <w:r w:rsidR="00001A36" w:rsidRPr="00BA6A5D">
        <w:rPr>
          <w:color w:val="000000"/>
          <w:lang w:eastAsia="en-GB"/>
        </w:rPr>
        <w:t xml:space="preserve"> </w:t>
      </w:r>
      <w:r w:rsidR="00BA6A5D" w:rsidRPr="00BA6A5D">
        <w:rPr>
          <w:color w:val="000000"/>
          <w:shd w:val="clear" w:color="auto" w:fill="FFFFFF"/>
        </w:rPr>
        <w:t xml:space="preserve">2000 m. gruodžio 15 d. nutarimu Nr. 1458, 1 punktu </w:t>
      </w:r>
      <w:r w:rsidR="00025375">
        <w:rPr>
          <w:color w:val="000000"/>
          <w:shd w:val="clear" w:color="auto" w:fill="FFFFFF"/>
        </w:rPr>
        <w:t>v</w:t>
      </w:r>
      <w:r w:rsidR="00BA6A5D" w:rsidRPr="00BA6A5D">
        <w:rPr>
          <w:color w:val="000000"/>
          <w:shd w:val="clear" w:color="auto" w:fill="FFFFFF"/>
        </w:rPr>
        <w:t xml:space="preserve">alstybės </w:t>
      </w:r>
      <w:r w:rsidR="00BA6A5D" w:rsidRPr="00BA6A5D">
        <w:rPr>
          <w:color w:val="000000"/>
          <w:shd w:val="clear" w:color="auto" w:fill="FFFFFF"/>
        </w:rPr>
        <w:lastRenderedPageBreak/>
        <w:t>rinkliava sumokama į Valstybinės mokesčių inspekcijos biudžeto pajamų surenkamąją sąskaitą.</w:t>
      </w:r>
      <w:r w:rsidR="00025375">
        <w:rPr>
          <w:color w:val="000000"/>
          <w:shd w:val="clear" w:color="auto" w:fill="FFFFFF"/>
        </w:rPr>
        <w:t xml:space="preserve"> Atsižvelgiant į tai, kad kitokių rinkliavos mokėjimo būdų nėra įtvirtinta, tikslintina Aprašo 13.1 </w:t>
      </w:r>
      <w:r w:rsidR="00741EF7">
        <w:rPr>
          <w:color w:val="000000"/>
          <w:shd w:val="clear" w:color="auto" w:fill="FFFFFF"/>
        </w:rPr>
        <w:t>papunkčio</w:t>
      </w:r>
      <w:r w:rsidR="00025375">
        <w:rPr>
          <w:color w:val="000000"/>
          <w:shd w:val="clear" w:color="auto" w:fill="FFFFFF"/>
        </w:rPr>
        <w:t xml:space="preserve"> nuostata „</w:t>
      </w:r>
      <w:r w:rsidR="00025375" w:rsidRPr="00E87433">
        <w:rPr>
          <w:i/>
          <w:iCs/>
          <w:color w:val="000000"/>
          <w:shd w:val="clear" w:color="auto" w:fill="FFFFFF"/>
        </w:rPr>
        <w:t>priima Vyriausybės nustatyto dydžio rinkliavą</w:t>
      </w:r>
      <w:r w:rsidR="00025375" w:rsidRPr="00E87433">
        <w:rPr>
          <w:color w:val="000000"/>
          <w:shd w:val="clear" w:color="auto" w:fill="FFFFFF"/>
        </w:rPr>
        <w:t xml:space="preserve">“. </w:t>
      </w:r>
      <w:r w:rsidR="00421A37">
        <w:rPr>
          <w:color w:val="000000"/>
          <w:shd w:val="clear" w:color="auto" w:fill="FFFFFF"/>
        </w:rPr>
        <w:t>Šiuo aspektu peržiūrėtin</w:t>
      </w:r>
      <w:r w:rsidR="00E072D6">
        <w:rPr>
          <w:color w:val="000000"/>
          <w:shd w:val="clear" w:color="auto" w:fill="FFFFFF"/>
        </w:rPr>
        <w:t>os</w:t>
      </w:r>
      <w:r w:rsidR="00421A37">
        <w:rPr>
          <w:color w:val="000000"/>
          <w:shd w:val="clear" w:color="auto" w:fill="FFFFFF"/>
        </w:rPr>
        <w:t xml:space="preserve"> ir kitos Aprašo nuostatos, pavyzdžiui, 15.2</w:t>
      </w:r>
      <w:r w:rsidR="001F1F0F">
        <w:rPr>
          <w:color w:val="000000"/>
          <w:shd w:val="clear" w:color="auto" w:fill="FFFFFF"/>
        </w:rPr>
        <w:t xml:space="preserve">, </w:t>
      </w:r>
      <w:r w:rsidR="00421A37">
        <w:rPr>
          <w:color w:val="000000"/>
          <w:shd w:val="clear" w:color="auto" w:fill="FFFFFF"/>
        </w:rPr>
        <w:t>papunk</w:t>
      </w:r>
      <w:r w:rsidR="001F1F0F">
        <w:rPr>
          <w:color w:val="000000"/>
          <w:shd w:val="clear" w:color="auto" w:fill="FFFFFF"/>
        </w:rPr>
        <w:t>čiai</w:t>
      </w:r>
      <w:r w:rsidR="00421A37">
        <w:rPr>
          <w:color w:val="000000"/>
          <w:shd w:val="clear" w:color="auto" w:fill="FFFFFF"/>
        </w:rPr>
        <w:t xml:space="preserve">. </w:t>
      </w:r>
      <w:r w:rsidR="00AA3850">
        <w:rPr>
          <w:color w:val="000000"/>
          <w:shd w:val="clear" w:color="auto" w:fill="FFFFFF"/>
        </w:rPr>
        <w:t xml:space="preserve">Šiame kontekste pažymėtina, kad nei Viešojo administravimo įstatymo 11 straipsnio 3 dalis, nei Rinkliavų įstatymo 9 straipsnio 1 dalis nenumato, kad rinkliavos nesumokėjimas gali būti pagrindas net </w:t>
      </w:r>
      <w:r w:rsidR="00AA3850" w:rsidRPr="00D34082">
        <w:rPr>
          <w:i/>
          <w:iCs/>
          <w:color w:val="000000"/>
          <w:shd w:val="clear" w:color="auto" w:fill="FFFFFF"/>
        </w:rPr>
        <w:t>nepriimti</w:t>
      </w:r>
      <w:r w:rsidR="00AA3850">
        <w:rPr>
          <w:color w:val="000000"/>
          <w:shd w:val="clear" w:color="auto" w:fill="FFFFFF"/>
        </w:rPr>
        <w:t xml:space="preserve"> prašymo ir teikiamų dokumentų. Manytina, kad tokiu atveju turėtų būti priimamas prašymas, nagrinėjamas ir nustačius, kad rinkliava nesumokėta, prašoma ištaisyti šį trūkumą. Tik atlikus šiuos veiksmus galėtų būti priimamas neigiamas sprendimas dėl pateikto prašymo. </w:t>
      </w:r>
    </w:p>
    <w:p w14:paraId="58823D11" w14:textId="5917DF90" w:rsidR="00AC5FA8" w:rsidRPr="00E87433" w:rsidRDefault="00AC5FA8" w:rsidP="00025375">
      <w:pPr>
        <w:pStyle w:val="Sraopastraipa"/>
        <w:numPr>
          <w:ilvl w:val="0"/>
          <w:numId w:val="13"/>
        </w:numPr>
        <w:ind w:left="0" w:firstLine="1134"/>
        <w:jc w:val="both"/>
      </w:pPr>
      <w:r>
        <w:rPr>
          <w:color w:val="000000"/>
          <w:shd w:val="clear" w:color="auto" w:fill="FFFFFF"/>
        </w:rPr>
        <w:t xml:space="preserve"> Aprašo 15.4 papunktyje pateiktina konkreti nuoroda į Aprašo punktus ar skirsnius. </w:t>
      </w:r>
    </w:p>
    <w:p w14:paraId="4013E831" w14:textId="0DEF29C4" w:rsidR="00525E8A" w:rsidRDefault="001772BD" w:rsidP="00525E8A">
      <w:pPr>
        <w:pStyle w:val="Sraopastraipa"/>
        <w:numPr>
          <w:ilvl w:val="0"/>
          <w:numId w:val="13"/>
        </w:numPr>
        <w:ind w:left="0" w:firstLine="1134"/>
        <w:jc w:val="both"/>
      </w:pPr>
      <w:r>
        <w:t xml:space="preserve"> </w:t>
      </w:r>
      <w:r w:rsidR="00525E8A" w:rsidRPr="00E87433">
        <w:t xml:space="preserve">Vadovaujantis </w:t>
      </w:r>
      <w:r w:rsidR="00525E8A" w:rsidRPr="00E87433">
        <w:rPr>
          <w:color w:val="000000"/>
          <w:shd w:val="clear" w:color="auto" w:fill="FFFFFF"/>
        </w:rPr>
        <w:t xml:space="preserve">Lietuvos Respublikos asmens tapatybės kortelės ir paso įstatymo 3 straipsnio 1 dalimi </w:t>
      </w:r>
      <w:r w:rsidR="00E87433" w:rsidRPr="00E87433">
        <w:t>„A</w:t>
      </w:r>
      <w:r w:rsidR="00525E8A" w:rsidRPr="00E87433">
        <w:t xml:space="preserve">smens tapatybės kortelė ir pasas yra Lietuvos Respublikos piliečio (toliau – pilietis) asmens dokumentai, </w:t>
      </w:r>
      <w:r w:rsidR="00525E8A" w:rsidRPr="00731713">
        <w:rPr>
          <w:i/>
          <w:iCs/>
        </w:rPr>
        <w:t>patvirtinantys jo asmens tapatybę</w:t>
      </w:r>
      <w:r w:rsidR="00525E8A" w:rsidRPr="00E87433">
        <w:t xml:space="preserve"> ir pilietybę</w:t>
      </w:r>
      <w:r w:rsidR="00E87433" w:rsidRPr="00E87433">
        <w:t>“</w:t>
      </w:r>
      <w:r w:rsidR="00525E8A" w:rsidRPr="00E87433">
        <w:t>.</w:t>
      </w:r>
      <w:r w:rsidR="00E87433">
        <w:t xml:space="preserve"> </w:t>
      </w:r>
      <w:r w:rsidR="00731713">
        <w:t xml:space="preserve">Advokato pažymėjimas yra dokumentas, skirtas </w:t>
      </w:r>
      <w:r w:rsidR="00731713" w:rsidRPr="00731713">
        <w:rPr>
          <w:i/>
          <w:iCs/>
        </w:rPr>
        <w:t>patvirtinti advokato teisę verstis advokato veikla</w:t>
      </w:r>
      <w:r w:rsidR="00731713">
        <w:t xml:space="preserve"> (žr. Lietuvos Respublikos advokatūros įstatymo 17 straipsnio 1, 3 dalis). </w:t>
      </w:r>
      <w:r w:rsidR="00741EF7">
        <w:t>Aprašo 13.5 papunktyje minint siekį „įsitikinti įgalioto asmens tapatybe“ asmens turi būti prašoma pateikti asmens tapatybę patvirtinantį dokumentą – a</w:t>
      </w:r>
      <w:r w:rsidR="00741EF7" w:rsidRPr="00E87433">
        <w:t>smens tapatybės kortel</w:t>
      </w:r>
      <w:r w:rsidR="00741EF7">
        <w:t>ę</w:t>
      </w:r>
      <w:r w:rsidR="00741EF7" w:rsidRPr="00E87433">
        <w:t xml:space="preserve"> </w:t>
      </w:r>
      <w:r w:rsidR="00741EF7">
        <w:t>arba</w:t>
      </w:r>
      <w:r w:rsidR="00741EF7" w:rsidRPr="00E87433">
        <w:t xml:space="preserve"> pas</w:t>
      </w:r>
      <w:r w:rsidR="00741EF7">
        <w:t xml:space="preserve">ą. </w:t>
      </w:r>
    </w:p>
    <w:p w14:paraId="481D48C8" w14:textId="6109563C" w:rsidR="00767739" w:rsidRDefault="001772BD" w:rsidP="00767739">
      <w:pPr>
        <w:pStyle w:val="Sraopastraipa"/>
        <w:numPr>
          <w:ilvl w:val="0"/>
          <w:numId w:val="13"/>
        </w:numPr>
        <w:ind w:left="0" w:firstLine="1134"/>
        <w:jc w:val="both"/>
      </w:pPr>
      <w:r>
        <w:t xml:space="preserve"> </w:t>
      </w:r>
      <w:r w:rsidR="001F1F0F">
        <w:t>Siūlytina Apraše aptarti atvejus, jei 19.1,19.3</w:t>
      </w:r>
      <w:r w:rsidR="00BB1A9D">
        <w:t>, 20.3</w:t>
      </w:r>
      <w:r w:rsidR="001F1F0F">
        <w:t xml:space="preserve"> ar kituose papunkčiuose nurodytos </w:t>
      </w:r>
      <w:r w:rsidR="001F1F0F" w:rsidRPr="00767739">
        <w:t xml:space="preserve">institucijos per nustatytą terminą nepateikia išvados. </w:t>
      </w:r>
    </w:p>
    <w:p w14:paraId="3D827E14" w14:textId="3BD8F648" w:rsidR="001772BD" w:rsidRPr="00767739" w:rsidRDefault="001772BD" w:rsidP="00767739">
      <w:pPr>
        <w:pStyle w:val="Sraopastraipa"/>
        <w:numPr>
          <w:ilvl w:val="0"/>
          <w:numId w:val="13"/>
        </w:numPr>
        <w:ind w:left="0" w:firstLine="1134"/>
        <w:jc w:val="both"/>
      </w:pPr>
      <w:r>
        <w:t xml:space="preserve"> Aprašo 21 punkte nurodytini konkretūs kreipimosi ir atsakymo pateikimo terminai. </w:t>
      </w:r>
    </w:p>
    <w:p w14:paraId="6C8C04A9" w14:textId="0CEF07E6" w:rsidR="00523FC6" w:rsidRPr="009A6B9A" w:rsidRDefault="00D3335A" w:rsidP="00A4242B">
      <w:pPr>
        <w:pStyle w:val="Sraopastraipa"/>
        <w:numPr>
          <w:ilvl w:val="0"/>
          <w:numId w:val="13"/>
        </w:numPr>
        <w:ind w:left="0" w:firstLine="1134"/>
        <w:jc w:val="both"/>
      </w:pPr>
      <w:r>
        <w:rPr>
          <w:color w:val="000000"/>
        </w:rPr>
        <w:t xml:space="preserve"> </w:t>
      </w:r>
      <w:r w:rsidR="00523FC6">
        <w:rPr>
          <w:color w:val="000000"/>
        </w:rPr>
        <w:t xml:space="preserve">Manytina, kad Aprašo 26 punkte nurodomu atveju, kai „dokumentuose yra klastojimo požymių“ turėtų būti informuojamos ikiteisminį tyrimą atliekančios institucijos. </w:t>
      </w:r>
    </w:p>
    <w:p w14:paraId="490EAC4A" w14:textId="27A54ECF" w:rsidR="00523FC6" w:rsidRPr="009A6B9A" w:rsidRDefault="00523FC6" w:rsidP="00A4242B">
      <w:pPr>
        <w:pStyle w:val="Sraopastraipa"/>
        <w:numPr>
          <w:ilvl w:val="0"/>
          <w:numId w:val="13"/>
        </w:numPr>
        <w:ind w:left="0" w:firstLine="1134"/>
        <w:jc w:val="both"/>
      </w:pPr>
      <w:r>
        <w:rPr>
          <w:color w:val="000000"/>
        </w:rPr>
        <w:t xml:space="preserve"> </w:t>
      </w:r>
      <w:r w:rsidR="00DA3BC7">
        <w:rPr>
          <w:color w:val="000000"/>
        </w:rPr>
        <w:t>Aprašo 27 punkte ir kituose punktuose nustatyti sprendimų priėmimo terminai neatitinka Viešojo administravimo įstatym</w:t>
      </w:r>
      <w:r w:rsidR="0017638C">
        <w:rPr>
          <w:color w:val="000000"/>
        </w:rPr>
        <w:t xml:space="preserve">o 10 straipsnio 4 dalyje </w:t>
      </w:r>
      <w:r w:rsidR="00DA3BC7">
        <w:rPr>
          <w:color w:val="000000"/>
        </w:rPr>
        <w:t>įtvirtinto reguliavimo</w:t>
      </w:r>
      <w:r w:rsidR="0017638C">
        <w:rPr>
          <w:color w:val="000000"/>
        </w:rPr>
        <w:t xml:space="preserve">. Pagal Viešojo administravimo įstatymo 1 straipsnio 2 dalį kitokie nei šiame įstatyme nustatyti terminai galėtų būti įtvirtinami tik </w:t>
      </w:r>
      <w:r w:rsidR="0017638C" w:rsidRPr="009A6B9A">
        <w:rPr>
          <w:i/>
          <w:iCs/>
          <w:color w:val="000000"/>
        </w:rPr>
        <w:t>įstatymu</w:t>
      </w:r>
      <w:r w:rsidR="0017638C">
        <w:rPr>
          <w:color w:val="000000"/>
        </w:rPr>
        <w:t>.</w:t>
      </w:r>
      <w:r w:rsidR="00DA3BC7">
        <w:rPr>
          <w:color w:val="000000"/>
        </w:rPr>
        <w:t xml:space="preserve"> </w:t>
      </w:r>
      <w:r w:rsidR="0017638C">
        <w:rPr>
          <w:color w:val="000000"/>
        </w:rPr>
        <w:t>Šiuo aspektu turėtų būti peržiūrėtinas ir</w:t>
      </w:r>
      <w:r w:rsidR="00F541CA">
        <w:rPr>
          <w:color w:val="000000"/>
        </w:rPr>
        <w:t>,</w:t>
      </w:r>
      <w:r w:rsidR="0017638C">
        <w:rPr>
          <w:color w:val="000000"/>
        </w:rPr>
        <w:t xml:space="preserve"> </w:t>
      </w:r>
      <w:r w:rsidR="00F541CA">
        <w:rPr>
          <w:color w:val="000000"/>
        </w:rPr>
        <w:t>įvertinant</w:t>
      </w:r>
      <w:r w:rsidR="0017638C">
        <w:rPr>
          <w:color w:val="000000"/>
        </w:rPr>
        <w:t xml:space="preserve"> Viešojo administravimo įstatyme įtvirtint</w:t>
      </w:r>
      <w:r w:rsidR="00F541CA">
        <w:rPr>
          <w:color w:val="000000"/>
        </w:rPr>
        <w:t>ą</w:t>
      </w:r>
      <w:r w:rsidR="0017638C">
        <w:rPr>
          <w:color w:val="000000"/>
        </w:rPr>
        <w:t xml:space="preserve"> reguliavim</w:t>
      </w:r>
      <w:r w:rsidR="00F541CA">
        <w:rPr>
          <w:color w:val="000000"/>
        </w:rPr>
        <w:t>ą,</w:t>
      </w:r>
      <w:r w:rsidR="0017638C">
        <w:rPr>
          <w:color w:val="000000"/>
        </w:rPr>
        <w:t xml:space="preserve"> </w:t>
      </w:r>
      <w:r w:rsidR="00F541CA">
        <w:rPr>
          <w:color w:val="000000"/>
        </w:rPr>
        <w:t>keičiamas</w:t>
      </w:r>
      <w:r w:rsidR="0017638C">
        <w:rPr>
          <w:color w:val="000000"/>
        </w:rPr>
        <w:t xml:space="preserve"> Pilietybės įstatymas</w:t>
      </w:r>
      <w:r w:rsidR="00F541CA">
        <w:rPr>
          <w:color w:val="000000"/>
        </w:rPr>
        <w:t xml:space="preserve"> (jame, esant poreikiui, įtvirtinant kitokias nei Viešojo administravimo įstatyme, nuostatas)</w:t>
      </w:r>
      <w:r w:rsidR="0017638C">
        <w:rPr>
          <w:color w:val="000000"/>
        </w:rPr>
        <w:t xml:space="preserve">. </w:t>
      </w:r>
    </w:p>
    <w:p w14:paraId="3A47DC94" w14:textId="0BCD1DE4" w:rsidR="00457F65" w:rsidRDefault="00457F65" w:rsidP="00A4242B">
      <w:pPr>
        <w:pStyle w:val="Sraopastraipa"/>
        <w:numPr>
          <w:ilvl w:val="0"/>
          <w:numId w:val="13"/>
        </w:numPr>
        <w:ind w:left="0" w:firstLine="1134"/>
        <w:jc w:val="both"/>
      </w:pPr>
      <w:r>
        <w:rPr>
          <w:color w:val="000000"/>
        </w:rPr>
        <w:t xml:space="preserve"> Aprašo 27 punkto </w:t>
      </w:r>
      <w:r w:rsidR="00005F33">
        <w:rPr>
          <w:color w:val="000000"/>
        </w:rPr>
        <w:t>trečiojoje</w:t>
      </w:r>
      <w:r>
        <w:rPr>
          <w:color w:val="000000"/>
        </w:rPr>
        <w:t xml:space="preserve"> pastraipoje</w:t>
      </w:r>
      <w:r w:rsidR="00353F72">
        <w:rPr>
          <w:color w:val="000000"/>
        </w:rPr>
        <w:t xml:space="preserve"> (ir kitur Apraše)</w:t>
      </w:r>
      <w:r>
        <w:rPr>
          <w:color w:val="000000"/>
        </w:rPr>
        <w:t xml:space="preserve"> minimas atvejis, kai „</w:t>
      </w:r>
      <w:r>
        <w:rPr>
          <w:lang w:eastAsia="lt-LT"/>
        </w:rPr>
        <w:t>kitos valstybės teisėje nenustatyta pilietybės atsisakymo ar netekimo įgijus kitos valstybės pilietybę procedūrų</w:t>
      </w:r>
      <w:r w:rsidR="00353F72">
        <w:rPr>
          <w:lang w:eastAsia="lt-LT"/>
        </w:rPr>
        <w:t xml:space="preserve"> arba šios procedūros </w:t>
      </w:r>
      <w:r w:rsidR="00353F72" w:rsidRPr="009A6B9A">
        <w:rPr>
          <w:i/>
          <w:iCs/>
          <w:lang w:eastAsia="lt-LT"/>
        </w:rPr>
        <w:t>neatitinka protingumo kriterijų</w:t>
      </w:r>
      <w:r w:rsidR="00353F72">
        <w:rPr>
          <w:lang w:eastAsia="lt-LT"/>
        </w:rPr>
        <w:t>“. Pažymėtina, kad nėra nustatoma, kokie</w:t>
      </w:r>
      <w:r w:rsidR="00C44712">
        <w:rPr>
          <w:lang w:eastAsia="lt-LT"/>
        </w:rPr>
        <w:t xml:space="preserve"> konkretūs</w:t>
      </w:r>
      <w:r w:rsidR="00353F72">
        <w:rPr>
          <w:lang w:eastAsia="lt-LT"/>
        </w:rPr>
        <w:t xml:space="preserve"> </w:t>
      </w:r>
      <w:r w:rsidR="00353F72" w:rsidRPr="009A6B9A">
        <w:rPr>
          <w:i/>
          <w:iCs/>
          <w:lang w:eastAsia="lt-LT"/>
        </w:rPr>
        <w:t>kriterijai</w:t>
      </w:r>
      <w:r w:rsidR="00353F72">
        <w:rPr>
          <w:lang w:eastAsia="lt-LT"/>
        </w:rPr>
        <w:t xml:space="preserve"> turimi omenyje, </w:t>
      </w:r>
      <w:r w:rsidR="00C44712">
        <w:rPr>
          <w:lang w:eastAsia="lt-LT"/>
        </w:rPr>
        <w:t xml:space="preserve">kur jie nustatyti, kas turės kompetenciją vertinti kitos valstybės teisinėje sistemoje nustatytų kriterijų atitiktį „protingumo kriterijams“. </w:t>
      </w:r>
    </w:p>
    <w:p w14:paraId="1C55F5B0" w14:textId="573415D0" w:rsidR="007804EB" w:rsidRPr="009A6B9A" w:rsidRDefault="007804EB" w:rsidP="00A4242B">
      <w:pPr>
        <w:pStyle w:val="Sraopastraipa"/>
        <w:numPr>
          <w:ilvl w:val="0"/>
          <w:numId w:val="13"/>
        </w:numPr>
        <w:ind w:left="0" w:firstLine="1134"/>
        <w:jc w:val="both"/>
      </w:pPr>
      <w:r>
        <w:rPr>
          <w:lang w:eastAsia="lt-LT"/>
        </w:rPr>
        <w:t xml:space="preserve"> Aprašo 82 punkto </w:t>
      </w:r>
      <w:r w:rsidR="00005F33">
        <w:rPr>
          <w:lang w:eastAsia="lt-LT"/>
        </w:rPr>
        <w:t>ketvirtojoje</w:t>
      </w:r>
      <w:r>
        <w:rPr>
          <w:lang w:eastAsia="lt-LT"/>
        </w:rPr>
        <w:t xml:space="preserve"> pastraipoje nustatyti informavimo apie priimtą sprendimą terminai viršytų Viešojo administravimo įstatyme nustatytą 3 dienų terminą. </w:t>
      </w:r>
    </w:p>
    <w:p w14:paraId="111EAA07" w14:textId="4393C383" w:rsidR="00A4242B" w:rsidRPr="00A4242B" w:rsidRDefault="00523FC6" w:rsidP="00A4242B">
      <w:pPr>
        <w:pStyle w:val="Sraopastraipa"/>
        <w:numPr>
          <w:ilvl w:val="0"/>
          <w:numId w:val="13"/>
        </w:numPr>
        <w:ind w:left="0" w:firstLine="1134"/>
        <w:jc w:val="both"/>
      </w:pPr>
      <w:r>
        <w:rPr>
          <w:color w:val="000000"/>
        </w:rPr>
        <w:t xml:space="preserve"> </w:t>
      </w:r>
      <w:r w:rsidR="00A4242B">
        <w:rPr>
          <w:color w:val="000000"/>
        </w:rPr>
        <w:t xml:space="preserve">Aprašo 83 punkto </w:t>
      </w:r>
      <w:r w:rsidR="00005F33">
        <w:rPr>
          <w:color w:val="000000"/>
        </w:rPr>
        <w:t xml:space="preserve">trečiojoje </w:t>
      </w:r>
      <w:r w:rsidR="00A4242B">
        <w:rPr>
          <w:color w:val="000000"/>
        </w:rPr>
        <w:t>pastraipoje reikalaujama „</w:t>
      </w:r>
      <w:r w:rsidR="00A4242B" w:rsidRPr="00A4242B">
        <w:rPr>
          <w:color w:val="000000"/>
        </w:rPr>
        <w:t xml:space="preserve">pateikti galiojantį asmens tapatybę patvirtinantį dokumentą ir atstovavimą patvirtinantį dokumentą arba atstovavimo dokumentų notarine ar </w:t>
      </w:r>
      <w:r w:rsidR="00A4242B" w:rsidRPr="00A4242B">
        <w:rPr>
          <w:i/>
          <w:iCs/>
          <w:color w:val="000000"/>
        </w:rPr>
        <w:t>jai prilyginta tvarka patvirtintas</w:t>
      </w:r>
      <w:r w:rsidR="00A4242B" w:rsidRPr="00A4242B">
        <w:rPr>
          <w:color w:val="000000"/>
        </w:rPr>
        <w:t xml:space="preserve"> kopijas</w:t>
      </w:r>
      <w:r w:rsidR="00A4242B">
        <w:rPr>
          <w:color w:val="000000"/>
        </w:rPr>
        <w:t>“</w:t>
      </w:r>
      <w:r w:rsidR="00A4242B" w:rsidRPr="00A4242B">
        <w:rPr>
          <w:color w:val="000000"/>
        </w:rPr>
        <w:t>.</w:t>
      </w:r>
      <w:r w:rsidR="00A4242B">
        <w:rPr>
          <w:color w:val="000000"/>
        </w:rPr>
        <w:t xml:space="preserve"> Atsižvelgiant į tai, kad nėra aišku, kokia notarinei tvarkai prilyginta tvarka turima omenyje, siūlytina </w:t>
      </w:r>
      <w:r w:rsidR="00005F33" w:rsidRPr="00005F33">
        <w:rPr>
          <w:color w:val="000000"/>
        </w:rPr>
        <w:t>Aprašo 83 punkto  trečio</w:t>
      </w:r>
      <w:r w:rsidR="00005F33">
        <w:rPr>
          <w:color w:val="000000"/>
        </w:rPr>
        <w:t>sios pastraipos nuostatas tikslinti, įvertinant ir Notariato įstatymo II skyriaus nuostatas</w:t>
      </w:r>
      <w:r w:rsidR="00A4242B">
        <w:rPr>
          <w:color w:val="000000"/>
        </w:rPr>
        <w:t xml:space="preserve">. </w:t>
      </w:r>
    </w:p>
    <w:p w14:paraId="1A078758" w14:textId="77777777" w:rsidR="001964C0" w:rsidRDefault="001964C0" w:rsidP="001964C0">
      <w:pPr>
        <w:rPr>
          <w:color w:val="000000"/>
        </w:rPr>
      </w:pPr>
    </w:p>
    <w:p w14:paraId="74B6205C" w14:textId="4989CE52" w:rsidR="001964C0" w:rsidRPr="001964C0" w:rsidRDefault="001964C0" w:rsidP="001964C0">
      <w:pPr>
        <w:ind w:firstLine="1440"/>
        <w:jc w:val="both"/>
      </w:pPr>
      <w:r>
        <w:rPr>
          <w:color w:val="000000"/>
        </w:rPr>
        <w:t xml:space="preserve">Dėl </w:t>
      </w:r>
      <w:r w:rsidRPr="001964C0">
        <w:rPr>
          <w:color w:val="000000"/>
        </w:rPr>
        <w:t>Lietuvos Respublikos Vyriausybės nutarimo „Dėl Lietuvos Respublikos Vyriausybės 2000 m. gruodžio 15 d. nutarimo Nr. 1458 „Dėl Konkrečių valstybės rinkliavos dydžių sąrašo ir Valstybės rinkliavos mokėjimo ir grąžinimo taisyklių patvirtinimo“ pakeitimo“ projekt</w:t>
      </w:r>
      <w:r>
        <w:rPr>
          <w:color w:val="000000"/>
        </w:rPr>
        <w:t>o</w:t>
      </w:r>
      <w:r w:rsidRPr="001964C0">
        <w:rPr>
          <w:color w:val="000000"/>
        </w:rPr>
        <w:t xml:space="preserve"> </w:t>
      </w:r>
      <w:r>
        <w:rPr>
          <w:color w:val="000000"/>
        </w:rPr>
        <w:t xml:space="preserve">pastabų bei pasiūlymų neturime. </w:t>
      </w:r>
    </w:p>
    <w:p w14:paraId="25EB5620" w14:textId="77777777" w:rsidR="00E75D83" w:rsidRPr="00CA1F17" w:rsidRDefault="00E75D83" w:rsidP="00E75D83">
      <w:pPr>
        <w:ind w:firstLine="1276"/>
        <w:jc w:val="both"/>
      </w:pPr>
    </w:p>
    <w:p w14:paraId="30CFF408" w14:textId="77777777" w:rsidR="00492E3E" w:rsidRPr="00CA1F17" w:rsidRDefault="00492E3E" w:rsidP="004C722E">
      <w:pPr>
        <w:jc w:val="both"/>
      </w:pPr>
    </w:p>
    <w:p w14:paraId="34D1A176" w14:textId="77777777" w:rsidR="00492E3E" w:rsidRDefault="00492E3E" w:rsidP="00492E3E">
      <w:r w:rsidRPr="00F353AF">
        <w:t>Teisingumo ministr</w:t>
      </w:r>
      <w:r>
        <w:t>ė</w:t>
      </w:r>
      <w:r w:rsidRPr="00F353AF">
        <w:t xml:space="preserve"> </w:t>
      </w:r>
      <w:r w:rsidRPr="00F353AF">
        <w:tab/>
      </w:r>
      <w:r>
        <w:tab/>
      </w:r>
      <w:r>
        <w:tab/>
      </w:r>
      <w:r>
        <w:tab/>
      </w:r>
      <w:r>
        <w:tab/>
      </w:r>
      <w:r>
        <w:tab/>
      </w:r>
      <w:r>
        <w:tab/>
      </w:r>
      <w:r>
        <w:tab/>
        <w:t xml:space="preserve">   Evelina Dobrovolska</w:t>
      </w:r>
    </w:p>
    <w:p w14:paraId="692BFB70" w14:textId="77777777" w:rsidR="00492E3E" w:rsidRDefault="00492E3E" w:rsidP="00492E3E"/>
    <w:p w14:paraId="4EE728EC" w14:textId="77777777" w:rsidR="00492E3E" w:rsidRDefault="00492E3E" w:rsidP="00492E3E">
      <w:pPr>
        <w:rPr>
          <w:sz w:val="20"/>
        </w:rPr>
      </w:pPr>
    </w:p>
    <w:p w14:paraId="1519CF3D" w14:textId="77777777" w:rsidR="00492E3E" w:rsidRPr="00CA1F17" w:rsidRDefault="00492E3E" w:rsidP="00492E3E">
      <w:pPr>
        <w:rPr>
          <w:sz w:val="20"/>
        </w:rPr>
      </w:pPr>
    </w:p>
    <w:p w14:paraId="1A30010C" w14:textId="77777777" w:rsidR="00492E3E" w:rsidRPr="00CA1F17" w:rsidRDefault="00492E3E" w:rsidP="00492E3E">
      <w:pPr>
        <w:tabs>
          <w:tab w:val="decimal" w:pos="9638"/>
        </w:tabs>
        <w:rPr>
          <w:color w:val="000000" w:themeColor="text1"/>
        </w:rPr>
      </w:pPr>
      <w:r w:rsidRPr="009258D1">
        <w:rPr>
          <w:color w:val="000000" w:themeColor="text1"/>
          <w:sz w:val="16"/>
          <w:szCs w:val="16"/>
        </w:rPr>
        <w:t xml:space="preserve">Jūratė Burtilienė, (8 5) 219 1896, el. p. </w:t>
      </w:r>
      <w:hyperlink r:id="rId11" w:history="1">
        <w:r w:rsidRPr="009258D1">
          <w:rPr>
            <w:rStyle w:val="Hipersaitas"/>
            <w:sz w:val="16"/>
            <w:szCs w:val="16"/>
          </w:rPr>
          <w:t>jurate.burtiliene@tm.lt</w:t>
        </w:r>
      </w:hyperlink>
      <w:r w:rsidRPr="00F353AF">
        <w:rPr>
          <w:color w:val="000000" w:themeColor="text1"/>
          <w:sz w:val="20"/>
        </w:rPr>
        <w:t xml:space="preserve"> </w:t>
      </w:r>
      <w:r>
        <w:rPr>
          <w:color w:val="000000" w:themeColor="text1"/>
          <w:sz w:val="20"/>
        </w:rPr>
        <w:tab/>
      </w:r>
      <w:r>
        <w:rPr>
          <w:color w:val="000000" w:themeColor="text1"/>
        </w:rPr>
        <w:t xml:space="preserve"> </w:t>
      </w:r>
    </w:p>
    <w:p w14:paraId="37F2D6CA" w14:textId="77777777" w:rsidR="004C722E" w:rsidRDefault="003870A4" w:rsidP="003870A4">
      <w:pPr>
        <w:tabs>
          <w:tab w:val="right" w:pos="9638"/>
        </w:tabs>
        <w:rPr>
          <w:sz w:val="16"/>
          <w:szCs w:val="16"/>
        </w:rPr>
      </w:pPr>
      <w:r w:rsidRPr="003870A4">
        <w:rPr>
          <w:sz w:val="16"/>
          <w:szCs w:val="16"/>
        </w:rPr>
        <w:t xml:space="preserve">Dovilė Mekionytė, (8 5) 2662953, el. p. </w:t>
      </w:r>
      <w:hyperlink r:id="rId12" w:history="1">
        <w:r w:rsidRPr="009C1EC6">
          <w:rPr>
            <w:rStyle w:val="Hipersaitas"/>
            <w:sz w:val="16"/>
            <w:szCs w:val="16"/>
          </w:rPr>
          <w:t>dovile.mekionyte@tm.lt</w:t>
        </w:r>
      </w:hyperlink>
      <w:r>
        <w:rPr>
          <w:sz w:val="16"/>
          <w:szCs w:val="16"/>
        </w:rPr>
        <w:t xml:space="preserve"> </w:t>
      </w:r>
      <w:r w:rsidRPr="003870A4">
        <w:rPr>
          <w:sz w:val="16"/>
          <w:szCs w:val="16"/>
        </w:rPr>
        <w:t xml:space="preserve">   </w:t>
      </w:r>
    </w:p>
    <w:p w14:paraId="24CB5B2F" w14:textId="15E97324" w:rsidR="003C4D37" w:rsidRPr="00153391" w:rsidRDefault="003870A4" w:rsidP="003870A4">
      <w:pPr>
        <w:tabs>
          <w:tab w:val="right" w:pos="9638"/>
        </w:tabs>
        <w:rPr>
          <w:sz w:val="16"/>
          <w:szCs w:val="16"/>
        </w:rPr>
      </w:pPr>
      <w:r w:rsidRPr="003870A4">
        <w:rPr>
          <w:sz w:val="16"/>
          <w:szCs w:val="16"/>
        </w:rPr>
        <w:t xml:space="preserve">Virmantė Voinilko, (8 5) 266 2895, el. p. </w:t>
      </w:r>
      <w:hyperlink r:id="rId13" w:history="1">
        <w:r w:rsidRPr="009C1EC6">
          <w:rPr>
            <w:rStyle w:val="Hipersaitas"/>
            <w:sz w:val="16"/>
            <w:szCs w:val="16"/>
          </w:rPr>
          <w:t>virmantė.voinilko@tm.lt</w:t>
        </w:r>
      </w:hyperlink>
      <w:r>
        <w:rPr>
          <w:sz w:val="16"/>
          <w:szCs w:val="16"/>
        </w:rPr>
        <w:t xml:space="preserve"> </w:t>
      </w:r>
    </w:p>
    <w:sectPr w:rsidR="003C4D37" w:rsidRPr="00153391" w:rsidSect="004C722E">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34" w:right="737" w:bottom="707"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4EF0B" w14:textId="77777777" w:rsidR="00CE61DE" w:rsidRDefault="00CE61DE">
      <w:r>
        <w:separator/>
      </w:r>
    </w:p>
  </w:endnote>
  <w:endnote w:type="continuationSeparator" w:id="0">
    <w:p w14:paraId="20B0EA75" w14:textId="77777777" w:rsidR="00CE61DE" w:rsidRDefault="00CE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FC87" w14:textId="77777777" w:rsidR="00C66B3E" w:rsidRDefault="00C66B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7B5FC" w14:textId="77777777" w:rsidR="00C66B3E" w:rsidRDefault="00C66B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12CD4" w14:textId="77777777" w:rsidR="00CE61DE" w:rsidRDefault="00CE61DE">
      <w:r>
        <w:separator/>
      </w:r>
    </w:p>
  </w:footnote>
  <w:footnote w:type="continuationSeparator" w:id="0">
    <w:p w14:paraId="65D5DEE9" w14:textId="77777777" w:rsidR="00CE61DE" w:rsidRDefault="00CE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40698227"/>
      <w:docPartObj>
        <w:docPartGallery w:val="Page Numbers (Top of Page)"/>
        <w:docPartUnique/>
      </w:docPartObj>
    </w:sdtPr>
    <w:sdtEndPr>
      <w:rPr>
        <w:rStyle w:val="Puslapionumeris"/>
      </w:rPr>
    </w:sdtEndPr>
    <w:sdtContent>
      <w:p w14:paraId="48C88419" w14:textId="14430D89" w:rsidR="00F86726" w:rsidRDefault="00F86726" w:rsidP="00FB0C6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4B4BA9" w14:textId="77777777" w:rsidR="00BF4628" w:rsidRDefault="00BF4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8095356"/>
      <w:docPartObj>
        <w:docPartGallery w:val="Page Numbers (Top of Page)"/>
        <w:docPartUnique/>
      </w:docPartObj>
    </w:sdtPr>
    <w:sdtEndPr>
      <w:rPr>
        <w:rStyle w:val="Puslapionumeris"/>
      </w:rPr>
    </w:sdtEndPr>
    <w:sdtContent>
      <w:p w14:paraId="106BFD8D" w14:textId="0A83167D" w:rsidR="00F86726" w:rsidRDefault="00F86726" w:rsidP="00FB0C6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468D2">
          <w:rPr>
            <w:rStyle w:val="Puslapionumeris"/>
            <w:noProof/>
          </w:rPr>
          <w:t>2</w:t>
        </w:r>
        <w:r>
          <w:rPr>
            <w:rStyle w:val="Puslapionumeris"/>
          </w:rPr>
          <w:fldChar w:fldCharType="end"/>
        </w:r>
      </w:p>
    </w:sdtContent>
  </w:sdt>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77777777" w:rsidR="006A0169" w:rsidRPr="00095F50" w:rsidRDefault="00095F50" w:rsidP="006A0169">
    <w:pPr>
      <w:tabs>
        <w:tab w:val="right" w:pos="8306"/>
      </w:tabs>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jc w:val="center"/>
      <w:rPr>
        <w:sz w:val="16"/>
        <w:lang w:eastAsia="en-US"/>
      </w:rPr>
    </w:pPr>
  </w:p>
  <w:p w14:paraId="39DA9188" w14:textId="77777777" w:rsidR="006A0169" w:rsidRPr="006A0169" w:rsidRDefault="006A0169" w:rsidP="006A0169">
    <w:pPr>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jc w:val="center"/>
      <w:rPr>
        <w:b/>
        <w:bCs/>
        <w:sz w:val="26"/>
        <w:lang w:eastAsia="en-US"/>
      </w:rPr>
    </w:pPr>
  </w:p>
  <w:p w14:paraId="5B8B41F7" w14:textId="77777777" w:rsidR="00D22358" w:rsidRDefault="00D22358" w:rsidP="00D22358">
    <w:pPr>
      <w:pBdr>
        <w:bottom w:val="single" w:sz="4" w:space="1" w:color="auto"/>
      </w:pBdr>
      <w:jc w:val="center"/>
      <w:rPr>
        <w:sz w:val="20"/>
        <w:lang w:eastAsia="en-US"/>
      </w:rPr>
    </w:pPr>
    <w:r>
      <w:rPr>
        <w:sz w:val="20"/>
        <w:lang w:eastAsia="en-US"/>
      </w:rPr>
      <w:t xml:space="preserve">Biudžetinė įstaiga, Gedimino pr. 30, LT-01104 Vilnius, </w:t>
    </w:r>
  </w:p>
  <w:p w14:paraId="086E8B22" w14:textId="224C4069" w:rsidR="00D22358" w:rsidRDefault="00D22358" w:rsidP="00D22358">
    <w:pPr>
      <w:pBdr>
        <w:bottom w:val="single" w:sz="4" w:space="1" w:color="auto"/>
      </w:pBdr>
      <w:jc w:val="center"/>
      <w:rPr>
        <w:sz w:val="20"/>
        <w:lang w:eastAsia="en-US"/>
      </w:rPr>
    </w:pPr>
    <w:r>
      <w:rPr>
        <w:sz w:val="20"/>
        <w:lang w:eastAsia="en-US"/>
      </w:rPr>
      <w:t xml:space="preserve">tel. (8 5) 266 2984, faks. (8 5) 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jc w:val="center"/>
      <w:rPr>
        <w:sz w:val="20"/>
        <w:lang w:eastAsia="en-US"/>
      </w:rPr>
    </w:pPr>
    <w:r>
      <w:rPr>
        <w:sz w:val="20"/>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590A29D7"/>
    <w:multiLevelType w:val="hybridMultilevel"/>
    <w:tmpl w:val="BB4E1CFA"/>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59B10E5"/>
    <w:multiLevelType w:val="hybridMultilevel"/>
    <w:tmpl w:val="49CA51B4"/>
    <w:lvl w:ilvl="0" w:tplc="CAD49C8C">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1A36"/>
    <w:rsid w:val="00005F33"/>
    <w:rsid w:val="000126A3"/>
    <w:rsid w:val="000203F3"/>
    <w:rsid w:val="00022E3C"/>
    <w:rsid w:val="00025375"/>
    <w:rsid w:val="00033F22"/>
    <w:rsid w:val="000356BD"/>
    <w:rsid w:val="0004405D"/>
    <w:rsid w:val="00045F11"/>
    <w:rsid w:val="00052B5A"/>
    <w:rsid w:val="0006186E"/>
    <w:rsid w:val="00065BE7"/>
    <w:rsid w:val="00072919"/>
    <w:rsid w:val="000756A8"/>
    <w:rsid w:val="0008136A"/>
    <w:rsid w:val="00087588"/>
    <w:rsid w:val="00093791"/>
    <w:rsid w:val="00095F50"/>
    <w:rsid w:val="000B0D10"/>
    <w:rsid w:val="000B1ECA"/>
    <w:rsid w:val="000B67D8"/>
    <w:rsid w:val="000D0B1C"/>
    <w:rsid w:val="000D3171"/>
    <w:rsid w:val="000E34D4"/>
    <w:rsid w:val="000E4B91"/>
    <w:rsid w:val="000E6E4F"/>
    <w:rsid w:val="000E7556"/>
    <w:rsid w:val="000F75E7"/>
    <w:rsid w:val="00106269"/>
    <w:rsid w:val="00110A05"/>
    <w:rsid w:val="00133358"/>
    <w:rsid w:val="00137EFF"/>
    <w:rsid w:val="00153391"/>
    <w:rsid w:val="00163C9F"/>
    <w:rsid w:val="0017638C"/>
    <w:rsid w:val="001772BD"/>
    <w:rsid w:val="001779C4"/>
    <w:rsid w:val="00190778"/>
    <w:rsid w:val="00190B04"/>
    <w:rsid w:val="00194508"/>
    <w:rsid w:val="001964C0"/>
    <w:rsid w:val="001A2BEB"/>
    <w:rsid w:val="001B28DE"/>
    <w:rsid w:val="001C1840"/>
    <w:rsid w:val="001C6224"/>
    <w:rsid w:val="001E0731"/>
    <w:rsid w:val="001E192A"/>
    <w:rsid w:val="001E213B"/>
    <w:rsid w:val="001E60AA"/>
    <w:rsid w:val="001E6F39"/>
    <w:rsid w:val="001F1F0F"/>
    <w:rsid w:val="001F4940"/>
    <w:rsid w:val="0020054C"/>
    <w:rsid w:val="00216724"/>
    <w:rsid w:val="00224C7E"/>
    <w:rsid w:val="00225009"/>
    <w:rsid w:val="00247655"/>
    <w:rsid w:val="0026413E"/>
    <w:rsid w:val="0026443A"/>
    <w:rsid w:val="00270478"/>
    <w:rsid w:val="00271BCA"/>
    <w:rsid w:val="0027526A"/>
    <w:rsid w:val="002A0101"/>
    <w:rsid w:val="002C0406"/>
    <w:rsid w:val="002C127E"/>
    <w:rsid w:val="002D24DA"/>
    <w:rsid w:val="002F357E"/>
    <w:rsid w:val="00314884"/>
    <w:rsid w:val="0031547F"/>
    <w:rsid w:val="00316B60"/>
    <w:rsid w:val="0033165B"/>
    <w:rsid w:val="00335E75"/>
    <w:rsid w:val="00345C41"/>
    <w:rsid w:val="00350171"/>
    <w:rsid w:val="0035263F"/>
    <w:rsid w:val="00353F72"/>
    <w:rsid w:val="00357B11"/>
    <w:rsid w:val="00374572"/>
    <w:rsid w:val="00377360"/>
    <w:rsid w:val="003870A4"/>
    <w:rsid w:val="00392BAA"/>
    <w:rsid w:val="00392CD0"/>
    <w:rsid w:val="003A0D57"/>
    <w:rsid w:val="003A403B"/>
    <w:rsid w:val="003A6CAA"/>
    <w:rsid w:val="003C1BC9"/>
    <w:rsid w:val="003C4D37"/>
    <w:rsid w:val="003C76FB"/>
    <w:rsid w:val="003D685B"/>
    <w:rsid w:val="003E36C5"/>
    <w:rsid w:val="00421A37"/>
    <w:rsid w:val="00422F55"/>
    <w:rsid w:val="004400C5"/>
    <w:rsid w:val="00444D3C"/>
    <w:rsid w:val="004473FF"/>
    <w:rsid w:val="00457F65"/>
    <w:rsid w:val="004733D4"/>
    <w:rsid w:val="00477775"/>
    <w:rsid w:val="00492E3E"/>
    <w:rsid w:val="00496963"/>
    <w:rsid w:val="004A4B5C"/>
    <w:rsid w:val="004C157C"/>
    <w:rsid w:val="004C722E"/>
    <w:rsid w:val="004D0623"/>
    <w:rsid w:val="004D2B85"/>
    <w:rsid w:val="004E0354"/>
    <w:rsid w:val="004E11A7"/>
    <w:rsid w:val="004E4C97"/>
    <w:rsid w:val="004F0BA6"/>
    <w:rsid w:val="004F7E5E"/>
    <w:rsid w:val="00503401"/>
    <w:rsid w:val="0051548F"/>
    <w:rsid w:val="00523FC6"/>
    <w:rsid w:val="00525E8A"/>
    <w:rsid w:val="00526983"/>
    <w:rsid w:val="005468FA"/>
    <w:rsid w:val="005518E6"/>
    <w:rsid w:val="005934F7"/>
    <w:rsid w:val="005A2039"/>
    <w:rsid w:val="005A32E3"/>
    <w:rsid w:val="005B22EF"/>
    <w:rsid w:val="005B71DB"/>
    <w:rsid w:val="005D46E6"/>
    <w:rsid w:val="005E4418"/>
    <w:rsid w:val="005E7F01"/>
    <w:rsid w:val="005F6849"/>
    <w:rsid w:val="005F70CA"/>
    <w:rsid w:val="00612EB3"/>
    <w:rsid w:val="00615BA1"/>
    <w:rsid w:val="0061652E"/>
    <w:rsid w:val="006202AA"/>
    <w:rsid w:val="00625C09"/>
    <w:rsid w:val="00631354"/>
    <w:rsid w:val="00632C30"/>
    <w:rsid w:val="00665249"/>
    <w:rsid w:val="00674F0A"/>
    <w:rsid w:val="00684806"/>
    <w:rsid w:val="00685024"/>
    <w:rsid w:val="00692B0B"/>
    <w:rsid w:val="006A0169"/>
    <w:rsid w:val="006A3AEE"/>
    <w:rsid w:val="006C5719"/>
    <w:rsid w:val="006E2FF8"/>
    <w:rsid w:val="0070100A"/>
    <w:rsid w:val="007155A1"/>
    <w:rsid w:val="00731713"/>
    <w:rsid w:val="00735C7F"/>
    <w:rsid w:val="00741EF7"/>
    <w:rsid w:val="0074745C"/>
    <w:rsid w:val="00755247"/>
    <w:rsid w:val="0075689A"/>
    <w:rsid w:val="00767739"/>
    <w:rsid w:val="00775BDF"/>
    <w:rsid w:val="007804EB"/>
    <w:rsid w:val="00782CE1"/>
    <w:rsid w:val="00782D4F"/>
    <w:rsid w:val="007A034C"/>
    <w:rsid w:val="007B1F82"/>
    <w:rsid w:val="007B3C8C"/>
    <w:rsid w:val="007B4A13"/>
    <w:rsid w:val="007B6F02"/>
    <w:rsid w:val="007F7B9B"/>
    <w:rsid w:val="00811B9D"/>
    <w:rsid w:val="0081403E"/>
    <w:rsid w:val="008309E8"/>
    <w:rsid w:val="008A310E"/>
    <w:rsid w:val="008A5254"/>
    <w:rsid w:val="008C1253"/>
    <w:rsid w:val="008C162A"/>
    <w:rsid w:val="008D60FD"/>
    <w:rsid w:val="008F0750"/>
    <w:rsid w:val="00921A20"/>
    <w:rsid w:val="00935287"/>
    <w:rsid w:val="00967916"/>
    <w:rsid w:val="00977F51"/>
    <w:rsid w:val="00981295"/>
    <w:rsid w:val="0098733D"/>
    <w:rsid w:val="009A11A6"/>
    <w:rsid w:val="009A6B9A"/>
    <w:rsid w:val="009B0944"/>
    <w:rsid w:val="009B4576"/>
    <w:rsid w:val="009D5D3E"/>
    <w:rsid w:val="009E11EE"/>
    <w:rsid w:val="009E135C"/>
    <w:rsid w:val="00A17E41"/>
    <w:rsid w:val="00A36467"/>
    <w:rsid w:val="00A40CD2"/>
    <w:rsid w:val="00A4242B"/>
    <w:rsid w:val="00A43DDD"/>
    <w:rsid w:val="00A45A83"/>
    <w:rsid w:val="00A468D2"/>
    <w:rsid w:val="00A500C7"/>
    <w:rsid w:val="00A5068D"/>
    <w:rsid w:val="00A51241"/>
    <w:rsid w:val="00A54C94"/>
    <w:rsid w:val="00A94549"/>
    <w:rsid w:val="00AA3850"/>
    <w:rsid w:val="00AB4462"/>
    <w:rsid w:val="00AC27D6"/>
    <w:rsid w:val="00AC5FA8"/>
    <w:rsid w:val="00AC7AB8"/>
    <w:rsid w:val="00AD37E3"/>
    <w:rsid w:val="00AD5EDE"/>
    <w:rsid w:val="00AE0614"/>
    <w:rsid w:val="00AE3511"/>
    <w:rsid w:val="00B20B17"/>
    <w:rsid w:val="00B40D2F"/>
    <w:rsid w:val="00B64811"/>
    <w:rsid w:val="00B7339D"/>
    <w:rsid w:val="00B942CE"/>
    <w:rsid w:val="00BA60D3"/>
    <w:rsid w:val="00BA6A5D"/>
    <w:rsid w:val="00BB1A9D"/>
    <w:rsid w:val="00BB1BC1"/>
    <w:rsid w:val="00BB2FF9"/>
    <w:rsid w:val="00BD01B6"/>
    <w:rsid w:val="00BD62CA"/>
    <w:rsid w:val="00BF4400"/>
    <w:rsid w:val="00BF4628"/>
    <w:rsid w:val="00C00BE4"/>
    <w:rsid w:val="00C03C0F"/>
    <w:rsid w:val="00C22306"/>
    <w:rsid w:val="00C2360C"/>
    <w:rsid w:val="00C26D5D"/>
    <w:rsid w:val="00C43A57"/>
    <w:rsid w:val="00C44712"/>
    <w:rsid w:val="00C52D99"/>
    <w:rsid w:val="00C66B3E"/>
    <w:rsid w:val="00C843F3"/>
    <w:rsid w:val="00C848BA"/>
    <w:rsid w:val="00C9162D"/>
    <w:rsid w:val="00CB1D28"/>
    <w:rsid w:val="00CC51E5"/>
    <w:rsid w:val="00CC742A"/>
    <w:rsid w:val="00CD660D"/>
    <w:rsid w:val="00CD76A9"/>
    <w:rsid w:val="00CE4F35"/>
    <w:rsid w:val="00CE61DE"/>
    <w:rsid w:val="00CF513A"/>
    <w:rsid w:val="00D00BD9"/>
    <w:rsid w:val="00D2173F"/>
    <w:rsid w:val="00D22358"/>
    <w:rsid w:val="00D22A39"/>
    <w:rsid w:val="00D3335A"/>
    <w:rsid w:val="00D34082"/>
    <w:rsid w:val="00D519E9"/>
    <w:rsid w:val="00D553A0"/>
    <w:rsid w:val="00D6461F"/>
    <w:rsid w:val="00D9324E"/>
    <w:rsid w:val="00DA10E1"/>
    <w:rsid w:val="00DA16FD"/>
    <w:rsid w:val="00DA3BC7"/>
    <w:rsid w:val="00E03B24"/>
    <w:rsid w:val="00E04931"/>
    <w:rsid w:val="00E072D6"/>
    <w:rsid w:val="00E10D5C"/>
    <w:rsid w:val="00E214C4"/>
    <w:rsid w:val="00E32D88"/>
    <w:rsid w:val="00E35543"/>
    <w:rsid w:val="00E36636"/>
    <w:rsid w:val="00E50ABB"/>
    <w:rsid w:val="00E62C9D"/>
    <w:rsid w:val="00E63465"/>
    <w:rsid w:val="00E75D83"/>
    <w:rsid w:val="00E81F28"/>
    <w:rsid w:val="00E843B1"/>
    <w:rsid w:val="00E87433"/>
    <w:rsid w:val="00E96B50"/>
    <w:rsid w:val="00EA3009"/>
    <w:rsid w:val="00EC4180"/>
    <w:rsid w:val="00EC5C50"/>
    <w:rsid w:val="00ED3470"/>
    <w:rsid w:val="00ED73D6"/>
    <w:rsid w:val="00EE5859"/>
    <w:rsid w:val="00EF07A0"/>
    <w:rsid w:val="00EF5630"/>
    <w:rsid w:val="00F05FB4"/>
    <w:rsid w:val="00F22F17"/>
    <w:rsid w:val="00F541CA"/>
    <w:rsid w:val="00F6147E"/>
    <w:rsid w:val="00F62B9E"/>
    <w:rsid w:val="00F73A02"/>
    <w:rsid w:val="00F85A80"/>
    <w:rsid w:val="00F86726"/>
    <w:rsid w:val="00F947AC"/>
    <w:rsid w:val="00FA0ACA"/>
    <w:rsid w:val="00FA0AF1"/>
    <w:rsid w:val="00FB183B"/>
    <w:rsid w:val="00FB295F"/>
    <w:rsid w:val="00FB41D3"/>
    <w:rsid w:val="00FB5D01"/>
    <w:rsid w:val="00FC0237"/>
    <w:rsid w:val="00FC0E93"/>
    <w:rsid w:val="00FC7678"/>
    <w:rsid w:val="00FD2FDD"/>
    <w:rsid w:val="00FE2B69"/>
    <w:rsid w:val="00FE342E"/>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64C0"/>
    <w:rPr>
      <w:sz w:val="24"/>
      <w:szCs w:val="24"/>
      <w:lang w:eastAsia="en-GB"/>
    </w:rPr>
  </w:style>
  <w:style w:type="paragraph" w:styleId="Antrat1">
    <w:name w:val="heading 1"/>
    <w:basedOn w:val="prastasis"/>
    <w:next w:val="prastasis"/>
    <w:rsid w:val="005A2039"/>
    <w:pPr>
      <w:keepNext/>
      <w:numPr>
        <w:numId w:val="1"/>
      </w:numPr>
      <w:suppressAutoHyphens/>
      <w:outlineLvl w:val="0"/>
    </w:pPr>
    <w:rPr>
      <w:b/>
      <w:bCs/>
      <w:u w:val="singl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uppressAutoHyphens/>
      <w:spacing w:before="120" w:after="120"/>
    </w:pPr>
    <w:rPr>
      <w:rFonts w:cs="Tahoma"/>
      <w:i/>
      <w:iCs/>
      <w:lang w:eastAsia="ar-SA"/>
    </w:rPr>
  </w:style>
  <w:style w:type="paragraph" w:customStyle="1" w:styleId="Tekstas">
    <w:name w:val="Tekstas"/>
    <w:basedOn w:val="prastasis"/>
    <w:qFormat/>
    <w:rsid w:val="005A2039"/>
    <w:pPr>
      <w:suppressAutoHyphens/>
      <w:spacing w:before="40" w:after="40"/>
      <w:ind w:right="40" w:firstLine="1247"/>
      <w:jc w:val="both"/>
    </w:pPr>
    <w:rPr>
      <w:lang w:eastAsia="ar-SA"/>
    </w:rPr>
  </w:style>
  <w:style w:type="paragraph" w:customStyle="1" w:styleId="Antrat10">
    <w:name w:val="Antraštė1"/>
    <w:basedOn w:val="prastasis"/>
    <w:next w:val="Pagrindinistekstas"/>
    <w:rsid w:val="005A2039"/>
    <w:pPr>
      <w:keepNext/>
      <w:suppressAutoHyphens/>
      <w:spacing w:after="119"/>
      <w:jc w:val="center"/>
    </w:pPr>
    <w:rPr>
      <w:rFonts w:eastAsia="MS Mincho" w:cs="Tahoma"/>
      <w:szCs w:val="28"/>
      <w:lang w:eastAsia="ar-SA"/>
    </w:rPr>
  </w:style>
  <w:style w:type="paragraph" w:styleId="Pagrindinistekstas">
    <w:name w:val="Body Text"/>
    <w:basedOn w:val="prastasis"/>
    <w:rsid w:val="005A2039"/>
    <w:pPr>
      <w:suppressAutoHyphens/>
      <w:spacing w:after="120"/>
    </w:pPr>
    <w:rPr>
      <w:lang w:eastAsia="ar-SA"/>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suppressAutoHyphens/>
      <w:jc w:val="right"/>
    </w:pPr>
    <w:rPr>
      <w:sz w:val="16"/>
      <w:lang w:eastAsia="ar-SA"/>
    </w:rPr>
  </w:style>
  <w:style w:type="paragraph" w:customStyle="1" w:styleId="Lentelsturinys">
    <w:name w:val="Lentelės turinys"/>
    <w:basedOn w:val="prastasis"/>
    <w:rsid w:val="005A2039"/>
    <w:pPr>
      <w:suppressLineNumbers/>
      <w:suppressAutoHyphens/>
    </w:pPr>
    <w:rPr>
      <w:lang w:eastAsia="ar-SA"/>
    </w:r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suppressAutoHyphens/>
    </w:pPr>
    <w:rPr>
      <w:rFonts w:cs="Tahoma"/>
      <w:lang w:eastAsia="ar-SA"/>
    </w:rPr>
  </w:style>
  <w:style w:type="paragraph" w:customStyle="1" w:styleId="Pavadinimas1">
    <w:name w:val="Pavadinimas1"/>
    <w:basedOn w:val="prastasis"/>
    <w:rsid w:val="005A2039"/>
    <w:pPr>
      <w:suppressAutoHyphens/>
      <w:spacing w:before="40" w:after="40"/>
      <w:ind w:right="1959"/>
    </w:pPr>
    <w:rPr>
      <w:caps/>
      <w:lang w:eastAsia="ar-SA"/>
    </w:rPr>
  </w:style>
  <w:style w:type="paragraph" w:customStyle="1" w:styleId="Adresas">
    <w:name w:val="Adresas"/>
    <w:basedOn w:val="prastasis"/>
    <w:qFormat/>
    <w:rsid w:val="005A2039"/>
    <w:pPr>
      <w:suppressAutoHyphens/>
      <w:ind w:right="318"/>
    </w:pPr>
    <w:rPr>
      <w:lang w:eastAsia="ar-SA"/>
    </w:r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suppressAutoHyphens/>
    </w:pPr>
    <w:rPr>
      <w:lang w:eastAsia="ar-SA"/>
    </w:r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pPr>
      <w:suppressAutoHyphens/>
    </w:pPr>
    <w:rPr>
      <w:rFonts w:ascii="Tahoma" w:hAnsi="Tahoma" w:cs="Tahoma"/>
      <w:sz w:val="16"/>
      <w:szCs w:val="16"/>
      <w:lang w:eastAsia="ar-SA"/>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1">
    <w:name w:val="Unresolved Mention1"/>
    <w:basedOn w:val="Numatytasispastraiposriftas"/>
    <w:uiPriority w:val="99"/>
    <w:semiHidden/>
    <w:unhideWhenUsed/>
    <w:rsid w:val="00D00BD9"/>
    <w:rPr>
      <w:color w:val="605E5C"/>
      <w:shd w:val="clear" w:color="auto" w:fill="E1DFDD"/>
    </w:rPr>
  </w:style>
  <w:style w:type="character" w:customStyle="1" w:styleId="apple-converted-space">
    <w:name w:val="apple-converted-space"/>
    <w:basedOn w:val="Numatytasispastraiposriftas"/>
    <w:rsid w:val="00065BE7"/>
  </w:style>
  <w:style w:type="paragraph" w:styleId="Sraopastraipa">
    <w:name w:val="List Paragraph"/>
    <w:basedOn w:val="prastasis"/>
    <w:uiPriority w:val="34"/>
    <w:qFormat/>
    <w:rsid w:val="003E36C5"/>
    <w:pPr>
      <w:suppressAutoHyphens/>
      <w:ind w:left="720"/>
      <w:contextualSpacing/>
    </w:pPr>
    <w:rPr>
      <w:lang w:eastAsia="ar-SA"/>
    </w:rPr>
  </w:style>
  <w:style w:type="character" w:styleId="Perirtashipersaitas">
    <w:name w:val="FollowedHyperlink"/>
    <w:basedOn w:val="Numatytasispastraiposriftas"/>
    <w:semiHidden/>
    <w:unhideWhenUsed/>
    <w:rsid w:val="00AD5EDE"/>
    <w:rPr>
      <w:color w:val="800080" w:themeColor="followedHyperlink"/>
      <w:u w:val="single"/>
    </w:rPr>
  </w:style>
  <w:style w:type="character" w:styleId="Komentaronuoroda">
    <w:name w:val="annotation reference"/>
    <w:basedOn w:val="Numatytasispastraiposriftas"/>
    <w:semiHidden/>
    <w:unhideWhenUsed/>
    <w:rsid w:val="00AB4462"/>
    <w:rPr>
      <w:sz w:val="16"/>
      <w:szCs w:val="16"/>
    </w:rPr>
  </w:style>
  <w:style w:type="paragraph" w:styleId="Komentarotekstas">
    <w:name w:val="annotation text"/>
    <w:basedOn w:val="prastasis"/>
    <w:link w:val="KomentarotekstasDiagrama"/>
    <w:unhideWhenUsed/>
    <w:rsid w:val="00AB4462"/>
    <w:rPr>
      <w:sz w:val="20"/>
      <w:szCs w:val="20"/>
    </w:rPr>
  </w:style>
  <w:style w:type="character" w:customStyle="1" w:styleId="KomentarotekstasDiagrama">
    <w:name w:val="Komentaro tekstas Diagrama"/>
    <w:basedOn w:val="Numatytasispastraiposriftas"/>
    <w:link w:val="Komentarotekstas"/>
    <w:rsid w:val="00AB4462"/>
    <w:rPr>
      <w:lang w:eastAsia="en-GB"/>
    </w:rPr>
  </w:style>
  <w:style w:type="paragraph" w:styleId="Komentarotema">
    <w:name w:val="annotation subject"/>
    <w:basedOn w:val="Komentarotekstas"/>
    <w:next w:val="Komentarotekstas"/>
    <w:link w:val="KomentarotemaDiagrama"/>
    <w:semiHidden/>
    <w:unhideWhenUsed/>
    <w:rsid w:val="00AB4462"/>
    <w:rPr>
      <w:b/>
      <w:bCs/>
    </w:rPr>
  </w:style>
  <w:style w:type="character" w:customStyle="1" w:styleId="KomentarotemaDiagrama">
    <w:name w:val="Komentaro tema Diagrama"/>
    <w:basedOn w:val="KomentarotekstasDiagrama"/>
    <w:link w:val="Komentarotema"/>
    <w:semiHidden/>
    <w:rsid w:val="00AB4462"/>
    <w:rPr>
      <w:b/>
      <w:bCs/>
      <w:lang w:eastAsia="en-GB"/>
    </w:rPr>
  </w:style>
  <w:style w:type="paragraph" w:styleId="Pataisymai">
    <w:name w:val="Revision"/>
    <w:hidden/>
    <w:uiPriority w:val="99"/>
    <w:semiHidden/>
    <w:rsid w:val="00AB4462"/>
    <w:rPr>
      <w:sz w:val="24"/>
      <w:szCs w:val="24"/>
      <w:lang w:eastAsia="en-GB"/>
    </w:rPr>
  </w:style>
  <w:style w:type="character" w:customStyle="1" w:styleId="UnresolvedMention">
    <w:name w:val="Unresolved Mention"/>
    <w:basedOn w:val="Numatytasispastraiposriftas"/>
    <w:uiPriority w:val="99"/>
    <w:semiHidden/>
    <w:unhideWhenUsed/>
    <w:rsid w:val="0038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09591">
      <w:bodyDiv w:val="1"/>
      <w:marLeft w:val="0"/>
      <w:marRight w:val="0"/>
      <w:marTop w:val="0"/>
      <w:marBottom w:val="0"/>
      <w:divBdr>
        <w:top w:val="none" w:sz="0" w:space="0" w:color="auto"/>
        <w:left w:val="none" w:sz="0" w:space="0" w:color="auto"/>
        <w:bottom w:val="none" w:sz="0" w:space="0" w:color="auto"/>
        <w:right w:val="none" w:sz="0" w:space="0" w:color="auto"/>
      </w:divBdr>
    </w:div>
    <w:div w:id="569538820">
      <w:bodyDiv w:val="1"/>
      <w:marLeft w:val="0"/>
      <w:marRight w:val="0"/>
      <w:marTop w:val="0"/>
      <w:marBottom w:val="0"/>
      <w:divBdr>
        <w:top w:val="none" w:sz="0" w:space="0" w:color="auto"/>
        <w:left w:val="none" w:sz="0" w:space="0" w:color="auto"/>
        <w:bottom w:val="none" w:sz="0" w:space="0" w:color="auto"/>
        <w:right w:val="none" w:sz="0" w:space="0" w:color="auto"/>
      </w:divBdr>
    </w:div>
    <w:div w:id="662976606">
      <w:bodyDiv w:val="1"/>
      <w:marLeft w:val="0"/>
      <w:marRight w:val="0"/>
      <w:marTop w:val="0"/>
      <w:marBottom w:val="0"/>
      <w:divBdr>
        <w:top w:val="none" w:sz="0" w:space="0" w:color="auto"/>
        <w:left w:val="none" w:sz="0" w:space="0" w:color="auto"/>
        <w:bottom w:val="none" w:sz="0" w:space="0" w:color="auto"/>
        <w:right w:val="none" w:sz="0" w:space="0" w:color="auto"/>
      </w:divBdr>
    </w:div>
    <w:div w:id="717752144">
      <w:bodyDiv w:val="1"/>
      <w:marLeft w:val="0"/>
      <w:marRight w:val="0"/>
      <w:marTop w:val="0"/>
      <w:marBottom w:val="0"/>
      <w:divBdr>
        <w:top w:val="none" w:sz="0" w:space="0" w:color="auto"/>
        <w:left w:val="none" w:sz="0" w:space="0" w:color="auto"/>
        <w:bottom w:val="none" w:sz="0" w:space="0" w:color="auto"/>
        <w:right w:val="none" w:sz="0" w:space="0" w:color="auto"/>
      </w:divBdr>
    </w:div>
    <w:div w:id="740098433">
      <w:bodyDiv w:val="1"/>
      <w:marLeft w:val="0"/>
      <w:marRight w:val="0"/>
      <w:marTop w:val="0"/>
      <w:marBottom w:val="0"/>
      <w:divBdr>
        <w:top w:val="none" w:sz="0" w:space="0" w:color="auto"/>
        <w:left w:val="none" w:sz="0" w:space="0" w:color="auto"/>
        <w:bottom w:val="none" w:sz="0" w:space="0" w:color="auto"/>
        <w:right w:val="none" w:sz="0" w:space="0" w:color="auto"/>
      </w:divBdr>
    </w:div>
    <w:div w:id="766999365">
      <w:bodyDiv w:val="1"/>
      <w:marLeft w:val="0"/>
      <w:marRight w:val="0"/>
      <w:marTop w:val="0"/>
      <w:marBottom w:val="0"/>
      <w:divBdr>
        <w:top w:val="none" w:sz="0" w:space="0" w:color="auto"/>
        <w:left w:val="none" w:sz="0" w:space="0" w:color="auto"/>
        <w:bottom w:val="none" w:sz="0" w:space="0" w:color="auto"/>
        <w:right w:val="none" w:sz="0" w:space="0" w:color="auto"/>
      </w:divBdr>
    </w:div>
    <w:div w:id="957224561">
      <w:bodyDiv w:val="1"/>
      <w:marLeft w:val="0"/>
      <w:marRight w:val="0"/>
      <w:marTop w:val="0"/>
      <w:marBottom w:val="0"/>
      <w:divBdr>
        <w:top w:val="none" w:sz="0" w:space="0" w:color="auto"/>
        <w:left w:val="none" w:sz="0" w:space="0" w:color="auto"/>
        <w:bottom w:val="none" w:sz="0" w:space="0" w:color="auto"/>
        <w:right w:val="none" w:sz="0" w:space="0" w:color="auto"/>
      </w:divBdr>
    </w:div>
    <w:div w:id="103272976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46990225">
      <w:bodyDiv w:val="1"/>
      <w:marLeft w:val="0"/>
      <w:marRight w:val="0"/>
      <w:marTop w:val="0"/>
      <w:marBottom w:val="0"/>
      <w:divBdr>
        <w:top w:val="none" w:sz="0" w:space="0" w:color="auto"/>
        <w:left w:val="none" w:sz="0" w:space="0" w:color="auto"/>
        <w:bottom w:val="none" w:sz="0" w:space="0" w:color="auto"/>
        <w:right w:val="none" w:sz="0" w:space="0" w:color="auto"/>
      </w:divBdr>
    </w:div>
    <w:div w:id="1593466088">
      <w:bodyDiv w:val="1"/>
      <w:marLeft w:val="0"/>
      <w:marRight w:val="0"/>
      <w:marTop w:val="0"/>
      <w:marBottom w:val="0"/>
      <w:divBdr>
        <w:top w:val="none" w:sz="0" w:space="0" w:color="auto"/>
        <w:left w:val="none" w:sz="0" w:space="0" w:color="auto"/>
        <w:bottom w:val="none" w:sz="0" w:space="0" w:color="auto"/>
        <w:right w:val="none" w:sz="0" w:space="0" w:color="auto"/>
      </w:divBdr>
    </w:div>
    <w:div w:id="1645114553">
      <w:bodyDiv w:val="1"/>
      <w:marLeft w:val="0"/>
      <w:marRight w:val="0"/>
      <w:marTop w:val="0"/>
      <w:marBottom w:val="0"/>
      <w:divBdr>
        <w:top w:val="none" w:sz="0" w:space="0" w:color="auto"/>
        <w:left w:val="none" w:sz="0" w:space="0" w:color="auto"/>
        <w:bottom w:val="none" w:sz="0" w:space="0" w:color="auto"/>
        <w:right w:val="none" w:sz="0" w:space="0" w:color="auto"/>
      </w:divBdr>
    </w:div>
    <w:div w:id="20836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79af9141a8dd11eb98ccba226c8a14d7?jfwid=-779zkj3p4" TargetMode="External"/><Relationship Id="rId13" Type="http://schemas.openxmlformats.org/officeDocument/2006/relationships/hyperlink" Target="mailto:virmant&#279;.voinilko@tm.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vile.mekionyte@tm.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burtiliene@t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eimas.lrs.lt/portal/legalAct/lt/TAP/4605f780a8e711eb98ccba226c8a14d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seimas.lrs.lt/portal/legalAct/lt/TAP/79af9141a8dd11eb98ccba226c8a14d7?jfwid=-779zkj3p4"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DEA0-9FD5-4C17-B691-BB60A612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2473</Words>
  <Characters>14099</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Elina Petrauskaitė</cp:lastModifiedBy>
  <cp:revision>2</cp:revision>
  <cp:lastPrinted>2020-01-13T12:15:00Z</cp:lastPrinted>
  <dcterms:created xsi:type="dcterms:W3CDTF">2021-07-16T04:08:00Z</dcterms:created>
  <dcterms:modified xsi:type="dcterms:W3CDTF">2021-07-16T04:08:00Z</dcterms:modified>
</cp:coreProperties>
</file>