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FD0" w:rsidRPr="00E1016E" w:rsidRDefault="001B6FD0" w:rsidP="00E1016E">
      <w:pPr>
        <w:pStyle w:val="BodyA"/>
        <w:jc w:val="center"/>
        <w:rPr>
          <w:rFonts w:eastAsia="Calibri" w:hAnsi="Times New Roman" w:cs="Times New Roman"/>
          <w:b/>
          <w:lang w:val="lt-LT" w:eastAsia="lt-LT"/>
        </w:rPr>
      </w:pPr>
      <w:r w:rsidRPr="00E1016E">
        <w:rPr>
          <w:rFonts w:eastAsia="Calibri" w:hAnsi="Times New Roman" w:cs="Times New Roman"/>
          <w:b/>
          <w:lang w:val="lt-LT" w:eastAsia="lt-LT"/>
        </w:rPr>
        <w:t>LIETUVOS RESPUBLIKOS POZICIJOS DĖL KLAUSIMŲ, SVARSTOMŲ</w:t>
      </w:r>
    </w:p>
    <w:p w:rsidR="001B6FD0" w:rsidRPr="00E1016E" w:rsidRDefault="001B6FD0" w:rsidP="00E1016E">
      <w:pPr>
        <w:pStyle w:val="BodyA"/>
        <w:jc w:val="center"/>
        <w:rPr>
          <w:rFonts w:eastAsia="Calibri" w:hAnsi="Times New Roman" w:cs="Times New Roman"/>
          <w:b/>
          <w:lang w:val="lt-LT" w:eastAsia="lt-LT"/>
        </w:rPr>
      </w:pPr>
      <w:r w:rsidRPr="00E1016E">
        <w:rPr>
          <w:rFonts w:eastAsia="Calibri" w:hAnsi="Times New Roman" w:cs="Times New Roman"/>
          <w:b/>
          <w:lang w:val="lt-LT" w:eastAsia="lt-LT"/>
        </w:rPr>
        <w:t xml:space="preserve">2021 M. </w:t>
      </w:r>
      <w:r w:rsidR="007A3C33" w:rsidRPr="00E1016E">
        <w:rPr>
          <w:rFonts w:eastAsia="Calibri" w:hAnsi="Times New Roman" w:cs="Times New Roman"/>
          <w:b/>
          <w:lang w:val="lt-LT" w:eastAsia="lt-LT"/>
        </w:rPr>
        <w:t>LAPKRIČIO 23</w:t>
      </w:r>
      <w:r w:rsidRPr="00E1016E">
        <w:rPr>
          <w:rFonts w:eastAsia="Calibri" w:hAnsi="Times New Roman" w:cs="Times New Roman"/>
          <w:b/>
          <w:lang w:val="lt-LT" w:eastAsia="lt-LT"/>
        </w:rPr>
        <w:t xml:space="preserve"> D. EUROPOS SĄJUNGOS BENDRŲJŲ REIKALŲ TARYBOJE</w:t>
      </w:r>
    </w:p>
    <w:p w:rsidR="001B6FD0" w:rsidRPr="00E1016E" w:rsidRDefault="001B6FD0" w:rsidP="00E1016E">
      <w:pPr>
        <w:pStyle w:val="BodyA"/>
        <w:jc w:val="both"/>
        <w:rPr>
          <w:rFonts w:eastAsia="Calibri" w:hAnsi="Times New Roman" w:cs="Times New Roman"/>
          <w:b/>
          <w:lang w:val="lt-LT" w:eastAsia="lt-LT"/>
        </w:rPr>
      </w:pPr>
    </w:p>
    <w:p w:rsidR="001B6FD0" w:rsidRPr="00E1016E" w:rsidRDefault="001B6FD0" w:rsidP="00E1016E">
      <w:pPr>
        <w:pStyle w:val="HTMLPreformatted"/>
        <w:jc w:val="both"/>
        <w:rPr>
          <w:rFonts w:ascii="Times New Roman" w:hAnsi="Times New Roman" w:cs="Times New Roman"/>
          <w:sz w:val="24"/>
          <w:szCs w:val="24"/>
        </w:rPr>
      </w:pPr>
      <w:r w:rsidRPr="00E1016E">
        <w:rPr>
          <w:rFonts w:ascii="Times New Roman" w:hAnsi="Times New Roman" w:cs="Times New Roman"/>
          <w:sz w:val="24"/>
          <w:szCs w:val="24"/>
        </w:rPr>
        <w:tab/>
        <w:t xml:space="preserve">Lapkričio 23 d. Bendrųjų reikalų taryboje prasidės pasirengimas gruodžio 16-17 d. Europos </w:t>
      </w:r>
      <w:r w:rsidR="007A3C33" w:rsidRPr="00E1016E">
        <w:rPr>
          <w:rFonts w:ascii="Times New Roman" w:hAnsi="Times New Roman" w:cs="Times New Roman"/>
          <w:sz w:val="24"/>
          <w:szCs w:val="24"/>
        </w:rPr>
        <w:t>V</w:t>
      </w:r>
      <w:r w:rsidRPr="00E1016E">
        <w:rPr>
          <w:rFonts w:ascii="Times New Roman" w:hAnsi="Times New Roman" w:cs="Times New Roman"/>
          <w:sz w:val="24"/>
          <w:szCs w:val="24"/>
        </w:rPr>
        <w:t xml:space="preserve">adovų </w:t>
      </w:r>
      <w:r w:rsidR="007A3C33" w:rsidRPr="00E1016E">
        <w:rPr>
          <w:rFonts w:ascii="Times New Roman" w:hAnsi="Times New Roman" w:cs="Times New Roman"/>
          <w:sz w:val="24"/>
          <w:szCs w:val="24"/>
        </w:rPr>
        <w:t>T</w:t>
      </w:r>
      <w:r w:rsidRPr="00E1016E">
        <w:rPr>
          <w:rFonts w:ascii="Times New Roman" w:hAnsi="Times New Roman" w:cs="Times New Roman"/>
          <w:sz w:val="24"/>
          <w:szCs w:val="24"/>
        </w:rPr>
        <w:t xml:space="preserve">arybai, ministrai aptars anotuotą EVT darbotvarkę. </w:t>
      </w:r>
      <w:r w:rsidR="007A3C33" w:rsidRPr="00E1016E">
        <w:rPr>
          <w:rFonts w:ascii="Times New Roman" w:hAnsi="Times New Roman" w:cs="Times New Roman"/>
          <w:sz w:val="24"/>
          <w:szCs w:val="24"/>
        </w:rPr>
        <w:t xml:space="preserve">BRT </w:t>
      </w:r>
      <w:r w:rsidRPr="00E1016E">
        <w:rPr>
          <w:rFonts w:ascii="Times New Roman" w:hAnsi="Times New Roman" w:cs="Times New Roman"/>
          <w:sz w:val="24"/>
          <w:szCs w:val="24"/>
        </w:rPr>
        <w:t>metu bus diskutuojama dėl plėtros ir stabilizavimo bei asociacijos proceso, bus aptariami ES-JK santykiai. BRT tęs kasmetinį teisinės valstybės dialogą ir posėdžio metu bus aptariami 5 ES valstybių narių (Kroatijos, Italijos, Liuksemburgo, Latvijos bei Lietuvos) teisinės valstybės ataskaitos skyriai</w:t>
      </w:r>
      <w:r w:rsidR="007A3C33" w:rsidRPr="00E1016E">
        <w:rPr>
          <w:rFonts w:ascii="Times New Roman" w:hAnsi="Times New Roman" w:cs="Times New Roman"/>
          <w:sz w:val="24"/>
          <w:szCs w:val="24"/>
        </w:rPr>
        <w:t>.</w:t>
      </w:r>
      <w:r w:rsidRPr="00E1016E">
        <w:rPr>
          <w:rFonts w:ascii="Times New Roman" w:hAnsi="Times New Roman" w:cs="Times New Roman"/>
          <w:sz w:val="24"/>
          <w:szCs w:val="24"/>
        </w:rPr>
        <w:t xml:space="preserve"> Posėdyje taip pat bus tvirtinamos </w:t>
      </w:r>
      <w:r w:rsidR="007A3C33" w:rsidRPr="00E1016E">
        <w:rPr>
          <w:rFonts w:ascii="Times New Roman" w:hAnsi="Times New Roman" w:cs="Times New Roman"/>
          <w:sz w:val="24"/>
          <w:szCs w:val="24"/>
        </w:rPr>
        <w:t xml:space="preserve">Tarybos </w:t>
      </w:r>
      <w:r w:rsidRPr="00E1016E">
        <w:rPr>
          <w:rFonts w:ascii="Times New Roman" w:hAnsi="Times New Roman" w:cs="Times New Roman"/>
          <w:sz w:val="24"/>
          <w:szCs w:val="24"/>
        </w:rPr>
        <w:t xml:space="preserve">išvados dėl </w:t>
      </w:r>
      <w:r w:rsidRPr="00E1016E">
        <w:rPr>
          <w:rStyle w:val="y2iqfc"/>
          <w:rFonts w:ascii="Times New Roman" w:hAnsi="Times New Roman" w:cs="Times New Roman"/>
          <w:sz w:val="24"/>
          <w:szCs w:val="24"/>
        </w:rPr>
        <w:t xml:space="preserve">pasirengimo, reagavimo ir atsparumo </w:t>
      </w:r>
      <w:proofErr w:type="spellStart"/>
      <w:r w:rsidRPr="00E1016E">
        <w:rPr>
          <w:rStyle w:val="y2iqfc"/>
          <w:rFonts w:ascii="Times New Roman" w:hAnsi="Times New Roman" w:cs="Times New Roman"/>
          <w:sz w:val="24"/>
          <w:szCs w:val="24"/>
        </w:rPr>
        <w:t>pajėgumų</w:t>
      </w:r>
      <w:proofErr w:type="spellEnd"/>
      <w:r w:rsidRPr="00E1016E">
        <w:rPr>
          <w:rStyle w:val="y2iqfc"/>
          <w:rFonts w:ascii="Times New Roman" w:hAnsi="Times New Roman" w:cs="Times New Roman"/>
          <w:sz w:val="24"/>
          <w:szCs w:val="24"/>
        </w:rPr>
        <w:t xml:space="preserve"> gerinimo rengiantis būsimoms krizėms</w:t>
      </w:r>
      <w:r w:rsidR="007A3C33" w:rsidRPr="00E1016E">
        <w:rPr>
          <w:rStyle w:val="y2iqfc"/>
          <w:rFonts w:ascii="Times New Roman" w:hAnsi="Times New Roman" w:cs="Times New Roman"/>
          <w:sz w:val="24"/>
          <w:szCs w:val="24"/>
        </w:rPr>
        <w:t>.</w:t>
      </w:r>
      <w:r w:rsidRPr="00E1016E">
        <w:rPr>
          <w:rStyle w:val="y2iqfc"/>
          <w:rFonts w:ascii="Times New Roman" w:hAnsi="Times New Roman" w:cs="Times New Roman"/>
          <w:sz w:val="24"/>
          <w:szCs w:val="24"/>
        </w:rPr>
        <w:t xml:space="preserve"> Europos Komisija pristatys savo darbo programą 2022 metams.</w:t>
      </w:r>
    </w:p>
    <w:p w:rsidR="001B6FD0" w:rsidRPr="00E1016E" w:rsidRDefault="001B6FD0" w:rsidP="00E1016E">
      <w:pPr>
        <w:spacing w:after="0" w:line="240" w:lineRule="auto"/>
        <w:jc w:val="both"/>
        <w:rPr>
          <w:rFonts w:ascii="Times New Roman" w:hAnsi="Times New Roman" w:cs="Times New Roman"/>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1B6FD0" w:rsidRPr="00E1016E" w:rsidTr="001B6FD0">
        <w:tc>
          <w:tcPr>
            <w:tcW w:w="9628" w:type="dxa"/>
          </w:tcPr>
          <w:p w:rsidR="001B6FD0" w:rsidRPr="00E1016E" w:rsidRDefault="001B6FD0" w:rsidP="00E1016E">
            <w:pPr>
              <w:rPr>
                <w:rFonts w:ascii="Times New Roman" w:hAnsi="Times New Roman" w:cs="Times New Roman"/>
                <w:b/>
                <w:sz w:val="24"/>
                <w:szCs w:val="24"/>
              </w:rPr>
            </w:pPr>
            <w:r w:rsidRPr="00E1016E">
              <w:rPr>
                <w:rFonts w:ascii="Times New Roman" w:hAnsi="Times New Roman" w:cs="Times New Roman"/>
                <w:b/>
                <w:sz w:val="24"/>
                <w:szCs w:val="24"/>
              </w:rPr>
              <w:t xml:space="preserve">Pasirengimas 2021 m. gruodžio 16–17 d. Europos Vadovų Tarybos susitikimui. </w:t>
            </w:r>
            <w:r w:rsidRPr="00E1016E">
              <w:rPr>
                <w:rFonts w:ascii="Times New Roman" w:hAnsi="Times New Roman" w:cs="Times New Roman"/>
                <w:b/>
                <w:sz w:val="24"/>
                <w:szCs w:val="24"/>
              </w:rPr>
              <w:br/>
              <w:t xml:space="preserve">Anotuotos darbotvarkės projektas </w:t>
            </w:r>
            <w:r w:rsidRPr="00E1016E">
              <w:rPr>
                <w:rFonts w:ascii="Times New Roman" w:hAnsi="Times New Roman" w:cs="Times New Roman"/>
                <w:b/>
                <w:sz w:val="24"/>
                <w:szCs w:val="24"/>
              </w:rPr>
              <w:br/>
            </w:r>
            <w:r w:rsidRPr="00E1016E">
              <w:rPr>
                <w:rFonts w:ascii="Times New Roman" w:hAnsi="Times New Roman" w:cs="Times New Roman"/>
                <w:b/>
                <w:i/>
                <w:sz w:val="24"/>
                <w:szCs w:val="24"/>
              </w:rPr>
              <w:t>Pasikeitimas nuomonėmis</w:t>
            </w:r>
            <w:r w:rsidRPr="00E1016E">
              <w:rPr>
                <w:rFonts w:ascii="Times New Roman" w:hAnsi="Times New Roman" w:cs="Times New Roman"/>
                <w:b/>
                <w:sz w:val="24"/>
                <w:szCs w:val="24"/>
              </w:rPr>
              <w:t xml:space="preserve"> </w:t>
            </w:r>
          </w:p>
        </w:tc>
      </w:tr>
      <w:tr w:rsidR="001B6FD0" w:rsidRPr="00E1016E" w:rsidTr="001B6FD0">
        <w:tc>
          <w:tcPr>
            <w:tcW w:w="9628" w:type="dxa"/>
          </w:tcPr>
          <w:p w:rsidR="00E41AD6" w:rsidRPr="00E1016E" w:rsidRDefault="00E41AD6" w:rsidP="00E1016E">
            <w:pPr>
              <w:jc w:val="both"/>
              <w:rPr>
                <w:rFonts w:ascii="Times New Roman" w:hAnsi="Times New Roman" w:cs="Times New Roman"/>
                <w:sz w:val="24"/>
                <w:szCs w:val="24"/>
              </w:rPr>
            </w:pPr>
          </w:p>
          <w:p w:rsidR="001B6FD0" w:rsidRPr="00E1016E" w:rsidRDefault="00E41AD6" w:rsidP="00E1016E">
            <w:pPr>
              <w:jc w:val="both"/>
              <w:rPr>
                <w:rFonts w:ascii="Times New Roman" w:hAnsi="Times New Roman" w:cs="Times New Roman"/>
                <w:sz w:val="24"/>
                <w:szCs w:val="24"/>
              </w:rPr>
            </w:pPr>
            <w:r w:rsidRPr="00E1016E">
              <w:rPr>
                <w:rFonts w:ascii="Times New Roman" w:hAnsi="Times New Roman" w:cs="Times New Roman"/>
                <w:b/>
                <w:sz w:val="24"/>
                <w:szCs w:val="24"/>
                <w:u w:val="single"/>
              </w:rPr>
              <w:t>Klausimo esmė</w:t>
            </w:r>
            <w:r w:rsidRPr="00E1016E">
              <w:rPr>
                <w:rFonts w:ascii="Times New Roman" w:hAnsi="Times New Roman" w:cs="Times New Roman"/>
                <w:b/>
                <w:sz w:val="24"/>
                <w:szCs w:val="24"/>
              </w:rPr>
              <w:t>.</w:t>
            </w:r>
            <w:r w:rsidRPr="00E1016E">
              <w:rPr>
                <w:rFonts w:ascii="Times New Roman" w:hAnsi="Times New Roman" w:cs="Times New Roman"/>
                <w:sz w:val="24"/>
                <w:szCs w:val="24"/>
              </w:rPr>
              <w:t xml:space="preserve"> </w:t>
            </w:r>
            <w:r w:rsidR="001B6FD0" w:rsidRPr="00E1016E">
              <w:rPr>
                <w:rFonts w:ascii="Times New Roman" w:hAnsi="Times New Roman" w:cs="Times New Roman"/>
                <w:sz w:val="24"/>
                <w:szCs w:val="24"/>
              </w:rPr>
              <w:t xml:space="preserve">BRT aptars 2021 m. gruodžio 16–17 d. Europos Vadovų Tarybos posėdžio </w:t>
            </w:r>
            <w:r w:rsidR="007A3C33" w:rsidRPr="00E1016E">
              <w:rPr>
                <w:rFonts w:ascii="Times New Roman" w:hAnsi="Times New Roman" w:cs="Times New Roman"/>
                <w:sz w:val="24"/>
                <w:szCs w:val="24"/>
              </w:rPr>
              <w:t xml:space="preserve">anotuotą </w:t>
            </w:r>
            <w:r w:rsidR="001B6FD0" w:rsidRPr="00E1016E">
              <w:rPr>
                <w:rFonts w:ascii="Times New Roman" w:hAnsi="Times New Roman" w:cs="Times New Roman"/>
                <w:sz w:val="24"/>
                <w:szCs w:val="24"/>
              </w:rPr>
              <w:t>darbotvarkę</w:t>
            </w:r>
            <w:r w:rsidR="007A3C33" w:rsidRPr="00E1016E">
              <w:rPr>
                <w:rFonts w:ascii="Times New Roman" w:hAnsi="Times New Roman" w:cs="Times New Roman"/>
                <w:sz w:val="24"/>
                <w:szCs w:val="24"/>
              </w:rPr>
              <w:t xml:space="preserve"> (</w:t>
            </w:r>
            <w:r w:rsidR="001B6FD0" w:rsidRPr="00E1016E">
              <w:rPr>
                <w:rFonts w:ascii="Times New Roman" w:hAnsi="Times New Roman" w:cs="Times New Roman"/>
                <w:sz w:val="24"/>
                <w:szCs w:val="24"/>
              </w:rPr>
              <w:t>kol kas nėra išplatinta</w:t>
            </w:r>
            <w:r w:rsidR="007A3C33" w:rsidRPr="00E1016E">
              <w:rPr>
                <w:rFonts w:ascii="Times New Roman" w:hAnsi="Times New Roman" w:cs="Times New Roman"/>
                <w:sz w:val="24"/>
                <w:szCs w:val="24"/>
              </w:rPr>
              <w:t>)</w:t>
            </w:r>
            <w:r w:rsidR="001B6FD0" w:rsidRPr="00E1016E">
              <w:rPr>
                <w:rFonts w:ascii="Times New Roman" w:hAnsi="Times New Roman" w:cs="Times New Roman"/>
                <w:sz w:val="24"/>
                <w:szCs w:val="24"/>
              </w:rPr>
              <w:t xml:space="preserve">. Planuojama EVT </w:t>
            </w:r>
            <w:r w:rsidR="007A3C33" w:rsidRPr="00E1016E">
              <w:rPr>
                <w:rFonts w:ascii="Times New Roman" w:hAnsi="Times New Roman" w:cs="Times New Roman"/>
                <w:sz w:val="24"/>
                <w:szCs w:val="24"/>
              </w:rPr>
              <w:t xml:space="preserve">aptarti esamą situaciją dėl </w:t>
            </w:r>
            <w:r w:rsidR="001B6FD0" w:rsidRPr="00E1016E">
              <w:rPr>
                <w:rFonts w:ascii="Times New Roman" w:hAnsi="Times New Roman" w:cs="Times New Roman"/>
                <w:sz w:val="24"/>
                <w:szCs w:val="24"/>
              </w:rPr>
              <w:t>atsako į COVID</w:t>
            </w:r>
            <w:r w:rsidR="007A3C33" w:rsidRPr="00E1016E">
              <w:rPr>
                <w:rFonts w:ascii="Times New Roman" w:hAnsi="Times New Roman" w:cs="Times New Roman"/>
                <w:sz w:val="24"/>
                <w:szCs w:val="24"/>
              </w:rPr>
              <w:t>-19</w:t>
            </w:r>
            <w:r w:rsidR="001B6FD0" w:rsidRPr="00E1016E">
              <w:rPr>
                <w:rFonts w:ascii="Times New Roman" w:hAnsi="Times New Roman" w:cs="Times New Roman"/>
                <w:sz w:val="24"/>
                <w:szCs w:val="24"/>
              </w:rPr>
              <w:t xml:space="preserve"> pandemiją koordinavimo, </w:t>
            </w:r>
            <w:r w:rsidR="00AA62AB" w:rsidRPr="00E1016E">
              <w:rPr>
                <w:rFonts w:ascii="Times New Roman" w:hAnsi="Times New Roman" w:cs="Times New Roman"/>
                <w:sz w:val="24"/>
                <w:szCs w:val="24"/>
              </w:rPr>
              <w:t xml:space="preserve">parengties būsimoms krizėms, reagavimo į jas </w:t>
            </w:r>
            <w:proofErr w:type="spellStart"/>
            <w:r w:rsidR="00AA62AB" w:rsidRPr="00E1016E">
              <w:rPr>
                <w:rFonts w:ascii="Times New Roman" w:hAnsi="Times New Roman" w:cs="Times New Roman"/>
                <w:sz w:val="24"/>
                <w:szCs w:val="24"/>
              </w:rPr>
              <w:t>pajėgumų</w:t>
            </w:r>
            <w:proofErr w:type="spellEnd"/>
            <w:r w:rsidR="00AA62AB" w:rsidRPr="00E1016E">
              <w:rPr>
                <w:rFonts w:ascii="Times New Roman" w:hAnsi="Times New Roman" w:cs="Times New Roman"/>
                <w:sz w:val="24"/>
                <w:szCs w:val="24"/>
              </w:rPr>
              <w:t xml:space="preserve"> ir atsparumo joms stiprinimo</w:t>
            </w:r>
            <w:r w:rsidR="001B6FD0" w:rsidRPr="00E1016E">
              <w:rPr>
                <w:rFonts w:ascii="Times New Roman" w:hAnsi="Times New Roman" w:cs="Times New Roman"/>
                <w:sz w:val="24"/>
                <w:szCs w:val="24"/>
              </w:rPr>
              <w:t xml:space="preserve">, </w:t>
            </w:r>
            <w:r w:rsidR="007A3C33" w:rsidRPr="00E1016E">
              <w:rPr>
                <w:rFonts w:ascii="Times New Roman" w:hAnsi="Times New Roman" w:cs="Times New Roman"/>
                <w:sz w:val="24"/>
                <w:szCs w:val="24"/>
              </w:rPr>
              <w:t xml:space="preserve">ES santykių su </w:t>
            </w:r>
            <w:r w:rsidR="001B6FD0" w:rsidRPr="00E1016E">
              <w:rPr>
                <w:rFonts w:ascii="Times New Roman" w:hAnsi="Times New Roman" w:cs="Times New Roman"/>
                <w:sz w:val="24"/>
                <w:szCs w:val="24"/>
              </w:rPr>
              <w:t>Afrik</w:t>
            </w:r>
            <w:r w:rsidR="007A3C33" w:rsidRPr="00E1016E">
              <w:rPr>
                <w:rFonts w:ascii="Times New Roman" w:hAnsi="Times New Roman" w:cs="Times New Roman"/>
                <w:sz w:val="24"/>
                <w:szCs w:val="24"/>
              </w:rPr>
              <w:t>a</w:t>
            </w:r>
            <w:r w:rsidR="001B6FD0" w:rsidRPr="00E1016E">
              <w:rPr>
                <w:rFonts w:ascii="Times New Roman" w:hAnsi="Times New Roman" w:cs="Times New Roman"/>
                <w:sz w:val="24"/>
                <w:szCs w:val="24"/>
              </w:rPr>
              <w:t xml:space="preserve"> klausimus, taip pat vyks euro zonos viršūnių susitikimas, aptarsiantis </w:t>
            </w:r>
            <w:r w:rsidR="007A3C33" w:rsidRPr="00E1016E">
              <w:rPr>
                <w:rFonts w:ascii="Times New Roman" w:hAnsi="Times New Roman" w:cs="Times New Roman"/>
                <w:sz w:val="24"/>
                <w:szCs w:val="24"/>
              </w:rPr>
              <w:t>B</w:t>
            </w:r>
            <w:r w:rsidR="001B6FD0" w:rsidRPr="00E1016E">
              <w:rPr>
                <w:rFonts w:ascii="Times New Roman" w:hAnsi="Times New Roman" w:cs="Times New Roman"/>
                <w:sz w:val="24"/>
                <w:szCs w:val="24"/>
              </w:rPr>
              <w:t xml:space="preserve">ankų sąjungos ir </w:t>
            </w:r>
            <w:r w:rsidR="007A3C33" w:rsidRPr="00E1016E">
              <w:rPr>
                <w:rFonts w:ascii="Times New Roman" w:hAnsi="Times New Roman" w:cs="Times New Roman"/>
                <w:sz w:val="24"/>
                <w:szCs w:val="24"/>
              </w:rPr>
              <w:t>K</w:t>
            </w:r>
            <w:r w:rsidR="001B6FD0" w:rsidRPr="00E1016E">
              <w:rPr>
                <w:rFonts w:ascii="Times New Roman" w:hAnsi="Times New Roman" w:cs="Times New Roman"/>
                <w:sz w:val="24"/>
                <w:szCs w:val="24"/>
              </w:rPr>
              <w:t>apital</w:t>
            </w:r>
            <w:r w:rsidR="007A3C33" w:rsidRPr="00E1016E">
              <w:rPr>
                <w:rFonts w:ascii="Times New Roman" w:hAnsi="Times New Roman" w:cs="Times New Roman"/>
                <w:sz w:val="24"/>
                <w:szCs w:val="24"/>
              </w:rPr>
              <w:t>o</w:t>
            </w:r>
            <w:r w:rsidR="001B6FD0" w:rsidRPr="00E1016E">
              <w:rPr>
                <w:rFonts w:ascii="Times New Roman" w:hAnsi="Times New Roman" w:cs="Times New Roman"/>
                <w:sz w:val="24"/>
                <w:szCs w:val="24"/>
              </w:rPr>
              <w:t xml:space="preserve"> rinkų sąjungos klausimus. Numatoma vadovų diskusija dėl ES „strateginio kompaso“, kuris būtų tvirtinamas 2022 m. kovo </w:t>
            </w:r>
            <w:r w:rsidR="007A3C33" w:rsidRPr="00E1016E">
              <w:rPr>
                <w:rFonts w:ascii="Times New Roman" w:hAnsi="Times New Roman" w:cs="Times New Roman"/>
                <w:sz w:val="24"/>
                <w:szCs w:val="24"/>
              </w:rPr>
              <w:t xml:space="preserve">mėn. </w:t>
            </w:r>
            <w:r w:rsidR="001B6FD0" w:rsidRPr="00E1016E">
              <w:rPr>
                <w:rFonts w:ascii="Times New Roman" w:hAnsi="Times New Roman" w:cs="Times New Roman"/>
                <w:sz w:val="24"/>
                <w:szCs w:val="24"/>
              </w:rPr>
              <w:t xml:space="preserve">EVT. Vadovai taip pat turėtų </w:t>
            </w:r>
            <w:r w:rsidR="007A3C33" w:rsidRPr="00E1016E">
              <w:rPr>
                <w:rFonts w:ascii="Times New Roman" w:hAnsi="Times New Roman" w:cs="Times New Roman"/>
                <w:sz w:val="24"/>
                <w:szCs w:val="24"/>
              </w:rPr>
              <w:t>su</w:t>
            </w:r>
            <w:r w:rsidR="001B6FD0" w:rsidRPr="00E1016E">
              <w:rPr>
                <w:rFonts w:ascii="Times New Roman" w:hAnsi="Times New Roman" w:cs="Times New Roman"/>
                <w:sz w:val="24"/>
                <w:szCs w:val="24"/>
              </w:rPr>
              <w:t>grįžti prie spalio EVT diskutuoto kylančių energ</w:t>
            </w:r>
            <w:r w:rsidR="007A3C33" w:rsidRPr="00E1016E">
              <w:rPr>
                <w:rFonts w:ascii="Times New Roman" w:hAnsi="Times New Roman" w:cs="Times New Roman"/>
                <w:sz w:val="24"/>
                <w:szCs w:val="24"/>
              </w:rPr>
              <w:t>ijos</w:t>
            </w:r>
            <w:r w:rsidR="001B6FD0" w:rsidRPr="00E1016E">
              <w:rPr>
                <w:rFonts w:ascii="Times New Roman" w:hAnsi="Times New Roman" w:cs="Times New Roman"/>
                <w:sz w:val="24"/>
                <w:szCs w:val="24"/>
              </w:rPr>
              <w:t xml:space="preserve"> kainų klausimo. Prieš EVT, gruodžio 15 d. įvyks Rytų partnerystės </w:t>
            </w:r>
            <w:r w:rsidR="007A3C33" w:rsidRPr="00E1016E">
              <w:rPr>
                <w:rFonts w:ascii="Times New Roman" w:hAnsi="Times New Roman" w:cs="Times New Roman"/>
                <w:sz w:val="24"/>
                <w:szCs w:val="24"/>
              </w:rPr>
              <w:t>aukščiausiojo</w:t>
            </w:r>
            <w:r w:rsidR="001B6FD0" w:rsidRPr="00E1016E">
              <w:rPr>
                <w:rFonts w:ascii="Times New Roman" w:hAnsi="Times New Roman" w:cs="Times New Roman"/>
                <w:sz w:val="24"/>
                <w:szCs w:val="24"/>
              </w:rPr>
              <w:t xml:space="preserve"> lygio susitikimas. </w:t>
            </w:r>
          </w:p>
        </w:tc>
      </w:tr>
      <w:tr w:rsidR="001B6FD0" w:rsidRPr="00E1016E" w:rsidTr="001B6FD0">
        <w:tc>
          <w:tcPr>
            <w:tcW w:w="9628" w:type="dxa"/>
          </w:tcPr>
          <w:p w:rsidR="000A29BD" w:rsidRDefault="000A29BD" w:rsidP="00E1016E">
            <w:pPr>
              <w:jc w:val="both"/>
              <w:rPr>
                <w:rFonts w:ascii="Times New Roman" w:hAnsi="Times New Roman" w:cs="Times New Roman"/>
                <w:b/>
                <w:sz w:val="24"/>
                <w:szCs w:val="24"/>
                <w:u w:val="single"/>
              </w:rPr>
            </w:pPr>
          </w:p>
          <w:p w:rsidR="001B6FD0" w:rsidRPr="00E1016E" w:rsidRDefault="001B6FD0" w:rsidP="00E1016E">
            <w:pPr>
              <w:jc w:val="both"/>
              <w:rPr>
                <w:rFonts w:ascii="Times New Roman" w:hAnsi="Times New Roman" w:cs="Times New Roman"/>
                <w:b/>
                <w:sz w:val="24"/>
                <w:szCs w:val="24"/>
              </w:rPr>
            </w:pPr>
            <w:bookmarkStart w:id="0" w:name="_GoBack"/>
            <w:bookmarkEnd w:id="0"/>
            <w:r w:rsidRPr="00E1016E">
              <w:rPr>
                <w:rFonts w:ascii="Times New Roman" w:hAnsi="Times New Roman" w:cs="Times New Roman"/>
                <w:b/>
                <w:sz w:val="24"/>
                <w:szCs w:val="24"/>
                <w:u w:val="single"/>
              </w:rPr>
              <w:t>Lietuvos pozicija</w:t>
            </w:r>
            <w:r w:rsidR="00E41AD6" w:rsidRPr="00E1016E">
              <w:rPr>
                <w:rFonts w:ascii="Times New Roman" w:hAnsi="Times New Roman" w:cs="Times New Roman"/>
                <w:b/>
                <w:sz w:val="24"/>
                <w:szCs w:val="24"/>
              </w:rPr>
              <w:t>.</w:t>
            </w:r>
            <w:r w:rsidR="007A3C33" w:rsidRPr="00E1016E">
              <w:rPr>
                <w:rFonts w:ascii="Times New Roman" w:hAnsi="Times New Roman" w:cs="Times New Roman"/>
                <w:b/>
                <w:sz w:val="24"/>
                <w:szCs w:val="24"/>
              </w:rPr>
              <w:t xml:space="preserve"> </w:t>
            </w:r>
            <w:r w:rsidR="007A3C33" w:rsidRPr="00E1016E">
              <w:rPr>
                <w:rFonts w:ascii="Times New Roman" w:hAnsi="Times New Roman" w:cs="Times New Roman"/>
                <w:sz w:val="24"/>
                <w:szCs w:val="24"/>
              </w:rPr>
              <w:t>Lietuva neprieštarauja siūlymams dėl EVT anotuotos posėdžio darbotvarkės.</w:t>
            </w:r>
          </w:p>
        </w:tc>
      </w:tr>
      <w:tr w:rsidR="001B6FD0" w:rsidRPr="00E1016E" w:rsidTr="001B6FD0">
        <w:tc>
          <w:tcPr>
            <w:tcW w:w="9628" w:type="dxa"/>
          </w:tcPr>
          <w:p w:rsidR="001B6FD0" w:rsidRPr="00E1016E" w:rsidRDefault="001B6FD0" w:rsidP="00E1016E">
            <w:pPr>
              <w:jc w:val="both"/>
              <w:rPr>
                <w:rFonts w:ascii="Times New Roman" w:hAnsi="Times New Roman" w:cs="Times New Roman"/>
                <w:sz w:val="24"/>
                <w:szCs w:val="24"/>
              </w:rPr>
            </w:pPr>
          </w:p>
        </w:tc>
      </w:tr>
      <w:tr w:rsidR="001B6FD0" w:rsidRPr="00E1016E" w:rsidTr="001B6FD0">
        <w:tc>
          <w:tcPr>
            <w:tcW w:w="9628" w:type="dxa"/>
          </w:tcPr>
          <w:p w:rsidR="001B6FD0" w:rsidRPr="00E1016E" w:rsidRDefault="001B6FD0" w:rsidP="00E1016E">
            <w:pPr>
              <w:jc w:val="both"/>
              <w:rPr>
                <w:rFonts w:ascii="Times New Roman" w:hAnsi="Times New Roman" w:cs="Times New Roman"/>
                <w:sz w:val="24"/>
                <w:szCs w:val="24"/>
              </w:rPr>
            </w:pPr>
            <w:r w:rsidRPr="00E1016E">
              <w:rPr>
                <w:rFonts w:ascii="Times New Roman" w:hAnsi="Times New Roman" w:cs="Times New Roman"/>
                <w:i/>
                <w:sz w:val="24"/>
                <w:szCs w:val="24"/>
                <w:shd w:val="clear" w:color="auto" w:fill="FFFFFF"/>
              </w:rPr>
              <w:t>Lietuvos pozicija bus tikslinama ir derinama darbo tvarka</w:t>
            </w:r>
            <w:r w:rsidR="007A3C33" w:rsidRPr="00E1016E">
              <w:rPr>
                <w:rFonts w:ascii="Times New Roman" w:hAnsi="Times New Roman" w:cs="Times New Roman"/>
                <w:i/>
                <w:sz w:val="24"/>
                <w:szCs w:val="24"/>
                <w:shd w:val="clear" w:color="auto" w:fill="FFFFFF"/>
              </w:rPr>
              <w:t>,</w:t>
            </w:r>
            <w:r w:rsidRPr="00E1016E">
              <w:rPr>
                <w:rFonts w:ascii="Times New Roman" w:hAnsi="Times New Roman" w:cs="Times New Roman"/>
                <w:i/>
                <w:sz w:val="24"/>
                <w:szCs w:val="24"/>
                <w:shd w:val="clear" w:color="auto" w:fill="FFFFFF"/>
              </w:rPr>
              <w:t xml:space="preserve"> gavus EVT posėdžio anotuotos darbotvarkės projektą.</w:t>
            </w:r>
          </w:p>
        </w:tc>
      </w:tr>
    </w:tbl>
    <w:p w:rsidR="001B6FD0" w:rsidRPr="00E1016E" w:rsidRDefault="001B6FD0" w:rsidP="00E1016E">
      <w:pPr>
        <w:spacing w:after="0" w:line="240" w:lineRule="auto"/>
        <w:jc w:val="both"/>
        <w:rPr>
          <w:rFonts w:ascii="Times New Roman" w:hAnsi="Times New Roman" w:cs="Times New Roman"/>
          <w:b/>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1B6FD0" w:rsidRPr="00E1016E" w:rsidTr="001B6FD0">
        <w:tc>
          <w:tcPr>
            <w:tcW w:w="9628" w:type="dxa"/>
          </w:tcPr>
          <w:p w:rsidR="001B6FD0" w:rsidRPr="00E1016E" w:rsidRDefault="001B6FD0" w:rsidP="00E1016E">
            <w:pPr>
              <w:jc w:val="both"/>
              <w:rPr>
                <w:rFonts w:ascii="Times New Roman" w:hAnsi="Times New Roman" w:cs="Times New Roman"/>
                <w:b/>
                <w:i/>
                <w:sz w:val="24"/>
                <w:szCs w:val="24"/>
              </w:rPr>
            </w:pPr>
            <w:r w:rsidRPr="00E1016E">
              <w:rPr>
                <w:rFonts w:ascii="Times New Roman" w:hAnsi="Times New Roman" w:cs="Times New Roman"/>
                <w:b/>
                <w:sz w:val="24"/>
                <w:szCs w:val="24"/>
              </w:rPr>
              <w:t xml:space="preserve">Išvados dėl parengties būsimoms krizėms, reagavimo į jas </w:t>
            </w:r>
            <w:proofErr w:type="spellStart"/>
            <w:r w:rsidRPr="00E1016E">
              <w:rPr>
                <w:rFonts w:ascii="Times New Roman" w:hAnsi="Times New Roman" w:cs="Times New Roman"/>
                <w:b/>
                <w:sz w:val="24"/>
                <w:szCs w:val="24"/>
              </w:rPr>
              <w:t>pajėgumų</w:t>
            </w:r>
            <w:proofErr w:type="spellEnd"/>
            <w:r w:rsidRPr="00E1016E">
              <w:rPr>
                <w:rFonts w:ascii="Times New Roman" w:hAnsi="Times New Roman" w:cs="Times New Roman"/>
                <w:b/>
                <w:sz w:val="24"/>
                <w:szCs w:val="24"/>
              </w:rPr>
              <w:t xml:space="preserve"> ir atsparumo joms stiprinimo </w:t>
            </w:r>
            <w:r w:rsidRPr="00E1016E">
              <w:rPr>
                <w:rFonts w:ascii="Times New Roman" w:hAnsi="Times New Roman" w:cs="Times New Roman"/>
                <w:b/>
                <w:sz w:val="24"/>
                <w:szCs w:val="24"/>
              </w:rPr>
              <w:br/>
            </w:r>
            <w:r w:rsidRPr="00E1016E">
              <w:rPr>
                <w:rFonts w:ascii="Times New Roman" w:hAnsi="Times New Roman" w:cs="Times New Roman"/>
                <w:b/>
                <w:i/>
                <w:sz w:val="24"/>
                <w:szCs w:val="24"/>
              </w:rPr>
              <w:t xml:space="preserve">Patvirtinimas </w:t>
            </w:r>
          </w:p>
          <w:p w:rsidR="00E41AD6" w:rsidRPr="00E1016E" w:rsidRDefault="00E41AD6" w:rsidP="00E1016E">
            <w:pPr>
              <w:jc w:val="both"/>
              <w:rPr>
                <w:rFonts w:ascii="Times New Roman" w:hAnsi="Times New Roman" w:cs="Times New Roman"/>
                <w:b/>
                <w:i/>
                <w:sz w:val="24"/>
                <w:szCs w:val="24"/>
              </w:rPr>
            </w:pPr>
          </w:p>
        </w:tc>
      </w:tr>
      <w:tr w:rsidR="001B6FD0" w:rsidRPr="00E1016E" w:rsidTr="001B6FD0">
        <w:tc>
          <w:tcPr>
            <w:tcW w:w="9628" w:type="dxa"/>
          </w:tcPr>
          <w:p w:rsidR="001B6FD0" w:rsidRPr="00E1016E" w:rsidRDefault="001B6FD0" w:rsidP="00E1016E">
            <w:pPr>
              <w:jc w:val="both"/>
              <w:rPr>
                <w:rFonts w:ascii="Times New Roman" w:hAnsi="Times New Roman" w:cs="Times New Roman"/>
                <w:sz w:val="24"/>
                <w:szCs w:val="24"/>
              </w:rPr>
            </w:pPr>
            <w:r w:rsidRPr="00E1016E">
              <w:rPr>
                <w:rFonts w:ascii="Times New Roman" w:hAnsi="Times New Roman" w:cs="Times New Roman"/>
                <w:b/>
                <w:sz w:val="24"/>
                <w:szCs w:val="24"/>
                <w:u w:val="single"/>
              </w:rPr>
              <w:t>Klausimo esmė</w:t>
            </w:r>
            <w:r w:rsidRPr="00E1016E">
              <w:rPr>
                <w:rFonts w:ascii="Times New Roman" w:hAnsi="Times New Roman" w:cs="Times New Roman"/>
                <w:b/>
                <w:sz w:val="24"/>
                <w:szCs w:val="24"/>
              </w:rPr>
              <w:t>.</w:t>
            </w:r>
            <w:r w:rsidRPr="00E1016E">
              <w:rPr>
                <w:rFonts w:ascii="Times New Roman" w:hAnsi="Times New Roman" w:cs="Times New Roman"/>
                <w:sz w:val="24"/>
                <w:szCs w:val="24"/>
              </w:rPr>
              <w:t xml:space="preserve"> 2021 m. birželio 24-25 d. Europos Vadovų Tarybos išvadose ES Tarybai pirmininkausiančios valstybės narės paprašyta tęsti darbą Taryboje siekiant stiprinti ES kolektyvinę parengtį, reagavimo </w:t>
            </w:r>
            <w:proofErr w:type="spellStart"/>
            <w:r w:rsidRPr="00E1016E">
              <w:rPr>
                <w:rFonts w:ascii="Times New Roman" w:hAnsi="Times New Roman" w:cs="Times New Roman"/>
                <w:sz w:val="24"/>
                <w:szCs w:val="24"/>
              </w:rPr>
              <w:t>pajėgumus</w:t>
            </w:r>
            <w:proofErr w:type="spellEnd"/>
            <w:r w:rsidRPr="00E1016E">
              <w:rPr>
                <w:rFonts w:ascii="Times New Roman" w:hAnsi="Times New Roman" w:cs="Times New Roman"/>
                <w:sz w:val="24"/>
                <w:szCs w:val="24"/>
              </w:rPr>
              <w:t xml:space="preserve"> bei atsparumą būsimoms krizėms ir saugoti vidaus rinkos veikimą. Įgyvendindama šį prašymą, ES Tarybai pirmininkaujanti Slovėnija parengė Tarybos išvadų dėl pasirengimo, reagavimo </w:t>
            </w:r>
            <w:proofErr w:type="spellStart"/>
            <w:r w:rsidRPr="00E1016E">
              <w:rPr>
                <w:rFonts w:ascii="Times New Roman" w:hAnsi="Times New Roman" w:cs="Times New Roman"/>
                <w:sz w:val="24"/>
                <w:szCs w:val="24"/>
              </w:rPr>
              <w:t>pajėgumų</w:t>
            </w:r>
            <w:proofErr w:type="spellEnd"/>
            <w:r w:rsidRPr="00E1016E">
              <w:rPr>
                <w:rFonts w:ascii="Times New Roman" w:hAnsi="Times New Roman" w:cs="Times New Roman"/>
                <w:sz w:val="24"/>
                <w:szCs w:val="24"/>
              </w:rPr>
              <w:t xml:space="preserve"> ir atsparumo būsimoms krizėms didinimo. Taip pat sukurta speciali Tarybos </w:t>
            </w:r>
            <w:proofErr w:type="spellStart"/>
            <w:r w:rsidRPr="00E1016E">
              <w:rPr>
                <w:rFonts w:ascii="Times New Roman" w:hAnsi="Times New Roman" w:cs="Times New Roman"/>
                <w:i/>
                <w:sz w:val="24"/>
                <w:szCs w:val="24"/>
              </w:rPr>
              <w:t>ad</w:t>
            </w:r>
            <w:proofErr w:type="spellEnd"/>
            <w:r w:rsidRPr="00E1016E">
              <w:rPr>
                <w:rFonts w:ascii="Times New Roman" w:hAnsi="Times New Roman" w:cs="Times New Roman"/>
                <w:i/>
                <w:sz w:val="24"/>
                <w:szCs w:val="24"/>
              </w:rPr>
              <w:t xml:space="preserve"> </w:t>
            </w:r>
            <w:proofErr w:type="spellStart"/>
            <w:r w:rsidRPr="00E1016E">
              <w:rPr>
                <w:rFonts w:ascii="Times New Roman" w:hAnsi="Times New Roman" w:cs="Times New Roman"/>
                <w:i/>
                <w:sz w:val="24"/>
                <w:szCs w:val="24"/>
              </w:rPr>
              <w:t>hoc</w:t>
            </w:r>
            <w:proofErr w:type="spellEnd"/>
            <w:r w:rsidRPr="00E1016E">
              <w:rPr>
                <w:rFonts w:ascii="Times New Roman" w:hAnsi="Times New Roman" w:cs="Times New Roman"/>
                <w:sz w:val="24"/>
                <w:szCs w:val="24"/>
              </w:rPr>
              <w:t xml:space="preserve"> darbo grupė, kurioje derėtasi dėl išvadų projekto.</w:t>
            </w:r>
          </w:p>
        </w:tc>
      </w:tr>
      <w:tr w:rsidR="001B6FD0" w:rsidRPr="00E1016E" w:rsidTr="001B6FD0">
        <w:tc>
          <w:tcPr>
            <w:tcW w:w="9628" w:type="dxa"/>
          </w:tcPr>
          <w:p w:rsidR="001B6FD0" w:rsidRPr="00E1016E" w:rsidRDefault="001B6FD0" w:rsidP="00E1016E">
            <w:pPr>
              <w:pStyle w:val="NormalWeb"/>
              <w:spacing w:before="0" w:beforeAutospacing="0" w:after="0" w:afterAutospacing="0"/>
              <w:jc w:val="both"/>
            </w:pPr>
            <w:r w:rsidRPr="00E1016E">
              <w:t>Bendrųjų reikalų taryboje tikimasi pasiekti sutarimą dėl išvadų projekto. </w:t>
            </w:r>
          </w:p>
        </w:tc>
      </w:tr>
      <w:tr w:rsidR="001B6FD0" w:rsidRPr="00E1016E" w:rsidTr="001B6FD0">
        <w:tc>
          <w:tcPr>
            <w:tcW w:w="9628" w:type="dxa"/>
          </w:tcPr>
          <w:p w:rsidR="001B6FD0" w:rsidRPr="00E1016E" w:rsidRDefault="001B6FD0" w:rsidP="00E1016E">
            <w:pPr>
              <w:pStyle w:val="NormalWeb"/>
              <w:spacing w:before="0" w:beforeAutospacing="0" w:after="0" w:afterAutospacing="0"/>
              <w:jc w:val="both"/>
            </w:pPr>
            <w:r w:rsidRPr="00E1016E">
              <w:t>Išvadų projekte aptariami tiek teigiami ES krizių valdymo elementai (pavyzdžiui, institucinė struktūra), tiek sritys, kurias reikia stiprinti, siekiant geresnio atsako į įvairaus pobūdžio krizes.</w:t>
            </w:r>
          </w:p>
        </w:tc>
      </w:tr>
      <w:tr w:rsidR="001B6FD0" w:rsidRPr="00E1016E" w:rsidTr="001B6FD0">
        <w:tc>
          <w:tcPr>
            <w:tcW w:w="9628" w:type="dxa"/>
          </w:tcPr>
          <w:p w:rsidR="001B6FD0" w:rsidRPr="00E1016E" w:rsidRDefault="001B6FD0" w:rsidP="00E1016E">
            <w:pPr>
              <w:pStyle w:val="NormalWeb"/>
              <w:spacing w:before="0" w:beforeAutospacing="0" w:after="0" w:afterAutospacing="0"/>
              <w:jc w:val="both"/>
            </w:pPr>
            <w:r w:rsidRPr="00E1016E">
              <w:t xml:space="preserve">Pabrėžiama, kad ateityje reikės stipresnio koordinavimosi, siekiant veiksmingo atsako į </w:t>
            </w:r>
            <w:proofErr w:type="spellStart"/>
            <w:r w:rsidRPr="00E1016E">
              <w:t>tarpsektorines</w:t>
            </w:r>
            <w:proofErr w:type="spellEnd"/>
            <w:r w:rsidRPr="00E1016E">
              <w:t xml:space="preserve"> ir tarpvalstybines krizes, todėl instituciniu požiūriu svarbiausią koordinuojantį vaidmenį ir toliau vaidins COREPER. Visgi būtina stiprinti Tarybos veiksmingumą, užtikrinti didesnį lankstumą krizių akivaizdoje.</w:t>
            </w:r>
          </w:p>
        </w:tc>
      </w:tr>
      <w:tr w:rsidR="001B6FD0" w:rsidRPr="00E1016E" w:rsidTr="001B6FD0">
        <w:tc>
          <w:tcPr>
            <w:tcW w:w="9628" w:type="dxa"/>
          </w:tcPr>
          <w:p w:rsidR="001B6FD0" w:rsidRPr="00E1016E" w:rsidRDefault="001B6FD0" w:rsidP="00E1016E">
            <w:pPr>
              <w:pStyle w:val="NormalWeb"/>
              <w:spacing w:before="0" w:beforeAutospacing="0" w:after="0" w:afterAutospacing="0"/>
              <w:jc w:val="both"/>
            </w:pPr>
            <w:r w:rsidRPr="00E1016E">
              <w:t>Išskiriamos dvi sritys ES atsparumui didinti:</w:t>
            </w:r>
          </w:p>
        </w:tc>
      </w:tr>
      <w:tr w:rsidR="001B6FD0" w:rsidRPr="00E1016E" w:rsidTr="001B6FD0">
        <w:tc>
          <w:tcPr>
            <w:tcW w:w="9628" w:type="dxa"/>
          </w:tcPr>
          <w:p w:rsidR="001B6FD0" w:rsidRPr="00E1016E" w:rsidRDefault="001B6FD0" w:rsidP="00E1016E">
            <w:pPr>
              <w:pStyle w:val="NormalWeb"/>
              <w:spacing w:before="0" w:beforeAutospacing="0" w:after="0" w:afterAutospacing="0"/>
              <w:jc w:val="both"/>
            </w:pPr>
            <w:r w:rsidRPr="00E1016E">
              <w:t xml:space="preserve">1. Parengties ir atsako į </w:t>
            </w:r>
            <w:proofErr w:type="spellStart"/>
            <w:r w:rsidRPr="00E1016E">
              <w:t>tarpsektorines</w:t>
            </w:r>
            <w:proofErr w:type="spellEnd"/>
            <w:r w:rsidRPr="00E1016E">
              <w:t xml:space="preserve"> krizes stiprinimas (skaidrumas ir </w:t>
            </w:r>
            <w:proofErr w:type="spellStart"/>
            <w:r w:rsidRPr="00E1016E">
              <w:t>tarpinstitucinis</w:t>
            </w:r>
            <w:proofErr w:type="spellEnd"/>
            <w:r w:rsidRPr="00E1016E">
              <w:t xml:space="preserve"> bendradarbiavimas leis išvengti veiklų dubliavimo, šioje srityje svarbus IPCR, taip pat skaitmeninių įrankių komunikacijai vystymas; būtinybė stiprinti strateginę komunikaciją ir kovą </w:t>
            </w:r>
            <w:r w:rsidRPr="00E1016E">
              <w:lastRenderedPageBreak/>
              <w:t xml:space="preserve">su dezinformacija; pažymima, kad </w:t>
            </w:r>
            <w:proofErr w:type="spellStart"/>
            <w:r w:rsidRPr="00E1016E">
              <w:t>proaktyvus</w:t>
            </w:r>
            <w:proofErr w:type="spellEnd"/>
            <w:r w:rsidRPr="00E1016E">
              <w:t xml:space="preserve"> pasirengimas krizėms reikalauja prognozavimo, krizių numatymo, galimo krizių poveikio valstybėms narėms  ir šalims ES kaimynystėje, taip pat planavimo, kaip geriausiai suvaldyti tokias krizes). </w:t>
            </w:r>
          </w:p>
        </w:tc>
      </w:tr>
      <w:tr w:rsidR="001B6FD0" w:rsidRPr="00E1016E" w:rsidTr="001B6FD0">
        <w:tc>
          <w:tcPr>
            <w:tcW w:w="9628" w:type="dxa"/>
          </w:tcPr>
          <w:p w:rsidR="001B6FD0" w:rsidRPr="00E1016E" w:rsidRDefault="001B6FD0" w:rsidP="00E1016E">
            <w:pPr>
              <w:pStyle w:val="NormalWeb"/>
              <w:spacing w:before="0" w:beforeAutospacing="0" w:after="0" w:afterAutospacing="0"/>
              <w:jc w:val="both"/>
            </w:pPr>
            <w:r w:rsidRPr="00E1016E">
              <w:lastRenderedPageBreak/>
              <w:t>2. Atsparumo kūrimas ir stebėsena bei priklausomybių mažinimas</w:t>
            </w:r>
          </w:p>
        </w:tc>
      </w:tr>
      <w:tr w:rsidR="001B6FD0" w:rsidRPr="00E1016E" w:rsidTr="001B6FD0">
        <w:tc>
          <w:tcPr>
            <w:tcW w:w="9628" w:type="dxa"/>
          </w:tcPr>
          <w:p w:rsidR="001B6FD0" w:rsidRPr="00E1016E" w:rsidRDefault="001B6FD0" w:rsidP="00E1016E">
            <w:pPr>
              <w:pStyle w:val="NormalWeb"/>
              <w:spacing w:before="0" w:beforeAutospacing="0" w:after="0" w:afterAutospacing="0"/>
              <w:jc w:val="both"/>
            </w:pPr>
            <w:r w:rsidRPr="00E1016E">
              <w:t>Pabrėžiama Bendrosios rinkos svarba ir tai, kad krizių akivaizdoje ribojančios priemonės turi būti laikinos ir proporcingos, o sklandus Bendrosios rinkos veikimas atkuriamas kaip įmanoma greičiau; būtina stiprinti ES konkurencingumą, ES pramonės atsparumą.</w:t>
            </w:r>
          </w:p>
        </w:tc>
      </w:tr>
      <w:tr w:rsidR="001B6FD0" w:rsidRPr="00E1016E" w:rsidTr="001B6FD0">
        <w:tc>
          <w:tcPr>
            <w:tcW w:w="9628" w:type="dxa"/>
          </w:tcPr>
          <w:p w:rsidR="001B6FD0" w:rsidRPr="00E1016E" w:rsidRDefault="001B6FD0" w:rsidP="00E1016E">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rFonts w:hAnsi="Times New Roman" w:cs="Times New Roman"/>
                <w:lang w:val="lt-LT"/>
              </w:rPr>
            </w:pPr>
          </w:p>
        </w:tc>
      </w:tr>
      <w:tr w:rsidR="001B6FD0" w:rsidRPr="00E1016E" w:rsidTr="001B6FD0">
        <w:tc>
          <w:tcPr>
            <w:tcW w:w="9628" w:type="dxa"/>
          </w:tcPr>
          <w:p w:rsidR="001B6FD0" w:rsidRPr="00E1016E" w:rsidRDefault="001B6FD0" w:rsidP="00E1016E">
            <w:pPr>
              <w:pStyle w:val="NormalWeb"/>
              <w:spacing w:before="0" w:beforeAutospacing="0" w:after="0" w:afterAutospacing="0"/>
              <w:jc w:val="both"/>
            </w:pPr>
            <w:r w:rsidRPr="00E1016E">
              <w:rPr>
                <w:b/>
                <w:u w:val="single"/>
              </w:rPr>
              <w:t>Lietuvos pozicija</w:t>
            </w:r>
            <w:r w:rsidRPr="00E1016E">
              <w:rPr>
                <w:b/>
              </w:rPr>
              <w:t>.</w:t>
            </w:r>
            <w:r w:rsidRPr="00E1016E">
              <w:t xml:space="preserve"> Pritariame </w:t>
            </w:r>
            <w:r w:rsidR="00AA62AB" w:rsidRPr="00E1016E">
              <w:t xml:space="preserve">Tarybos </w:t>
            </w:r>
            <w:r w:rsidRPr="00E1016E">
              <w:t>išvadų projektui.</w:t>
            </w:r>
          </w:p>
        </w:tc>
      </w:tr>
      <w:tr w:rsidR="001B6FD0" w:rsidRPr="00E1016E" w:rsidTr="001B6FD0">
        <w:tc>
          <w:tcPr>
            <w:tcW w:w="9628" w:type="dxa"/>
          </w:tcPr>
          <w:p w:rsidR="001B6FD0" w:rsidRPr="00E1016E" w:rsidRDefault="001B6FD0" w:rsidP="00E1016E">
            <w:pPr>
              <w:pStyle w:val="NormalWeb"/>
              <w:spacing w:before="0" w:beforeAutospacing="0" w:after="0" w:afterAutospacing="0"/>
              <w:jc w:val="both"/>
              <w:rPr>
                <w:color w:val="000000"/>
              </w:rPr>
            </w:pPr>
            <w:r w:rsidRPr="00E1016E">
              <w:rPr>
                <w:color w:val="000000"/>
              </w:rPr>
              <w:t>Remiame būtinybę stiprinti ES atsparumą galimoms įvairaus pobūdžio grėsmėms ateityje. </w:t>
            </w:r>
          </w:p>
        </w:tc>
      </w:tr>
      <w:tr w:rsidR="001B6FD0" w:rsidRPr="00E1016E" w:rsidTr="001B6FD0">
        <w:tc>
          <w:tcPr>
            <w:tcW w:w="9628" w:type="dxa"/>
          </w:tcPr>
          <w:p w:rsidR="001B6FD0" w:rsidRPr="00E1016E" w:rsidRDefault="001B6FD0" w:rsidP="00E1016E">
            <w:pPr>
              <w:pStyle w:val="NormalWeb"/>
              <w:spacing w:before="0" w:beforeAutospacing="0" w:after="0" w:afterAutospacing="0"/>
              <w:jc w:val="both"/>
              <w:rPr>
                <w:color w:val="000000"/>
              </w:rPr>
            </w:pPr>
            <w:r w:rsidRPr="00E1016E">
              <w:rPr>
                <w:color w:val="000000"/>
              </w:rPr>
              <w:t>Labai svarbu užtikrinti visapusišką požiūrį į atsparumą - jis turi apimti ne tik sveikatos, bet ir socialinę, ekonominę, užsienio ir saugumo bei kitas sritis. </w:t>
            </w:r>
          </w:p>
        </w:tc>
      </w:tr>
      <w:tr w:rsidR="001B6FD0" w:rsidRPr="00E1016E" w:rsidTr="001B6FD0">
        <w:tc>
          <w:tcPr>
            <w:tcW w:w="9628" w:type="dxa"/>
          </w:tcPr>
          <w:p w:rsidR="001B6FD0" w:rsidRPr="00E1016E" w:rsidRDefault="001B6FD0" w:rsidP="00E1016E">
            <w:pPr>
              <w:pStyle w:val="NormalWeb"/>
              <w:spacing w:before="0" w:beforeAutospacing="0" w:after="0" w:afterAutospacing="0"/>
              <w:jc w:val="both"/>
              <w:rPr>
                <w:color w:val="000000"/>
              </w:rPr>
            </w:pPr>
            <w:r w:rsidRPr="00E1016E">
              <w:rPr>
                <w:color w:val="000000"/>
              </w:rPr>
              <w:t>Siekdami stiprinti atsparumą, turime numatyti tam tikrus ribojimus verslo ryšiams, kurie naudojami kaip instrumentai piktybiškų veikėjų vykdomoms hibridinėms atakoms. </w:t>
            </w:r>
          </w:p>
        </w:tc>
      </w:tr>
      <w:tr w:rsidR="001B6FD0" w:rsidRPr="00E1016E" w:rsidTr="001B6FD0">
        <w:tc>
          <w:tcPr>
            <w:tcW w:w="9628" w:type="dxa"/>
          </w:tcPr>
          <w:p w:rsidR="001B6FD0" w:rsidRPr="00E1016E" w:rsidRDefault="001B6FD0" w:rsidP="00E1016E">
            <w:pPr>
              <w:pStyle w:val="NormalWeb"/>
              <w:spacing w:before="0" w:beforeAutospacing="0" w:after="0" w:afterAutospacing="0"/>
              <w:jc w:val="both"/>
              <w:rPr>
                <w:color w:val="000000"/>
              </w:rPr>
            </w:pPr>
            <w:r w:rsidRPr="00E1016E">
              <w:rPr>
                <w:color w:val="000000"/>
              </w:rPr>
              <w:t xml:space="preserve">ES reikia ne tik krizių valdymo, bet ir stebėsenos, išankstinio įspėjimo ir prevencijos sistemos. Tai ypač svarbu hibridinių grėsmių prevencijos ir suvaldymo atveju. Labai svarbu stiprinti mūsų atsaką į hibridines grėsmes, tokias kaip neteisėtos migracijos </w:t>
            </w:r>
            <w:proofErr w:type="spellStart"/>
            <w:r w:rsidRPr="00E1016E">
              <w:rPr>
                <w:color w:val="000000"/>
              </w:rPr>
              <w:t>instrumentalizavimas</w:t>
            </w:r>
            <w:proofErr w:type="spellEnd"/>
            <w:r w:rsidRPr="00E1016E">
              <w:rPr>
                <w:color w:val="000000"/>
              </w:rPr>
              <w:t>. ES teisės aktai turi būti pritaikyti tokiems iššūkiams. </w:t>
            </w:r>
          </w:p>
        </w:tc>
      </w:tr>
      <w:tr w:rsidR="001B6FD0" w:rsidRPr="00E1016E" w:rsidTr="001B6FD0">
        <w:tc>
          <w:tcPr>
            <w:tcW w:w="9628" w:type="dxa"/>
          </w:tcPr>
          <w:p w:rsidR="001B6FD0" w:rsidRPr="00E1016E" w:rsidRDefault="001B6FD0" w:rsidP="00E1016E">
            <w:pPr>
              <w:pStyle w:val="NormalWeb"/>
              <w:spacing w:before="0" w:beforeAutospacing="0" w:after="0" w:afterAutospacing="0"/>
              <w:jc w:val="both"/>
              <w:rPr>
                <w:color w:val="000000"/>
              </w:rPr>
            </w:pPr>
            <w:r w:rsidRPr="00E1016E">
              <w:rPr>
                <w:color w:val="000000"/>
              </w:rPr>
              <w:t>Taip pat labai svarbu sutarti dėl procedūrų, kurios leistų minimizuoti poveikį sklandžiam Bendrosios rinkos ir Šengeno erdvės funkcionavimui krizių akivaizdoje. Ypatingą dėmesį reikia skirti vidaus ir išorės komunikacijai, siekiant išlaikyti visuomenės pasitikėjimą ir kovoti su dezinformacija. </w:t>
            </w:r>
          </w:p>
        </w:tc>
      </w:tr>
      <w:tr w:rsidR="001B6FD0" w:rsidRPr="00E1016E" w:rsidTr="001B6FD0">
        <w:tc>
          <w:tcPr>
            <w:tcW w:w="9628" w:type="dxa"/>
          </w:tcPr>
          <w:p w:rsidR="001B6FD0" w:rsidRPr="00E1016E" w:rsidRDefault="001B6FD0" w:rsidP="00E1016E">
            <w:pPr>
              <w:jc w:val="both"/>
              <w:rPr>
                <w:rFonts w:ascii="Times New Roman" w:hAnsi="Times New Roman" w:cs="Times New Roman"/>
                <w:sz w:val="24"/>
                <w:szCs w:val="24"/>
              </w:rPr>
            </w:pPr>
            <w:r w:rsidRPr="00E1016E">
              <w:rPr>
                <w:rFonts w:ascii="Times New Roman" w:hAnsi="Times New Roman" w:cs="Times New Roman"/>
                <w:color w:val="000000"/>
                <w:sz w:val="24"/>
                <w:szCs w:val="24"/>
              </w:rPr>
              <w:t>Pabrėžiame artimo bendradarbiavimo su NATO svarbą. Transatlantinis bendradarbiavimas turi išlikti esminės svarbos, siekiant palaikyti taisyklėmis paremtą tarptautinę tvarką ir stiprinti mūsų ir mūsų partnerių atsparumą.</w:t>
            </w:r>
          </w:p>
        </w:tc>
      </w:tr>
    </w:tbl>
    <w:p w:rsidR="00E1016E" w:rsidRPr="00E1016E" w:rsidRDefault="001B6FD0" w:rsidP="00E1016E">
      <w:pPr>
        <w:spacing w:after="0" w:line="240" w:lineRule="auto"/>
        <w:rPr>
          <w:rFonts w:ascii="Times New Roman" w:hAnsi="Times New Roman" w:cs="Times New Roman"/>
          <w:b/>
          <w:sz w:val="24"/>
          <w:szCs w:val="24"/>
        </w:rPr>
      </w:pPr>
      <w:r w:rsidRPr="00E1016E">
        <w:rPr>
          <w:rFonts w:ascii="Times New Roman" w:hAnsi="Times New Roman" w:cs="Times New Roman"/>
          <w:sz w:val="24"/>
          <w:szCs w:val="24"/>
        </w:rPr>
        <w:br/>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E1016E" w:rsidRPr="00E1016E" w:rsidTr="00E1016E">
        <w:tc>
          <w:tcPr>
            <w:tcW w:w="9628" w:type="dxa"/>
          </w:tcPr>
          <w:p w:rsidR="00E1016E" w:rsidRPr="00E1016E" w:rsidRDefault="00E1016E" w:rsidP="009B19D6">
            <w:pPr>
              <w:rPr>
                <w:rFonts w:ascii="Times New Roman" w:hAnsi="Times New Roman" w:cs="Times New Roman"/>
                <w:b/>
                <w:sz w:val="24"/>
                <w:szCs w:val="24"/>
              </w:rPr>
            </w:pPr>
            <w:r w:rsidRPr="00E1016E">
              <w:rPr>
                <w:rFonts w:ascii="Times New Roman" w:hAnsi="Times New Roman" w:cs="Times New Roman"/>
                <w:b/>
                <w:sz w:val="24"/>
                <w:szCs w:val="24"/>
              </w:rPr>
              <w:t xml:space="preserve">Plėtra ir stabilizacijos bei asociacijos procesas </w:t>
            </w:r>
            <w:r w:rsidRPr="00E1016E">
              <w:rPr>
                <w:rFonts w:ascii="Times New Roman" w:hAnsi="Times New Roman" w:cs="Times New Roman"/>
                <w:b/>
                <w:sz w:val="24"/>
                <w:szCs w:val="24"/>
              </w:rPr>
              <w:br/>
            </w:r>
            <w:r w:rsidRPr="00E1016E">
              <w:rPr>
                <w:rFonts w:ascii="Times New Roman" w:hAnsi="Times New Roman" w:cs="Times New Roman"/>
                <w:b/>
                <w:i/>
                <w:sz w:val="24"/>
                <w:szCs w:val="24"/>
              </w:rPr>
              <w:t>Pasikeitimas nuomonėmis</w:t>
            </w:r>
            <w:r w:rsidRPr="00E1016E">
              <w:rPr>
                <w:rFonts w:ascii="Times New Roman" w:hAnsi="Times New Roman" w:cs="Times New Roman"/>
                <w:b/>
                <w:sz w:val="24"/>
                <w:szCs w:val="24"/>
              </w:rPr>
              <w:t xml:space="preserve"> </w:t>
            </w:r>
          </w:p>
        </w:tc>
      </w:tr>
      <w:tr w:rsidR="00E1016E" w:rsidRPr="00E1016E" w:rsidTr="00E1016E">
        <w:tc>
          <w:tcPr>
            <w:tcW w:w="9628" w:type="dxa"/>
          </w:tcPr>
          <w:p w:rsidR="00E1016E" w:rsidRPr="00E1016E" w:rsidRDefault="00E1016E" w:rsidP="009B19D6">
            <w:pPr>
              <w:rPr>
                <w:rFonts w:ascii="Times New Roman" w:hAnsi="Times New Roman" w:cs="Times New Roman"/>
                <w:b/>
                <w:sz w:val="24"/>
                <w:szCs w:val="24"/>
              </w:rPr>
            </w:pPr>
          </w:p>
        </w:tc>
      </w:tr>
      <w:tr w:rsidR="00E1016E" w:rsidRPr="00E1016E" w:rsidTr="00E1016E">
        <w:tc>
          <w:tcPr>
            <w:tcW w:w="9628" w:type="dxa"/>
          </w:tcPr>
          <w:p w:rsidR="00E1016E" w:rsidRPr="00E1016E" w:rsidRDefault="00E1016E" w:rsidP="009B19D6">
            <w:pPr>
              <w:spacing w:after="120"/>
              <w:jc w:val="both"/>
              <w:rPr>
                <w:rFonts w:ascii="Times New Roman" w:hAnsi="Times New Roman"/>
                <w:sz w:val="24"/>
                <w:szCs w:val="24"/>
              </w:rPr>
            </w:pPr>
            <w:r w:rsidRPr="00E1016E">
              <w:rPr>
                <w:rFonts w:ascii="Times New Roman" w:hAnsi="Times New Roman"/>
                <w:b/>
                <w:sz w:val="24"/>
                <w:szCs w:val="24"/>
                <w:u w:val="single"/>
              </w:rPr>
              <w:t>Klausimo esmė</w:t>
            </w:r>
            <w:r w:rsidRPr="00E1016E">
              <w:rPr>
                <w:rFonts w:ascii="Times New Roman" w:hAnsi="Times New Roman"/>
                <w:sz w:val="24"/>
                <w:szCs w:val="24"/>
              </w:rPr>
              <w:t xml:space="preserve">. Po paskutinio BRT 21.09.21 Komisija (COM) paskelbė metines Vakarų Balkanų (VB) valstybių (taip pat Turkijos) pažangos ataskaitas. Ataskaitos esmė – </w:t>
            </w:r>
            <w:r w:rsidRPr="00E1016E">
              <w:rPr>
                <w:rFonts w:ascii="Times New Roman" w:hAnsi="Times New Roman" w:cs="Times New Roman"/>
                <w:sz w:val="24"/>
                <w:szCs w:val="24"/>
              </w:rPr>
              <w:t>pažanga ribota, toliau akcentuojamas reformų poreikis teisės viršenybės, viešojo administravimo, ekonominių reformų, kovos prieš korupciją ir organizuotą nusikalstamumą srityse. Labiausiai teigiamai įvertinta Serbija ir Š. Makedonija tačiau Bosnijoje ir Hercegovinoje – jokio progreso. Serbija šiemet kiek padidino atitikimą BUSP, tačiau esminiais klausimais pokyčių neįvyko (Serbija remia RU ir CN, su kuriomis toliau palaiko draugiškus santykius). Ataskaitoje pritariama derybų su Serbija 3 ir 4 klasterių atidarymui.</w:t>
            </w:r>
          </w:p>
        </w:tc>
      </w:tr>
      <w:tr w:rsidR="00E1016E" w:rsidRPr="00E1016E" w:rsidTr="00E1016E">
        <w:tc>
          <w:tcPr>
            <w:tcW w:w="9628" w:type="dxa"/>
          </w:tcPr>
          <w:p w:rsidR="00E1016E" w:rsidRPr="00E1016E" w:rsidRDefault="00E1016E" w:rsidP="009B19D6">
            <w:pPr>
              <w:jc w:val="both"/>
              <w:rPr>
                <w:rFonts w:ascii="Times New Roman" w:hAnsi="Times New Roman" w:cs="Times New Roman"/>
                <w:b/>
                <w:sz w:val="24"/>
                <w:szCs w:val="24"/>
              </w:rPr>
            </w:pPr>
            <w:r w:rsidRPr="00E1016E">
              <w:rPr>
                <w:rFonts w:ascii="Times New Roman" w:hAnsi="Times New Roman"/>
                <w:sz w:val="24"/>
                <w:szCs w:val="24"/>
              </w:rPr>
              <w:t xml:space="preserve">VB taip pat buvo diskusiniu klausimu 21.11.15 URT. Tikėtina, kad diskusija BRT vystysis COM ataskaitų, URT diskusijos, taip pat kaimynystės ir plėtros komisaro </w:t>
            </w:r>
            <w:proofErr w:type="spellStart"/>
            <w:r w:rsidRPr="00E1016E">
              <w:rPr>
                <w:rFonts w:ascii="Times New Roman" w:hAnsi="Times New Roman"/>
                <w:sz w:val="24"/>
                <w:szCs w:val="24"/>
              </w:rPr>
              <w:t>O.Varhelyi</w:t>
            </w:r>
            <w:proofErr w:type="spellEnd"/>
            <w:r w:rsidRPr="00E1016E">
              <w:rPr>
                <w:rFonts w:ascii="Times New Roman" w:hAnsi="Times New Roman"/>
                <w:sz w:val="24"/>
                <w:szCs w:val="24"/>
              </w:rPr>
              <w:t xml:space="preserve"> susitikimų su VB šalių ambasadoriais pagrindu. Pagrindinis dėmesys bus skirtas darbams iki metų pabaigos – naujų derybinių skyrių atidarymas su Serbija, derybų pradžia su Š. Makedonija (MKD) ir Albanija (ALB).</w:t>
            </w:r>
          </w:p>
        </w:tc>
      </w:tr>
      <w:tr w:rsidR="00E1016E" w:rsidRPr="00E1016E" w:rsidTr="00E1016E">
        <w:tc>
          <w:tcPr>
            <w:tcW w:w="9628" w:type="dxa"/>
          </w:tcPr>
          <w:p w:rsidR="00E1016E" w:rsidRPr="00E1016E" w:rsidRDefault="00E1016E" w:rsidP="009B19D6">
            <w:pPr>
              <w:jc w:val="both"/>
              <w:rPr>
                <w:rFonts w:ascii="Times New Roman" w:hAnsi="Times New Roman" w:cs="Times New Roman"/>
                <w:b/>
                <w:bCs/>
                <w:sz w:val="24"/>
                <w:szCs w:val="24"/>
                <w:u w:val="single"/>
              </w:rPr>
            </w:pPr>
          </w:p>
        </w:tc>
      </w:tr>
      <w:tr w:rsidR="00E1016E" w:rsidRPr="00E1016E" w:rsidTr="00E1016E">
        <w:tc>
          <w:tcPr>
            <w:tcW w:w="9628" w:type="dxa"/>
          </w:tcPr>
          <w:p w:rsidR="00E1016E" w:rsidRPr="00E1016E" w:rsidRDefault="00E1016E" w:rsidP="009B19D6">
            <w:pPr>
              <w:jc w:val="both"/>
              <w:rPr>
                <w:rFonts w:ascii="Times New Roman" w:hAnsi="Times New Roman" w:cs="Times New Roman"/>
                <w:sz w:val="24"/>
                <w:szCs w:val="24"/>
                <w:lang w:eastAsia="lt-LT"/>
              </w:rPr>
            </w:pPr>
            <w:r w:rsidRPr="00E1016E">
              <w:rPr>
                <w:rFonts w:ascii="Times New Roman" w:hAnsi="Times New Roman" w:cs="Times New Roman"/>
                <w:b/>
                <w:bCs/>
                <w:sz w:val="24"/>
                <w:szCs w:val="24"/>
                <w:u w:val="single"/>
              </w:rPr>
              <w:t>Lietuvos pozicija</w:t>
            </w:r>
            <w:r w:rsidRPr="00E1016E">
              <w:rPr>
                <w:rFonts w:ascii="Times New Roman" w:hAnsi="Times New Roman" w:cs="Times New Roman"/>
                <w:b/>
                <w:bCs/>
                <w:sz w:val="24"/>
                <w:szCs w:val="24"/>
              </w:rPr>
              <w:t xml:space="preserve">. </w:t>
            </w:r>
            <w:r w:rsidRPr="00E1016E">
              <w:rPr>
                <w:rFonts w:ascii="Times New Roman" w:hAnsi="Times New Roman" w:cs="Times New Roman"/>
                <w:bCs/>
                <w:sz w:val="24"/>
                <w:szCs w:val="24"/>
              </w:rPr>
              <w:t xml:space="preserve">Pozicija </w:t>
            </w:r>
            <w:r w:rsidRPr="00E1016E">
              <w:rPr>
                <w:rFonts w:ascii="Times New Roman" w:hAnsi="Times New Roman" w:cs="Times New Roman"/>
                <w:sz w:val="24"/>
                <w:szCs w:val="24"/>
              </w:rPr>
              <w:t xml:space="preserve">dėl ES plėtros ir stabilizacijos bei asociacijos proceso išlieka nuosekli: siekti užtikrinti ES plėtros perspektyvos VB patikimumą; kad kuo greičiau būtų pradėtos ES derybos su MKD bei ALB; pabrėžti, kad ES derybų eiga priklauso nuo kandidačių politinės valios ir tvarios pažangos įgyvendinant ES reformas, ypač teisinės valstybės ir pagrindinių laisvių srityje. </w:t>
            </w:r>
          </w:p>
        </w:tc>
      </w:tr>
    </w:tbl>
    <w:p w:rsidR="001B6FD0" w:rsidRPr="00E1016E" w:rsidRDefault="001B6FD0" w:rsidP="00E1016E">
      <w:pPr>
        <w:spacing w:after="0" w:line="240" w:lineRule="auto"/>
        <w:rPr>
          <w:rFonts w:ascii="Times New Roman" w:hAnsi="Times New Roman" w:cs="Times New Roman"/>
          <w:b/>
          <w:sz w:val="24"/>
          <w:szCs w:val="24"/>
        </w:rPr>
      </w:pPr>
      <w:r w:rsidRPr="00E1016E">
        <w:rPr>
          <w:rFonts w:ascii="Times New Roman" w:hAnsi="Times New Roman" w:cs="Times New Roman"/>
          <w:b/>
          <w:sz w:val="24"/>
          <w:szCs w:val="24"/>
        </w:rPr>
        <w:lastRenderedPageBreak/>
        <w:br/>
      </w:r>
      <w:r w:rsidRPr="00E1016E">
        <w:rPr>
          <w:rFonts w:ascii="Times New Roman" w:hAnsi="Times New Roman" w:cs="Times New Roman"/>
          <w:b/>
          <w:sz w:val="24"/>
          <w:szCs w:val="24"/>
        </w:rPr>
        <w:br/>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1B6FD0" w:rsidRPr="00E1016E" w:rsidTr="001B6FD0">
        <w:tc>
          <w:tcPr>
            <w:tcW w:w="9628" w:type="dxa"/>
          </w:tcPr>
          <w:p w:rsidR="001B6FD0" w:rsidRPr="00E1016E" w:rsidRDefault="001B6FD0" w:rsidP="00E1016E">
            <w:pPr>
              <w:rPr>
                <w:rFonts w:ascii="Times New Roman" w:hAnsi="Times New Roman" w:cs="Times New Roman"/>
                <w:b/>
                <w:sz w:val="24"/>
                <w:szCs w:val="24"/>
              </w:rPr>
            </w:pPr>
            <w:r w:rsidRPr="00E1016E">
              <w:rPr>
                <w:rFonts w:ascii="Times New Roman" w:hAnsi="Times New Roman" w:cs="Times New Roman"/>
                <w:b/>
                <w:sz w:val="24"/>
                <w:szCs w:val="24"/>
              </w:rPr>
              <w:t xml:space="preserve">ES ir JK santykiai </w:t>
            </w:r>
            <w:r w:rsidRPr="00E1016E">
              <w:rPr>
                <w:rFonts w:ascii="Times New Roman" w:hAnsi="Times New Roman" w:cs="Times New Roman"/>
                <w:b/>
                <w:sz w:val="24"/>
                <w:szCs w:val="24"/>
              </w:rPr>
              <w:br/>
            </w:r>
            <w:r w:rsidRPr="00E1016E">
              <w:rPr>
                <w:rFonts w:ascii="Times New Roman" w:hAnsi="Times New Roman" w:cs="Times New Roman"/>
                <w:b/>
                <w:i/>
                <w:sz w:val="24"/>
                <w:szCs w:val="24"/>
              </w:rPr>
              <w:t>Dabartinė padėtis</w:t>
            </w:r>
            <w:r w:rsidRPr="00E1016E">
              <w:rPr>
                <w:rFonts w:ascii="Times New Roman" w:hAnsi="Times New Roman" w:cs="Times New Roman"/>
                <w:b/>
                <w:sz w:val="24"/>
                <w:szCs w:val="24"/>
              </w:rPr>
              <w:t xml:space="preserve"> </w:t>
            </w:r>
          </w:p>
          <w:p w:rsidR="00E41AD6" w:rsidRPr="00E1016E" w:rsidRDefault="00E41AD6" w:rsidP="00E1016E">
            <w:pPr>
              <w:rPr>
                <w:rFonts w:ascii="Times New Roman" w:hAnsi="Times New Roman" w:cs="Times New Roman"/>
                <w:b/>
                <w:sz w:val="24"/>
                <w:szCs w:val="24"/>
              </w:rPr>
            </w:pPr>
          </w:p>
        </w:tc>
      </w:tr>
      <w:tr w:rsidR="001B6FD0" w:rsidRPr="00E1016E" w:rsidTr="001B6FD0">
        <w:tc>
          <w:tcPr>
            <w:tcW w:w="9628" w:type="dxa"/>
          </w:tcPr>
          <w:p w:rsidR="001B6FD0" w:rsidRPr="00E1016E" w:rsidRDefault="00A741BF" w:rsidP="00E1016E">
            <w:pPr>
              <w:jc w:val="both"/>
              <w:rPr>
                <w:rFonts w:ascii="Times New Roman" w:hAnsi="Times New Roman" w:cs="Times New Roman"/>
                <w:sz w:val="24"/>
                <w:szCs w:val="24"/>
              </w:rPr>
            </w:pPr>
            <w:r w:rsidRPr="00E1016E">
              <w:rPr>
                <w:rFonts w:ascii="Times New Roman" w:hAnsi="Times New Roman" w:cs="Times New Roman"/>
                <w:b/>
                <w:sz w:val="24"/>
                <w:szCs w:val="24"/>
                <w:u w:val="single"/>
              </w:rPr>
              <w:t>Klausimo esmė</w:t>
            </w:r>
            <w:r w:rsidRPr="00E1016E">
              <w:rPr>
                <w:rFonts w:ascii="Times New Roman" w:hAnsi="Times New Roman" w:cs="Times New Roman"/>
                <w:b/>
                <w:sz w:val="24"/>
                <w:szCs w:val="24"/>
              </w:rPr>
              <w:t xml:space="preserve">. </w:t>
            </w:r>
            <w:r w:rsidR="001B6FD0" w:rsidRPr="00E1016E">
              <w:rPr>
                <w:rFonts w:ascii="Times New Roman" w:hAnsi="Times New Roman" w:cs="Times New Roman"/>
                <w:sz w:val="24"/>
                <w:szCs w:val="24"/>
              </w:rPr>
              <w:t>JK sustabdžius Susitarimo dėl išstojimo (WA) Šiaurės Airijos Protokolo įgyvendinimą, Europos Komisija š.</w:t>
            </w:r>
            <w:r w:rsidR="00AA62AB" w:rsidRPr="00E1016E">
              <w:rPr>
                <w:rFonts w:ascii="Times New Roman" w:hAnsi="Times New Roman" w:cs="Times New Roman"/>
                <w:sz w:val="24"/>
                <w:szCs w:val="24"/>
              </w:rPr>
              <w:t xml:space="preserve"> </w:t>
            </w:r>
            <w:r w:rsidR="001B6FD0" w:rsidRPr="00E1016E">
              <w:rPr>
                <w:rFonts w:ascii="Times New Roman" w:hAnsi="Times New Roman" w:cs="Times New Roman"/>
                <w:sz w:val="24"/>
                <w:szCs w:val="24"/>
              </w:rPr>
              <w:t xml:space="preserve">m. spalio 13 d. pateikė paketą pasiūlymų, skirtų spręsti praktines </w:t>
            </w:r>
            <w:proofErr w:type="spellStart"/>
            <w:r w:rsidR="001B6FD0" w:rsidRPr="00E1016E">
              <w:rPr>
                <w:rFonts w:ascii="Times New Roman" w:hAnsi="Times New Roman" w:cs="Times New Roman"/>
                <w:sz w:val="24"/>
                <w:szCs w:val="24"/>
              </w:rPr>
              <w:t>Brexito</w:t>
            </w:r>
            <w:proofErr w:type="spellEnd"/>
            <w:r w:rsidR="001B6FD0" w:rsidRPr="00E1016E">
              <w:rPr>
                <w:rFonts w:ascii="Times New Roman" w:hAnsi="Times New Roman" w:cs="Times New Roman"/>
                <w:sz w:val="24"/>
                <w:szCs w:val="24"/>
              </w:rPr>
              <w:t xml:space="preserve"> sukeltas Šiaurės Airijos gyventojų ir verslo bendruomenės problemas. EK priemonių paketas siūlo naują prekybos prekėmis tarp Didžiosios Britanijos (GB) ir Šiaurės Airijos (NI) reglamentavimą Protokolo rėmuose.</w:t>
            </w:r>
          </w:p>
        </w:tc>
      </w:tr>
      <w:tr w:rsidR="001B6FD0" w:rsidRPr="00E1016E" w:rsidTr="001B6FD0">
        <w:tc>
          <w:tcPr>
            <w:tcW w:w="9628" w:type="dxa"/>
          </w:tcPr>
          <w:p w:rsidR="001B6FD0" w:rsidRPr="00E1016E" w:rsidRDefault="001B6FD0" w:rsidP="00E1016E">
            <w:pPr>
              <w:jc w:val="both"/>
              <w:rPr>
                <w:rFonts w:ascii="Times New Roman" w:hAnsi="Times New Roman" w:cs="Times New Roman"/>
                <w:sz w:val="24"/>
                <w:szCs w:val="24"/>
              </w:rPr>
            </w:pPr>
            <w:r w:rsidRPr="00E1016E">
              <w:rPr>
                <w:rFonts w:ascii="Times New Roman" w:hAnsi="Times New Roman" w:cs="Times New Roman"/>
                <w:sz w:val="24"/>
                <w:szCs w:val="24"/>
              </w:rPr>
              <w:t>EK pateiktą pasiūlymų paketą sudaro 4 dokumentai (</w:t>
            </w:r>
            <w:proofErr w:type="spellStart"/>
            <w:r w:rsidRPr="00E1016E">
              <w:rPr>
                <w:rFonts w:ascii="Times New Roman" w:hAnsi="Times New Roman" w:cs="Times New Roman"/>
                <w:sz w:val="24"/>
                <w:szCs w:val="24"/>
              </w:rPr>
              <w:t>non</w:t>
            </w:r>
            <w:proofErr w:type="spellEnd"/>
            <w:r w:rsidRPr="00E1016E">
              <w:rPr>
                <w:rFonts w:ascii="Times New Roman" w:hAnsi="Times New Roman" w:cs="Times New Roman"/>
                <w:sz w:val="24"/>
                <w:szCs w:val="24"/>
              </w:rPr>
              <w:t xml:space="preserve">-papers), numatantys esminius </w:t>
            </w:r>
            <w:proofErr w:type="spellStart"/>
            <w:r w:rsidRPr="00E1016E">
              <w:rPr>
                <w:rFonts w:ascii="Times New Roman" w:hAnsi="Times New Roman" w:cs="Times New Roman"/>
                <w:sz w:val="24"/>
                <w:szCs w:val="24"/>
              </w:rPr>
              <w:t>palengvinimus</w:t>
            </w:r>
            <w:proofErr w:type="spellEnd"/>
            <w:r w:rsidRPr="00E1016E">
              <w:rPr>
                <w:rFonts w:ascii="Times New Roman" w:hAnsi="Times New Roman" w:cs="Times New Roman"/>
                <w:sz w:val="24"/>
                <w:szCs w:val="24"/>
              </w:rPr>
              <w:t xml:space="preserve"> šiose srityse:</w:t>
            </w:r>
          </w:p>
        </w:tc>
      </w:tr>
      <w:tr w:rsidR="001B6FD0" w:rsidRPr="00E1016E" w:rsidTr="001B6FD0">
        <w:tc>
          <w:tcPr>
            <w:tcW w:w="9628" w:type="dxa"/>
          </w:tcPr>
          <w:p w:rsidR="001B6FD0" w:rsidRPr="00E1016E" w:rsidRDefault="001B6FD0" w:rsidP="00E1016E">
            <w:pPr>
              <w:pStyle w:val="ListParagraph"/>
              <w:numPr>
                <w:ilvl w:val="0"/>
                <w:numId w:val="1"/>
              </w:numPr>
              <w:jc w:val="both"/>
              <w:rPr>
                <w:rFonts w:ascii="Times New Roman" w:hAnsi="Times New Roman" w:cs="Times New Roman"/>
                <w:sz w:val="24"/>
                <w:szCs w:val="24"/>
                <w:lang w:val="lt-LT"/>
              </w:rPr>
            </w:pPr>
            <w:r w:rsidRPr="00E1016E">
              <w:rPr>
                <w:rFonts w:ascii="Times New Roman" w:hAnsi="Times New Roman" w:cs="Times New Roman"/>
                <w:sz w:val="24"/>
                <w:szCs w:val="24"/>
                <w:lang w:val="lt-LT"/>
              </w:rPr>
              <w:t>Sanitarinių ir fitosanitarinių (SPS) reikalavimų sumažinimas į Šiaurės Airiją iš Didžiosios Britanijos įvežamiems maisto ir žemės ūkio produktams. Tai reikštų iki 80 % veterinarinių patikrų ir kartu biurokratinės naštos verslui sumažinimą.</w:t>
            </w:r>
          </w:p>
        </w:tc>
      </w:tr>
      <w:tr w:rsidR="001B6FD0" w:rsidRPr="00E1016E" w:rsidTr="001B6FD0">
        <w:tc>
          <w:tcPr>
            <w:tcW w:w="9628" w:type="dxa"/>
          </w:tcPr>
          <w:p w:rsidR="001B6FD0" w:rsidRPr="00E1016E" w:rsidRDefault="001B6FD0" w:rsidP="00E1016E">
            <w:pPr>
              <w:pStyle w:val="ListParagraph"/>
              <w:numPr>
                <w:ilvl w:val="0"/>
                <w:numId w:val="1"/>
              </w:numPr>
              <w:jc w:val="both"/>
              <w:rPr>
                <w:rFonts w:ascii="Times New Roman" w:hAnsi="Times New Roman" w:cs="Times New Roman"/>
                <w:sz w:val="24"/>
                <w:szCs w:val="24"/>
                <w:lang w:val="lt-LT"/>
              </w:rPr>
            </w:pPr>
            <w:r w:rsidRPr="00E1016E">
              <w:rPr>
                <w:rFonts w:ascii="Times New Roman" w:hAnsi="Times New Roman" w:cs="Times New Roman"/>
                <w:sz w:val="24"/>
                <w:szCs w:val="24"/>
                <w:lang w:val="lt-LT"/>
              </w:rPr>
              <w:t xml:space="preserve">Muitinės formalumų supaprastinimas, numatant per 50 % mažiau muitinės patikrų. Didelė dalis eksporto deklaracijų ir kitų dokumentų būtų tikrinama </w:t>
            </w:r>
            <w:proofErr w:type="spellStart"/>
            <w:r w:rsidRPr="00E1016E">
              <w:rPr>
                <w:rFonts w:ascii="Times New Roman" w:hAnsi="Times New Roman" w:cs="Times New Roman"/>
                <w:sz w:val="24"/>
                <w:szCs w:val="24"/>
                <w:lang w:val="lt-LT"/>
              </w:rPr>
              <w:t>elektroniškai</w:t>
            </w:r>
            <w:proofErr w:type="spellEnd"/>
            <w:r w:rsidRPr="00E1016E">
              <w:rPr>
                <w:rFonts w:ascii="Times New Roman" w:hAnsi="Times New Roman" w:cs="Times New Roman"/>
                <w:sz w:val="24"/>
                <w:szCs w:val="24"/>
                <w:lang w:val="lt-LT"/>
              </w:rPr>
              <w:t>, paspartinant prekių tiekimą iš GB į NI.</w:t>
            </w:r>
          </w:p>
        </w:tc>
      </w:tr>
      <w:tr w:rsidR="001B6FD0" w:rsidRPr="00E1016E" w:rsidTr="001B6FD0">
        <w:tc>
          <w:tcPr>
            <w:tcW w:w="9628" w:type="dxa"/>
          </w:tcPr>
          <w:p w:rsidR="001B6FD0" w:rsidRPr="00E1016E" w:rsidRDefault="001B6FD0" w:rsidP="00E1016E">
            <w:pPr>
              <w:pStyle w:val="ListParagraph"/>
              <w:numPr>
                <w:ilvl w:val="0"/>
                <w:numId w:val="1"/>
              </w:numPr>
              <w:jc w:val="both"/>
              <w:rPr>
                <w:rFonts w:ascii="Times New Roman" w:hAnsi="Times New Roman" w:cs="Times New Roman"/>
                <w:sz w:val="24"/>
                <w:szCs w:val="24"/>
                <w:lang w:val="lt-LT"/>
              </w:rPr>
            </w:pPr>
            <w:r w:rsidRPr="00E1016E">
              <w:rPr>
                <w:rFonts w:ascii="Times New Roman" w:hAnsi="Times New Roman" w:cs="Times New Roman"/>
                <w:sz w:val="24"/>
                <w:szCs w:val="24"/>
                <w:lang w:val="lt-LT"/>
              </w:rPr>
              <w:t xml:space="preserve">Medikamentų tiekimo palengvinimai, sudarant galimybes nepertraukiamam GB gamybos vaistų tiekimui į NI opių visuomenės sveikatos problemų kontekste. </w:t>
            </w:r>
          </w:p>
        </w:tc>
      </w:tr>
      <w:tr w:rsidR="001B6FD0" w:rsidRPr="00E1016E" w:rsidTr="001B6FD0">
        <w:tc>
          <w:tcPr>
            <w:tcW w:w="9628" w:type="dxa"/>
          </w:tcPr>
          <w:p w:rsidR="001B6FD0" w:rsidRPr="00E1016E" w:rsidRDefault="001B6FD0" w:rsidP="00E1016E">
            <w:pPr>
              <w:pStyle w:val="ListParagraph"/>
              <w:numPr>
                <w:ilvl w:val="0"/>
                <w:numId w:val="1"/>
              </w:numPr>
              <w:jc w:val="both"/>
              <w:rPr>
                <w:rFonts w:ascii="Times New Roman" w:hAnsi="Times New Roman" w:cs="Times New Roman"/>
                <w:sz w:val="24"/>
                <w:szCs w:val="24"/>
                <w:lang w:val="lt-LT"/>
              </w:rPr>
            </w:pPr>
            <w:r w:rsidRPr="00E1016E">
              <w:rPr>
                <w:rFonts w:ascii="Times New Roman" w:hAnsi="Times New Roman" w:cs="Times New Roman"/>
                <w:sz w:val="24"/>
                <w:szCs w:val="24"/>
                <w:lang w:val="lt-LT"/>
              </w:rPr>
              <w:t xml:space="preserve">Šiaurės Airijos verslo ir žmonių </w:t>
            </w:r>
            <w:proofErr w:type="spellStart"/>
            <w:r w:rsidRPr="00E1016E">
              <w:rPr>
                <w:rFonts w:ascii="Times New Roman" w:hAnsi="Times New Roman" w:cs="Times New Roman"/>
                <w:sz w:val="24"/>
                <w:szCs w:val="24"/>
                <w:lang w:val="lt-LT"/>
              </w:rPr>
              <w:t>įtraukties</w:t>
            </w:r>
            <w:proofErr w:type="spellEnd"/>
            <w:r w:rsidRPr="00E1016E">
              <w:rPr>
                <w:rFonts w:ascii="Times New Roman" w:hAnsi="Times New Roman" w:cs="Times New Roman"/>
                <w:sz w:val="24"/>
                <w:szCs w:val="24"/>
                <w:lang w:val="lt-LT"/>
              </w:rPr>
              <w:t xml:space="preserve"> sustiprinimas, užtikrinant geresnį informavimą apie šį regioną liečiančius sprendimus, priimamus ES.</w:t>
            </w:r>
          </w:p>
        </w:tc>
      </w:tr>
      <w:tr w:rsidR="001B6FD0" w:rsidRPr="00E1016E" w:rsidTr="001B6FD0">
        <w:tc>
          <w:tcPr>
            <w:tcW w:w="9628" w:type="dxa"/>
          </w:tcPr>
          <w:p w:rsidR="001B6FD0" w:rsidRPr="00E1016E" w:rsidRDefault="001B6FD0" w:rsidP="00E1016E">
            <w:pPr>
              <w:jc w:val="both"/>
              <w:rPr>
                <w:rFonts w:ascii="Times New Roman" w:hAnsi="Times New Roman" w:cs="Times New Roman"/>
                <w:sz w:val="24"/>
                <w:szCs w:val="24"/>
              </w:rPr>
            </w:pPr>
            <w:r w:rsidRPr="00E1016E">
              <w:rPr>
                <w:rFonts w:ascii="Times New Roman" w:hAnsi="Times New Roman" w:cs="Times New Roman"/>
                <w:sz w:val="24"/>
                <w:szCs w:val="24"/>
              </w:rPr>
              <w:t xml:space="preserve">Esminiai principai, kuriais vadovaujasi ES pusė: </w:t>
            </w:r>
          </w:p>
        </w:tc>
      </w:tr>
      <w:tr w:rsidR="001B6FD0" w:rsidRPr="00E1016E" w:rsidTr="001B6FD0">
        <w:tc>
          <w:tcPr>
            <w:tcW w:w="9628" w:type="dxa"/>
          </w:tcPr>
          <w:p w:rsidR="001B6FD0" w:rsidRPr="00E1016E" w:rsidRDefault="001B6FD0" w:rsidP="00E1016E">
            <w:pPr>
              <w:pStyle w:val="ListParagraph"/>
              <w:numPr>
                <w:ilvl w:val="0"/>
                <w:numId w:val="2"/>
              </w:numPr>
              <w:jc w:val="both"/>
              <w:rPr>
                <w:rFonts w:ascii="Times New Roman" w:hAnsi="Times New Roman" w:cs="Times New Roman"/>
                <w:sz w:val="24"/>
                <w:szCs w:val="24"/>
              </w:rPr>
            </w:pPr>
            <w:proofErr w:type="spellStart"/>
            <w:r w:rsidRPr="00E1016E">
              <w:rPr>
                <w:rFonts w:ascii="Times New Roman" w:hAnsi="Times New Roman" w:cs="Times New Roman"/>
                <w:sz w:val="24"/>
                <w:szCs w:val="24"/>
              </w:rPr>
              <w:t>Pasiūlymas</w:t>
            </w:r>
            <w:proofErr w:type="spellEnd"/>
            <w:r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sprendžia</w:t>
            </w:r>
            <w:proofErr w:type="spellEnd"/>
            <w:r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konkrečias</w:t>
            </w:r>
            <w:proofErr w:type="spellEnd"/>
            <w:r w:rsidRPr="00E1016E">
              <w:rPr>
                <w:rFonts w:ascii="Times New Roman" w:hAnsi="Times New Roman" w:cs="Times New Roman"/>
                <w:sz w:val="24"/>
                <w:szCs w:val="24"/>
              </w:rPr>
              <w:t xml:space="preserve"> ŠA </w:t>
            </w:r>
            <w:proofErr w:type="spellStart"/>
            <w:r w:rsidRPr="00E1016E">
              <w:rPr>
                <w:rFonts w:ascii="Times New Roman" w:hAnsi="Times New Roman" w:cs="Times New Roman"/>
                <w:sz w:val="24"/>
                <w:szCs w:val="24"/>
              </w:rPr>
              <w:t>žmonėms</w:t>
            </w:r>
            <w:proofErr w:type="spellEnd"/>
            <w:r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ir</w:t>
            </w:r>
            <w:proofErr w:type="spellEnd"/>
            <w:r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verslui</w:t>
            </w:r>
            <w:proofErr w:type="spellEnd"/>
            <w:r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kylančias</w:t>
            </w:r>
            <w:proofErr w:type="spellEnd"/>
            <w:r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problemas</w:t>
            </w:r>
            <w:proofErr w:type="spellEnd"/>
            <w:r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tuo</w:t>
            </w:r>
            <w:proofErr w:type="spellEnd"/>
            <w:r w:rsidRPr="00E1016E">
              <w:rPr>
                <w:rFonts w:ascii="Times New Roman" w:hAnsi="Times New Roman" w:cs="Times New Roman"/>
                <w:sz w:val="24"/>
                <w:szCs w:val="24"/>
              </w:rPr>
              <w:t xml:space="preserve"> pat </w:t>
            </w:r>
            <w:proofErr w:type="spellStart"/>
            <w:r w:rsidRPr="00E1016E">
              <w:rPr>
                <w:rFonts w:ascii="Times New Roman" w:hAnsi="Times New Roman" w:cs="Times New Roman"/>
                <w:sz w:val="24"/>
                <w:szCs w:val="24"/>
              </w:rPr>
              <w:t>metu</w:t>
            </w:r>
            <w:proofErr w:type="spellEnd"/>
            <w:r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siekdamas</w:t>
            </w:r>
            <w:proofErr w:type="spellEnd"/>
            <w:r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apsaugoti</w:t>
            </w:r>
            <w:proofErr w:type="spellEnd"/>
            <w:r w:rsidRPr="00E1016E">
              <w:rPr>
                <w:rFonts w:ascii="Times New Roman" w:hAnsi="Times New Roman" w:cs="Times New Roman"/>
                <w:sz w:val="24"/>
                <w:szCs w:val="24"/>
              </w:rPr>
              <w:t xml:space="preserve"> ES </w:t>
            </w:r>
            <w:proofErr w:type="spellStart"/>
            <w:r w:rsidRPr="00E1016E">
              <w:rPr>
                <w:rFonts w:ascii="Times New Roman" w:hAnsi="Times New Roman" w:cs="Times New Roman"/>
                <w:sz w:val="24"/>
                <w:szCs w:val="24"/>
              </w:rPr>
              <w:t>Vieningos</w:t>
            </w:r>
            <w:proofErr w:type="spellEnd"/>
            <w:r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rinkos</w:t>
            </w:r>
            <w:proofErr w:type="spellEnd"/>
            <w:r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integralumą</w:t>
            </w:r>
            <w:proofErr w:type="spellEnd"/>
            <w:r w:rsidRPr="00E1016E">
              <w:rPr>
                <w:rFonts w:ascii="Times New Roman" w:hAnsi="Times New Roman" w:cs="Times New Roman"/>
                <w:sz w:val="24"/>
                <w:szCs w:val="24"/>
              </w:rPr>
              <w:t xml:space="preserve">. </w:t>
            </w:r>
          </w:p>
        </w:tc>
      </w:tr>
      <w:tr w:rsidR="001B6FD0" w:rsidRPr="00E1016E" w:rsidTr="001B6FD0">
        <w:tc>
          <w:tcPr>
            <w:tcW w:w="9628" w:type="dxa"/>
          </w:tcPr>
          <w:p w:rsidR="001B6FD0" w:rsidRPr="00E1016E" w:rsidRDefault="001B6FD0" w:rsidP="00E1016E">
            <w:pPr>
              <w:pStyle w:val="ListParagraph"/>
              <w:numPr>
                <w:ilvl w:val="0"/>
                <w:numId w:val="2"/>
              </w:numPr>
              <w:jc w:val="both"/>
              <w:rPr>
                <w:rFonts w:ascii="Times New Roman" w:hAnsi="Times New Roman" w:cs="Times New Roman"/>
                <w:sz w:val="24"/>
                <w:szCs w:val="24"/>
              </w:rPr>
            </w:pPr>
            <w:r w:rsidRPr="00E1016E">
              <w:rPr>
                <w:rFonts w:ascii="Times New Roman" w:hAnsi="Times New Roman" w:cs="Times New Roman"/>
                <w:sz w:val="24"/>
                <w:szCs w:val="24"/>
              </w:rPr>
              <w:t xml:space="preserve">ES </w:t>
            </w:r>
            <w:proofErr w:type="spellStart"/>
            <w:r w:rsidRPr="00E1016E">
              <w:rPr>
                <w:rFonts w:ascii="Times New Roman" w:hAnsi="Times New Roman" w:cs="Times New Roman"/>
                <w:sz w:val="24"/>
                <w:szCs w:val="24"/>
              </w:rPr>
              <w:t>Vieningos</w:t>
            </w:r>
            <w:proofErr w:type="spellEnd"/>
            <w:r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rinkos</w:t>
            </w:r>
            <w:proofErr w:type="spellEnd"/>
            <w:r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apsauga</w:t>
            </w:r>
            <w:proofErr w:type="spellEnd"/>
            <w:r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įmanoma</w:t>
            </w:r>
            <w:proofErr w:type="spellEnd"/>
            <w:r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tik</w:t>
            </w:r>
            <w:proofErr w:type="spellEnd"/>
            <w:r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laikantis</w:t>
            </w:r>
            <w:proofErr w:type="spellEnd"/>
            <w:r w:rsidRPr="00E1016E">
              <w:rPr>
                <w:rFonts w:ascii="Times New Roman" w:hAnsi="Times New Roman" w:cs="Times New Roman"/>
                <w:sz w:val="24"/>
                <w:szCs w:val="24"/>
              </w:rPr>
              <w:t xml:space="preserve"> tam </w:t>
            </w:r>
            <w:proofErr w:type="spellStart"/>
            <w:r w:rsidRPr="00E1016E">
              <w:rPr>
                <w:rFonts w:ascii="Times New Roman" w:hAnsi="Times New Roman" w:cs="Times New Roman"/>
                <w:sz w:val="24"/>
                <w:szCs w:val="24"/>
              </w:rPr>
              <w:t>tikros</w:t>
            </w:r>
            <w:proofErr w:type="spellEnd"/>
            <w:r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taisyklių</w:t>
            </w:r>
            <w:proofErr w:type="spellEnd"/>
            <w:r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priežiūros</w:t>
            </w:r>
            <w:proofErr w:type="spellEnd"/>
            <w:r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sertifikavimo</w:t>
            </w:r>
            <w:proofErr w:type="spellEnd"/>
            <w:r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monitoringo</w:t>
            </w:r>
            <w:proofErr w:type="spellEnd"/>
            <w:r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ir</w:t>
            </w:r>
            <w:proofErr w:type="spellEnd"/>
            <w:r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jurisdikcijos</w:t>
            </w:r>
            <w:proofErr w:type="spellEnd"/>
            <w:r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sistemos</w:t>
            </w:r>
            <w:proofErr w:type="spellEnd"/>
            <w:r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įsk</w:t>
            </w:r>
            <w:proofErr w:type="spellEnd"/>
            <w:r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Europos</w:t>
            </w:r>
            <w:proofErr w:type="spellEnd"/>
            <w:r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Teisingumo</w:t>
            </w:r>
            <w:proofErr w:type="spellEnd"/>
            <w:r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Teismo</w:t>
            </w:r>
            <w:proofErr w:type="spellEnd"/>
            <w:r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vaidmenį</w:t>
            </w:r>
            <w:proofErr w:type="spellEnd"/>
            <w:r w:rsidRPr="00E1016E">
              <w:rPr>
                <w:rFonts w:ascii="Times New Roman" w:hAnsi="Times New Roman" w:cs="Times New Roman"/>
                <w:sz w:val="24"/>
                <w:szCs w:val="24"/>
              </w:rPr>
              <w:t>.</w:t>
            </w:r>
          </w:p>
        </w:tc>
      </w:tr>
      <w:tr w:rsidR="001B6FD0" w:rsidRPr="00E1016E" w:rsidTr="001B6FD0">
        <w:tc>
          <w:tcPr>
            <w:tcW w:w="9628" w:type="dxa"/>
          </w:tcPr>
          <w:p w:rsidR="001B6FD0" w:rsidRPr="00E1016E" w:rsidRDefault="001B6FD0" w:rsidP="00E1016E">
            <w:pPr>
              <w:pStyle w:val="ListParagraph"/>
              <w:numPr>
                <w:ilvl w:val="0"/>
                <w:numId w:val="2"/>
              </w:numPr>
              <w:jc w:val="both"/>
              <w:rPr>
                <w:rFonts w:ascii="Times New Roman" w:hAnsi="Times New Roman" w:cs="Times New Roman"/>
                <w:sz w:val="24"/>
                <w:szCs w:val="24"/>
              </w:rPr>
            </w:pPr>
            <w:r w:rsidRPr="00E1016E">
              <w:rPr>
                <w:rFonts w:ascii="Times New Roman" w:hAnsi="Times New Roman" w:cs="Times New Roman"/>
                <w:sz w:val="24"/>
                <w:szCs w:val="24"/>
              </w:rPr>
              <w:t xml:space="preserve">ES (EP, ES VNs, </w:t>
            </w:r>
            <w:proofErr w:type="gramStart"/>
            <w:r w:rsidRPr="00E1016E">
              <w:rPr>
                <w:rFonts w:ascii="Times New Roman" w:hAnsi="Times New Roman" w:cs="Times New Roman"/>
                <w:sz w:val="24"/>
                <w:szCs w:val="24"/>
              </w:rPr>
              <w:t>EK</w:t>
            </w:r>
            <w:proofErr w:type="gramEnd"/>
            <w:r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vieningai</w:t>
            </w:r>
            <w:proofErr w:type="spellEnd"/>
            <w:r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laikosi</w:t>
            </w:r>
            <w:proofErr w:type="spellEnd"/>
            <w:r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nuostatos</w:t>
            </w:r>
            <w:proofErr w:type="spellEnd"/>
            <w:r w:rsidRPr="00E1016E">
              <w:rPr>
                <w:rFonts w:ascii="Times New Roman" w:hAnsi="Times New Roman" w:cs="Times New Roman"/>
                <w:sz w:val="24"/>
                <w:szCs w:val="24"/>
              </w:rPr>
              <w:t xml:space="preserve">, jog </w:t>
            </w:r>
            <w:proofErr w:type="spellStart"/>
            <w:r w:rsidRPr="00E1016E">
              <w:rPr>
                <w:rFonts w:ascii="Times New Roman" w:hAnsi="Times New Roman" w:cs="Times New Roman"/>
                <w:sz w:val="24"/>
                <w:szCs w:val="24"/>
              </w:rPr>
              <w:t>dėl</w:t>
            </w:r>
            <w:proofErr w:type="spellEnd"/>
            <w:r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Šiaurės</w:t>
            </w:r>
            <w:proofErr w:type="spellEnd"/>
            <w:r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Airijos</w:t>
            </w:r>
            <w:proofErr w:type="spellEnd"/>
            <w:r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Protokolo</w:t>
            </w:r>
            <w:proofErr w:type="spellEnd"/>
            <w:r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nebus</w:t>
            </w:r>
            <w:proofErr w:type="spellEnd"/>
            <w:r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deramasi</w:t>
            </w:r>
            <w:proofErr w:type="spellEnd"/>
            <w:r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iš</w:t>
            </w:r>
            <w:proofErr w:type="spellEnd"/>
            <w:r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naujo</w:t>
            </w:r>
            <w:proofErr w:type="spellEnd"/>
            <w:r w:rsidRPr="00E1016E">
              <w:rPr>
                <w:rFonts w:ascii="Times New Roman" w:hAnsi="Times New Roman" w:cs="Times New Roman"/>
                <w:sz w:val="24"/>
                <w:szCs w:val="24"/>
              </w:rPr>
              <w:t xml:space="preserve">. </w:t>
            </w:r>
          </w:p>
        </w:tc>
      </w:tr>
      <w:tr w:rsidR="001B6FD0" w:rsidRPr="00E1016E" w:rsidTr="001B6FD0">
        <w:tc>
          <w:tcPr>
            <w:tcW w:w="9628" w:type="dxa"/>
          </w:tcPr>
          <w:p w:rsidR="001B6FD0" w:rsidRPr="00E1016E" w:rsidRDefault="001B6FD0" w:rsidP="00E1016E">
            <w:pPr>
              <w:jc w:val="both"/>
              <w:rPr>
                <w:rFonts w:ascii="Times New Roman" w:hAnsi="Times New Roman" w:cs="Times New Roman"/>
                <w:sz w:val="24"/>
                <w:szCs w:val="24"/>
              </w:rPr>
            </w:pPr>
            <w:r w:rsidRPr="00E1016E">
              <w:rPr>
                <w:rFonts w:ascii="Times New Roman" w:hAnsi="Times New Roman" w:cs="Times New Roman"/>
                <w:sz w:val="24"/>
                <w:szCs w:val="24"/>
              </w:rPr>
              <w:t xml:space="preserve">Po spalio 13 d. vyksta ES-JK pokalbiai ir konsultacijos, tačiau JK pozicija nesikeičia, proveržio nėra – bet kokia pažanga iš JK pusės stabdoma politiniu lygiu. Londonas šiuo metu laikosi nuostatos, kad derybos turi vykti 2021 m. liepos mėn. jų parengto </w:t>
            </w:r>
            <w:proofErr w:type="spellStart"/>
            <w:r w:rsidRPr="00E1016E">
              <w:rPr>
                <w:rFonts w:ascii="Times New Roman" w:hAnsi="Times New Roman" w:cs="Times New Roman"/>
                <w:i/>
                <w:sz w:val="24"/>
                <w:szCs w:val="24"/>
              </w:rPr>
              <w:t>Command</w:t>
            </w:r>
            <w:proofErr w:type="spellEnd"/>
            <w:r w:rsidRPr="00E1016E">
              <w:rPr>
                <w:rFonts w:ascii="Times New Roman" w:hAnsi="Times New Roman" w:cs="Times New Roman"/>
                <w:i/>
                <w:sz w:val="24"/>
                <w:szCs w:val="24"/>
              </w:rPr>
              <w:t xml:space="preserve"> </w:t>
            </w:r>
            <w:proofErr w:type="spellStart"/>
            <w:r w:rsidRPr="00E1016E">
              <w:rPr>
                <w:rFonts w:ascii="Times New Roman" w:hAnsi="Times New Roman" w:cs="Times New Roman"/>
                <w:i/>
                <w:sz w:val="24"/>
                <w:szCs w:val="24"/>
              </w:rPr>
              <w:t>paper</w:t>
            </w:r>
            <w:proofErr w:type="spellEnd"/>
            <w:r w:rsidRPr="00E1016E">
              <w:rPr>
                <w:rFonts w:ascii="Times New Roman" w:hAnsi="Times New Roman" w:cs="Times New Roman"/>
                <w:sz w:val="24"/>
                <w:szCs w:val="24"/>
              </w:rPr>
              <w:t xml:space="preserve"> pagrindu (Protokolo persiderėjimas), jie taip pat pasisako prieš bet kokį ETT vaidmenį Šiaurės Airijoje. Spalio 29 d. Londone ir lapkričio 5 d. Briuselyje vykusiuose M.</w:t>
            </w:r>
            <w:r w:rsidR="00A741BF"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Šefčovičiaus</w:t>
            </w:r>
            <w:proofErr w:type="spellEnd"/>
            <w:r w:rsidRPr="00E1016E">
              <w:rPr>
                <w:rFonts w:ascii="Times New Roman" w:hAnsi="Times New Roman" w:cs="Times New Roman"/>
                <w:sz w:val="24"/>
                <w:szCs w:val="24"/>
              </w:rPr>
              <w:t xml:space="preserve"> ir D.</w:t>
            </w:r>
            <w:r w:rsidR="00A741BF"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Frosto</w:t>
            </w:r>
            <w:proofErr w:type="spellEnd"/>
            <w:r w:rsidRPr="00E1016E">
              <w:rPr>
                <w:rFonts w:ascii="Times New Roman" w:hAnsi="Times New Roman" w:cs="Times New Roman"/>
                <w:sz w:val="24"/>
                <w:szCs w:val="24"/>
              </w:rPr>
              <w:t xml:space="preserve"> susitikimuose proveržio taip pat nepasiekta. Lapkričio 12 d. Londone vyks dar vienas M.</w:t>
            </w:r>
            <w:r w:rsidR="00A741BF"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Šefčovičiaus</w:t>
            </w:r>
            <w:proofErr w:type="spellEnd"/>
            <w:r w:rsidRPr="00E1016E">
              <w:rPr>
                <w:rFonts w:ascii="Times New Roman" w:hAnsi="Times New Roman" w:cs="Times New Roman"/>
                <w:sz w:val="24"/>
                <w:szCs w:val="24"/>
              </w:rPr>
              <w:t xml:space="preserve"> ir D.</w:t>
            </w:r>
            <w:r w:rsidR="00A741BF"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Frosto</w:t>
            </w:r>
            <w:proofErr w:type="spellEnd"/>
            <w:r w:rsidRPr="00E1016E">
              <w:rPr>
                <w:rFonts w:ascii="Times New Roman" w:hAnsi="Times New Roman" w:cs="Times New Roman"/>
                <w:sz w:val="24"/>
                <w:szCs w:val="24"/>
              </w:rPr>
              <w:t xml:space="preserve"> susitikimas. Auga tikimybė, jog kitą savaitę JK gali įgyvendinti savo </w:t>
            </w:r>
            <w:proofErr w:type="spellStart"/>
            <w:r w:rsidRPr="00E1016E">
              <w:rPr>
                <w:rFonts w:ascii="Times New Roman" w:hAnsi="Times New Roman" w:cs="Times New Roman"/>
                <w:sz w:val="24"/>
                <w:szCs w:val="24"/>
              </w:rPr>
              <w:t>grąsinimą</w:t>
            </w:r>
            <w:proofErr w:type="spellEnd"/>
            <w:r w:rsidRPr="00E1016E">
              <w:rPr>
                <w:rFonts w:ascii="Times New Roman" w:hAnsi="Times New Roman" w:cs="Times New Roman"/>
                <w:sz w:val="24"/>
                <w:szCs w:val="24"/>
              </w:rPr>
              <w:t xml:space="preserve"> aktyvuoti 16 str. Ruošdamasi tokiam galimam scenarijui EK rengia atsako priemonių paketą, kurį pristatys kitos savaitės WPUK formate. Kadangi klausimas jautrus politiškai, po diskusijos WPUK jis bus svarstomas ir CRP. Neatmestina, kad JK atsisakius vykdyti Protokolo nuostatas, ES turėtų suspenduoti dalį ar net visą TCA, įvesti tarifus, kvotas ir pan.  </w:t>
            </w:r>
          </w:p>
        </w:tc>
      </w:tr>
      <w:tr w:rsidR="001B6FD0" w:rsidRPr="00E1016E" w:rsidTr="001B6FD0">
        <w:tc>
          <w:tcPr>
            <w:tcW w:w="9628" w:type="dxa"/>
          </w:tcPr>
          <w:p w:rsidR="001B6FD0" w:rsidRPr="00E1016E" w:rsidRDefault="001B6FD0" w:rsidP="00E1016E">
            <w:pPr>
              <w:jc w:val="both"/>
              <w:rPr>
                <w:rFonts w:ascii="Times New Roman" w:hAnsi="Times New Roman" w:cs="Times New Roman"/>
                <w:sz w:val="24"/>
                <w:szCs w:val="24"/>
              </w:rPr>
            </w:pPr>
            <w:r w:rsidRPr="00E1016E">
              <w:rPr>
                <w:rFonts w:ascii="Times New Roman" w:hAnsi="Times New Roman" w:cs="Times New Roman"/>
                <w:sz w:val="24"/>
                <w:szCs w:val="24"/>
              </w:rPr>
              <w:t>Politinį ES-JK santykių kontekstą papildomai apsunkina kiti trikdžiai – JK žuvininkystės leidimų klausimas Prancūzijai ir Belgijai, Gibraltaro klausimas (Ispanija), JK darbo vizų klausimas Lietuvai, Estijai, Bulgarijai, Rumunijai ir Slovėnijai.</w:t>
            </w:r>
          </w:p>
        </w:tc>
      </w:tr>
      <w:tr w:rsidR="001B6FD0" w:rsidRPr="00E1016E" w:rsidTr="001B6FD0">
        <w:tc>
          <w:tcPr>
            <w:tcW w:w="9628" w:type="dxa"/>
          </w:tcPr>
          <w:p w:rsidR="001B6FD0" w:rsidRPr="00E1016E" w:rsidRDefault="001B6FD0" w:rsidP="00E1016E">
            <w:pPr>
              <w:jc w:val="both"/>
              <w:rPr>
                <w:rFonts w:ascii="Times New Roman" w:hAnsi="Times New Roman" w:cs="Times New Roman"/>
                <w:sz w:val="24"/>
                <w:szCs w:val="24"/>
              </w:rPr>
            </w:pPr>
          </w:p>
        </w:tc>
      </w:tr>
      <w:tr w:rsidR="001B6FD0" w:rsidRPr="00E1016E" w:rsidTr="001B6FD0">
        <w:tc>
          <w:tcPr>
            <w:tcW w:w="9628" w:type="dxa"/>
          </w:tcPr>
          <w:p w:rsidR="001B6FD0" w:rsidRPr="00E1016E" w:rsidRDefault="00A741BF" w:rsidP="00E1016E">
            <w:pPr>
              <w:jc w:val="both"/>
              <w:rPr>
                <w:rFonts w:ascii="Times New Roman" w:hAnsi="Times New Roman" w:cs="Times New Roman"/>
                <w:sz w:val="24"/>
                <w:szCs w:val="24"/>
              </w:rPr>
            </w:pPr>
            <w:r w:rsidRPr="00E1016E">
              <w:rPr>
                <w:rFonts w:ascii="Times New Roman" w:hAnsi="Times New Roman" w:cs="Times New Roman"/>
                <w:b/>
                <w:sz w:val="24"/>
                <w:szCs w:val="24"/>
                <w:u w:val="single"/>
              </w:rPr>
              <w:t>Lietuvos pozicija</w:t>
            </w:r>
            <w:r w:rsidRPr="00E1016E">
              <w:rPr>
                <w:rFonts w:ascii="Times New Roman" w:hAnsi="Times New Roman" w:cs="Times New Roman"/>
                <w:b/>
                <w:sz w:val="24"/>
                <w:szCs w:val="24"/>
              </w:rPr>
              <w:t xml:space="preserve">. </w:t>
            </w:r>
            <w:r w:rsidR="001B6FD0" w:rsidRPr="00E1016E">
              <w:rPr>
                <w:rFonts w:ascii="Times New Roman" w:hAnsi="Times New Roman" w:cs="Times New Roman"/>
                <w:sz w:val="24"/>
                <w:szCs w:val="24"/>
              </w:rPr>
              <w:t xml:space="preserve">Lietuva remia EK pasiūlymų paketą. Paketas užtikrina ES Vieningos rinkos integralumą ir gina 1998 m. Belfasto susitarimą. Nepritariame ŠA Protokolo persiderėjimui. Kalbėdamiesi su JK privalome išlaikyti ES vienybę. Suprantame ir palaikome Airijos poziciją, turime išlikti solidarūs, Airijos vieta ES Vieningoje rinkoje turi būti apginta. Turime raginti JK tęsti </w:t>
            </w:r>
            <w:r w:rsidR="001B6FD0" w:rsidRPr="00E1016E">
              <w:rPr>
                <w:rFonts w:ascii="Times New Roman" w:hAnsi="Times New Roman" w:cs="Times New Roman"/>
                <w:sz w:val="24"/>
                <w:szCs w:val="24"/>
              </w:rPr>
              <w:lastRenderedPageBreak/>
              <w:t xml:space="preserve">derybas - sėkmingos derybos Šiaurės Airijos žmonių ir verslo bendruomenės labui EK pasiūlymų paketo pagrindu yra visiškai realistiška opcija. </w:t>
            </w:r>
          </w:p>
        </w:tc>
      </w:tr>
      <w:tr w:rsidR="001B6FD0" w:rsidRPr="00E1016E" w:rsidTr="001B6FD0">
        <w:tc>
          <w:tcPr>
            <w:tcW w:w="9628" w:type="dxa"/>
          </w:tcPr>
          <w:p w:rsidR="001B6FD0" w:rsidRPr="00E1016E" w:rsidRDefault="001B6FD0" w:rsidP="00E1016E">
            <w:pPr>
              <w:jc w:val="both"/>
              <w:rPr>
                <w:rFonts w:ascii="Times New Roman" w:hAnsi="Times New Roman" w:cs="Times New Roman"/>
                <w:sz w:val="24"/>
                <w:szCs w:val="24"/>
              </w:rPr>
            </w:pPr>
            <w:r w:rsidRPr="00E1016E">
              <w:rPr>
                <w:rFonts w:ascii="Times New Roman" w:hAnsi="Times New Roman" w:cs="Times New Roman"/>
                <w:sz w:val="24"/>
                <w:szCs w:val="24"/>
              </w:rPr>
              <w:lastRenderedPageBreak/>
              <w:t xml:space="preserve">Kol kas JK 16 str. nėra aktyvavusi ir nežinia, ar žengs tokį žingsnį (tačiau tokia tikimybė išlieka). Jeigu JK nuspręstų aktyvuoti 16 str., privalome būti parengę galimo ES atsako priemones. Atsakas turi būti tvirtas, tačiau proporcingas. Turime veikti atsakingai. Turėtume išlaikyti galimybę JK sugrįžti prie derybų stalo. Komplikacijos dėl Protokolo neturėtų paveikti santykių su JK kitose srityse. </w:t>
            </w:r>
          </w:p>
        </w:tc>
      </w:tr>
      <w:tr w:rsidR="001B6FD0" w:rsidRPr="00E1016E" w:rsidTr="001B6FD0">
        <w:tc>
          <w:tcPr>
            <w:tcW w:w="9628" w:type="dxa"/>
          </w:tcPr>
          <w:p w:rsidR="001B6FD0" w:rsidRPr="00E1016E" w:rsidRDefault="001B6FD0" w:rsidP="00E1016E">
            <w:pPr>
              <w:jc w:val="both"/>
              <w:rPr>
                <w:rFonts w:ascii="Times New Roman" w:hAnsi="Times New Roman" w:cs="Times New Roman"/>
                <w:i/>
                <w:sz w:val="24"/>
                <w:szCs w:val="24"/>
              </w:rPr>
            </w:pPr>
            <w:r w:rsidRPr="00E1016E">
              <w:rPr>
                <w:rFonts w:ascii="Times New Roman" w:hAnsi="Times New Roman" w:cs="Times New Roman"/>
                <w:sz w:val="24"/>
                <w:szCs w:val="24"/>
              </w:rPr>
              <w:t xml:space="preserve">Reikalinga ES komunikacijos strategija, aiškiai parodanti, jog ES nėra atsakinga už susidariusią situaciją. </w:t>
            </w:r>
          </w:p>
        </w:tc>
      </w:tr>
    </w:tbl>
    <w:p w:rsidR="00E1016E" w:rsidRPr="00E1016E" w:rsidRDefault="00E1016E" w:rsidP="00E1016E">
      <w:pPr>
        <w:spacing w:after="0" w:line="240" w:lineRule="auto"/>
        <w:rPr>
          <w:rFonts w:ascii="Times New Roman" w:hAnsi="Times New Roman" w:cs="Times New Roman"/>
          <w:b/>
          <w:sz w:val="24"/>
          <w:szCs w:val="24"/>
        </w:rPr>
      </w:pPr>
      <w:r w:rsidRPr="00E1016E">
        <w:rPr>
          <w:rFonts w:ascii="Times New Roman" w:hAnsi="Times New Roman" w:cs="Times New Roman"/>
          <w:sz w:val="24"/>
          <w:szCs w:val="24"/>
        </w:rPr>
        <w:br/>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E1016E" w:rsidRPr="00E1016E" w:rsidTr="00E1016E">
        <w:tc>
          <w:tcPr>
            <w:tcW w:w="9628" w:type="dxa"/>
          </w:tcPr>
          <w:p w:rsidR="00E1016E" w:rsidRPr="00E1016E" w:rsidRDefault="00E1016E" w:rsidP="00E1016E">
            <w:pPr>
              <w:rPr>
                <w:rFonts w:ascii="Times New Roman" w:hAnsi="Times New Roman" w:cs="Times New Roman"/>
                <w:b/>
                <w:i/>
                <w:sz w:val="24"/>
                <w:szCs w:val="24"/>
              </w:rPr>
            </w:pPr>
            <w:r w:rsidRPr="00E1016E">
              <w:rPr>
                <w:rFonts w:ascii="Times New Roman" w:hAnsi="Times New Roman" w:cs="Times New Roman"/>
                <w:b/>
                <w:sz w:val="24"/>
                <w:szCs w:val="24"/>
              </w:rPr>
              <w:t xml:space="preserve">Kasmetinis dialogas teisinės valstybės klausimais. Konkrečioms </w:t>
            </w:r>
            <w:r w:rsidRPr="00E1016E">
              <w:rPr>
                <w:rFonts w:ascii="Times New Roman" w:hAnsi="Times New Roman" w:cs="Times New Roman"/>
                <w:b/>
                <w:sz w:val="24"/>
                <w:szCs w:val="24"/>
              </w:rPr>
              <w:br/>
              <w:t xml:space="preserve">šalims skirta diskusija </w:t>
            </w:r>
            <w:r w:rsidRPr="00E1016E">
              <w:rPr>
                <w:rFonts w:ascii="Times New Roman" w:hAnsi="Times New Roman" w:cs="Times New Roman"/>
                <w:b/>
                <w:sz w:val="24"/>
                <w:szCs w:val="24"/>
              </w:rPr>
              <w:br/>
            </w:r>
            <w:r w:rsidRPr="00E1016E">
              <w:rPr>
                <w:rFonts w:ascii="Times New Roman" w:hAnsi="Times New Roman" w:cs="Times New Roman"/>
                <w:b/>
                <w:i/>
                <w:sz w:val="24"/>
                <w:szCs w:val="24"/>
              </w:rPr>
              <w:t>Pasikeitimas nuomonėmis</w:t>
            </w:r>
          </w:p>
          <w:p w:rsidR="00E1016E" w:rsidRPr="00E1016E" w:rsidRDefault="00E1016E" w:rsidP="00E1016E">
            <w:pPr>
              <w:rPr>
                <w:rFonts w:ascii="Times New Roman" w:hAnsi="Times New Roman" w:cs="Times New Roman"/>
                <w:b/>
                <w:i/>
                <w:sz w:val="24"/>
                <w:szCs w:val="24"/>
              </w:rPr>
            </w:pPr>
          </w:p>
        </w:tc>
      </w:tr>
      <w:tr w:rsidR="00E1016E" w:rsidRPr="00E1016E" w:rsidTr="00E1016E">
        <w:tc>
          <w:tcPr>
            <w:tcW w:w="9628" w:type="dxa"/>
          </w:tcPr>
          <w:p w:rsidR="00E1016E" w:rsidRPr="00E1016E" w:rsidRDefault="00E1016E" w:rsidP="00E1016E">
            <w:pPr>
              <w:jc w:val="both"/>
              <w:rPr>
                <w:rFonts w:ascii="Times New Roman" w:hAnsi="Times New Roman" w:cs="Times New Roman"/>
                <w:sz w:val="24"/>
                <w:szCs w:val="24"/>
              </w:rPr>
            </w:pPr>
            <w:r w:rsidRPr="00E1016E">
              <w:rPr>
                <w:rFonts w:ascii="Times New Roman" w:hAnsi="Times New Roman" w:cs="Times New Roman"/>
                <w:b/>
                <w:sz w:val="24"/>
                <w:szCs w:val="24"/>
                <w:u w:val="single"/>
              </w:rPr>
              <w:t>Klausimo esmė</w:t>
            </w:r>
            <w:r w:rsidRPr="00E1016E">
              <w:rPr>
                <w:rFonts w:ascii="Times New Roman" w:hAnsi="Times New Roman" w:cs="Times New Roman"/>
                <w:b/>
                <w:sz w:val="24"/>
                <w:szCs w:val="24"/>
              </w:rPr>
              <w:t>.</w:t>
            </w:r>
            <w:r w:rsidRPr="00E1016E">
              <w:rPr>
                <w:rFonts w:ascii="Times New Roman" w:hAnsi="Times New Roman" w:cs="Times New Roman"/>
                <w:sz w:val="24"/>
                <w:szCs w:val="24"/>
              </w:rPr>
              <w:t xml:space="preserve"> Bendrųjų reikalų taryboje (BRT) bus tęsiamas šių metų teisinės valstybės dialogas, skirtas teisinės valstybės vertybių užtikrinimui Europos Sąjungoje (ES).Tai yra antrus metus gyvuojantis instrumentas, kuris savo preventyviu pobūdžiu skiriasi nuo kitų instrumentų šioje srityje (ir juos papildo): pažeidimo procedūrų, procedūros pagal ES sutarties 7 str. ir t.t.</w:t>
            </w:r>
          </w:p>
        </w:tc>
      </w:tr>
      <w:tr w:rsidR="00E1016E" w:rsidRPr="00E1016E" w:rsidTr="00E1016E">
        <w:tc>
          <w:tcPr>
            <w:tcW w:w="9628" w:type="dxa"/>
          </w:tcPr>
          <w:p w:rsidR="00E1016E" w:rsidRPr="00E1016E" w:rsidRDefault="00E1016E" w:rsidP="00E1016E">
            <w:pPr>
              <w:jc w:val="both"/>
              <w:rPr>
                <w:rFonts w:ascii="Times New Roman" w:hAnsi="Times New Roman" w:cs="Times New Roman"/>
                <w:sz w:val="24"/>
                <w:szCs w:val="24"/>
              </w:rPr>
            </w:pPr>
            <w:r w:rsidRPr="00E1016E">
              <w:rPr>
                <w:rFonts w:ascii="Times New Roman" w:hAnsi="Times New Roman" w:cs="Times New Roman"/>
                <w:sz w:val="24"/>
                <w:szCs w:val="24"/>
              </w:rPr>
              <w:t>Dialogo pagrindas - 2021 m. liepos 20 d. Europos Komisija (EK) paskelbė antrąją metinę teisinės valstybės ataskaitą, kurioje apibendrinama teisinės valstybės padėtis bendrai ES bei kiekvienai valstybei narei skiriamas atskiras skyrius. Ataskaita, ruošta aktyviai dalyvaujant valstybėms narėms, tarptautinėms ir nevyriausybinėms organizacijoms, nagrinėja teisinės valstybės padėtį keturiuose srityse: teisingumo sistemos; kovos su korupcija; žiniasklaidos pliuralizmo ir žiniasklaidos laisvės; taip pat institucinės sąrangos, susijusios su stabdžių ir atsvarų sistema. Papildomas dėmesys skiriamas prieš COVID-19 pandemiją nukreiptų priemonių poveikiui teisinei valstybei. Nuo kitų metų EK ketina pradėti teikti ir konkrečias rekomendacijas.</w:t>
            </w:r>
          </w:p>
        </w:tc>
      </w:tr>
      <w:tr w:rsidR="00E1016E" w:rsidRPr="00E1016E" w:rsidTr="00E1016E">
        <w:tc>
          <w:tcPr>
            <w:tcW w:w="9628" w:type="dxa"/>
          </w:tcPr>
          <w:p w:rsidR="00E1016E" w:rsidRPr="00E1016E" w:rsidRDefault="00E1016E" w:rsidP="00E1016E">
            <w:pPr>
              <w:jc w:val="both"/>
              <w:rPr>
                <w:rFonts w:ascii="Times New Roman" w:hAnsi="Times New Roman" w:cs="Times New Roman"/>
                <w:sz w:val="24"/>
                <w:szCs w:val="24"/>
              </w:rPr>
            </w:pPr>
            <w:r w:rsidRPr="00E1016E">
              <w:rPr>
                <w:rFonts w:ascii="Times New Roman" w:hAnsi="Times New Roman" w:cs="Times New Roman"/>
                <w:sz w:val="24"/>
                <w:szCs w:val="24"/>
              </w:rPr>
              <w:t>Kaip ir praėjusiais metais, EK parengta ataskaita aptariama BRT posėdžiuose, per vadinamąjį kasmetinį teisinės valstybės dialogą. Ataskaitos bendroji dalis aptariama kartą per metus, o konkrečioms valstybėms narėms skirti skyriai (po 5 protokolo eile) – du kartus per metus. Š. m. spalio mėn. įvykusiame BRT buvo aptarta ataskaitos bendroji dalis, o lapkričio 23 d. BRT bus aptariami 5 valstybėms narėms - Kroatijai, Italijai, Liuksemburgui, Latvijai ir Lietuvai - skirti skyriai. Tokiu būdu siekiama skatinti valstybių narių keitimąsi informacija, nuomonėmis bei gerąja praktika. Dialogas nėra viešas.</w:t>
            </w:r>
          </w:p>
        </w:tc>
      </w:tr>
      <w:tr w:rsidR="00E1016E" w:rsidRPr="00E1016E" w:rsidTr="00E1016E">
        <w:tc>
          <w:tcPr>
            <w:tcW w:w="9628" w:type="dxa"/>
          </w:tcPr>
          <w:p w:rsidR="00E1016E" w:rsidRPr="00E1016E" w:rsidRDefault="00E1016E" w:rsidP="00E1016E">
            <w:pPr>
              <w:jc w:val="both"/>
              <w:rPr>
                <w:rFonts w:ascii="Times New Roman" w:hAnsi="Times New Roman" w:cs="Times New Roman"/>
                <w:sz w:val="24"/>
                <w:szCs w:val="24"/>
              </w:rPr>
            </w:pPr>
            <w:r w:rsidRPr="00E1016E">
              <w:rPr>
                <w:rFonts w:ascii="Times New Roman" w:hAnsi="Times New Roman" w:cs="Times New Roman"/>
                <w:sz w:val="24"/>
                <w:szCs w:val="24"/>
              </w:rPr>
              <w:t xml:space="preserve">BRT posėdžio metu kiekvienos iš 5 valstybių narių ataskaitos aptarimui bus skiriamas pusvalandis, kurio metu kaskart bus laikomasi tos pačios tvarkos: EK narys, atsakingas už teisingumo ir vartotojų reikalus </w:t>
            </w:r>
            <w:proofErr w:type="spellStart"/>
            <w:r w:rsidRPr="00E1016E">
              <w:rPr>
                <w:rFonts w:ascii="Times New Roman" w:hAnsi="Times New Roman" w:cs="Times New Roman"/>
                <w:sz w:val="24"/>
                <w:szCs w:val="24"/>
              </w:rPr>
              <w:t>Didier</w:t>
            </w:r>
            <w:proofErr w:type="spellEnd"/>
            <w:r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Reynders</w:t>
            </w:r>
            <w:proofErr w:type="spellEnd"/>
            <w:r w:rsidRPr="00E1016E">
              <w:rPr>
                <w:rFonts w:ascii="Times New Roman" w:hAnsi="Times New Roman" w:cs="Times New Roman"/>
                <w:sz w:val="24"/>
                <w:szCs w:val="24"/>
              </w:rPr>
              <w:t>, trumpai pristatys valstybei narei skirtoje ataskaitos dalyje pateiktas EK įžvalgas; pagrindinis laikas bus skirtas aptariamos valstybės narės atstovui  pakomentuoti ataskaitą, įskaitant savo nacionalines aplinkybes, gerąją patirtį bei pažangą, padarytą šalinant EK paminėtus trūkumus; po to visi kiti BRT posėdžio dalyviai galės pateikti savo klausimus ar pastebėjimus, pabaigoje suteikiant galimybę aptariamos valstybės narės atstovui ir, galiausiai, EK.</w:t>
            </w:r>
          </w:p>
        </w:tc>
      </w:tr>
      <w:tr w:rsidR="00E1016E" w:rsidRPr="00E1016E" w:rsidTr="00E1016E">
        <w:tc>
          <w:tcPr>
            <w:tcW w:w="9628" w:type="dxa"/>
          </w:tcPr>
          <w:p w:rsidR="00E1016E" w:rsidRPr="00E1016E" w:rsidRDefault="00E1016E" w:rsidP="00E1016E">
            <w:pPr>
              <w:jc w:val="both"/>
              <w:rPr>
                <w:rFonts w:ascii="Times New Roman" w:hAnsi="Times New Roman" w:cs="Times New Roman"/>
                <w:sz w:val="24"/>
                <w:szCs w:val="24"/>
              </w:rPr>
            </w:pPr>
            <w:r w:rsidRPr="00E1016E">
              <w:rPr>
                <w:rFonts w:ascii="Times New Roman" w:hAnsi="Times New Roman" w:cs="Times New Roman"/>
                <w:sz w:val="24"/>
                <w:szCs w:val="24"/>
              </w:rPr>
              <w:t xml:space="preserve">Rengiantis Lietuvai skirtos ataskaitos dalies aptarimui, Užsienio reikalų ministerija, kaip teisinės valstybės ataskaitos rengimą koordinuojanti institucija, konsultavosi su indėlį ataskaitai teikusiomis institucijomis, į kurių kompetencijų sritis patenka EK ataskaitoje išsakomi komentarai Lietuvai (Teisingumo ministerija, Kultūros ministerija, Nacionaline teismų administracija ir kt.). </w:t>
            </w:r>
          </w:p>
        </w:tc>
      </w:tr>
      <w:tr w:rsidR="00E1016E" w:rsidRPr="00E1016E" w:rsidTr="00E1016E">
        <w:tc>
          <w:tcPr>
            <w:tcW w:w="9628" w:type="dxa"/>
          </w:tcPr>
          <w:p w:rsidR="00E1016E" w:rsidRPr="00E1016E" w:rsidRDefault="00E1016E" w:rsidP="00E1016E">
            <w:pPr>
              <w:jc w:val="both"/>
              <w:rPr>
                <w:rFonts w:ascii="Times New Roman" w:hAnsi="Times New Roman" w:cs="Times New Roman"/>
                <w:sz w:val="24"/>
                <w:szCs w:val="24"/>
                <w:u w:val="single"/>
              </w:rPr>
            </w:pPr>
          </w:p>
          <w:p w:rsidR="00E1016E" w:rsidRPr="00E1016E" w:rsidRDefault="00E1016E" w:rsidP="00E1016E">
            <w:pPr>
              <w:jc w:val="both"/>
              <w:rPr>
                <w:rFonts w:ascii="Times New Roman" w:hAnsi="Times New Roman" w:cs="Times New Roman"/>
                <w:sz w:val="24"/>
                <w:szCs w:val="24"/>
              </w:rPr>
            </w:pPr>
            <w:r w:rsidRPr="00E1016E">
              <w:rPr>
                <w:rFonts w:ascii="Times New Roman" w:hAnsi="Times New Roman" w:cs="Times New Roman"/>
                <w:sz w:val="24"/>
                <w:szCs w:val="24"/>
                <w:u w:val="single"/>
              </w:rPr>
              <w:t>Bendras ataskaitos vertinimas</w:t>
            </w:r>
          </w:p>
        </w:tc>
      </w:tr>
      <w:tr w:rsidR="00E1016E" w:rsidRPr="00E1016E" w:rsidTr="00E1016E">
        <w:tc>
          <w:tcPr>
            <w:tcW w:w="9628" w:type="dxa"/>
          </w:tcPr>
          <w:p w:rsidR="00E1016E" w:rsidRPr="00E1016E" w:rsidRDefault="00E1016E" w:rsidP="00E1016E">
            <w:pPr>
              <w:jc w:val="both"/>
              <w:rPr>
                <w:rFonts w:ascii="Times New Roman" w:hAnsi="Times New Roman" w:cs="Times New Roman"/>
                <w:sz w:val="24"/>
                <w:szCs w:val="24"/>
              </w:rPr>
            </w:pPr>
            <w:r w:rsidRPr="00E1016E">
              <w:rPr>
                <w:rFonts w:ascii="Times New Roman" w:hAnsi="Times New Roman" w:cs="Times New Roman"/>
                <w:sz w:val="24"/>
                <w:szCs w:val="24"/>
              </w:rPr>
              <w:t xml:space="preserve">Lietuva ataskaitoje įvertinta teigiamai, teisinės valstybės principo pažeidimų nenurodoma. Kiekvienoje iš keturių ataskaitos dalių EK įvardinami pozityvūs procesai, prisidedantys prie aukštų </w:t>
            </w:r>
            <w:r w:rsidRPr="00E1016E">
              <w:rPr>
                <w:rFonts w:ascii="Times New Roman" w:hAnsi="Times New Roman" w:cs="Times New Roman"/>
                <w:sz w:val="24"/>
                <w:szCs w:val="24"/>
              </w:rPr>
              <w:lastRenderedPageBreak/>
              <w:t>teisinės valstybės principo standartų išlaikymo. EK įvardino ir keletą koreguotinų teisinės valstybės principo laikymosi aspektų, susijusių su aukščiausias pareigas einančių teisėjų skyrimu, profesinės paslapties principo laikymusi, vykstančiomis diskusijomis dėl žiniasklaidos savireguliacijos įstaigų efektyvumo ir nešališkumo, didelės naujienų žiniasklaidos nuosavybės koncentracijos, taip pat kartais atsirandančiais sunkumais dėl galimybės susipažinti su informacija.</w:t>
            </w:r>
          </w:p>
        </w:tc>
      </w:tr>
      <w:tr w:rsidR="00E1016E" w:rsidRPr="00E1016E" w:rsidTr="00E1016E">
        <w:tc>
          <w:tcPr>
            <w:tcW w:w="9628" w:type="dxa"/>
          </w:tcPr>
          <w:p w:rsidR="00E1016E" w:rsidRPr="00E1016E" w:rsidRDefault="00E1016E" w:rsidP="00E1016E">
            <w:pPr>
              <w:jc w:val="both"/>
              <w:rPr>
                <w:rFonts w:ascii="Times New Roman" w:hAnsi="Times New Roman" w:cs="Times New Roman"/>
                <w:sz w:val="24"/>
                <w:szCs w:val="24"/>
                <w:u w:val="single"/>
              </w:rPr>
            </w:pPr>
          </w:p>
          <w:p w:rsidR="00E1016E" w:rsidRPr="00E1016E" w:rsidRDefault="00E1016E" w:rsidP="00E1016E">
            <w:pPr>
              <w:jc w:val="both"/>
              <w:rPr>
                <w:rFonts w:ascii="Times New Roman" w:hAnsi="Times New Roman" w:cs="Times New Roman"/>
                <w:sz w:val="24"/>
                <w:szCs w:val="24"/>
                <w:lang w:val="en-US"/>
              </w:rPr>
            </w:pPr>
            <w:r w:rsidRPr="00E1016E">
              <w:rPr>
                <w:rFonts w:ascii="Times New Roman" w:hAnsi="Times New Roman" w:cs="Times New Roman"/>
                <w:sz w:val="24"/>
                <w:szCs w:val="24"/>
                <w:u w:val="single"/>
              </w:rPr>
              <w:t>Detalus ataskaitos vertinimas pagal atskiras sritis</w:t>
            </w:r>
          </w:p>
        </w:tc>
      </w:tr>
      <w:tr w:rsidR="00E1016E" w:rsidRPr="00E1016E" w:rsidTr="00E1016E">
        <w:tc>
          <w:tcPr>
            <w:tcW w:w="9628" w:type="dxa"/>
          </w:tcPr>
          <w:p w:rsidR="00E1016E" w:rsidRPr="00E1016E" w:rsidRDefault="00E1016E" w:rsidP="00E1016E">
            <w:pPr>
              <w:jc w:val="both"/>
              <w:rPr>
                <w:rFonts w:ascii="Times New Roman" w:hAnsi="Times New Roman" w:cs="Times New Roman"/>
                <w:sz w:val="24"/>
                <w:szCs w:val="24"/>
              </w:rPr>
            </w:pPr>
            <w:r w:rsidRPr="00E1016E">
              <w:rPr>
                <w:rFonts w:ascii="Times New Roman" w:hAnsi="Times New Roman" w:cs="Times New Roman"/>
                <w:b/>
                <w:sz w:val="24"/>
                <w:szCs w:val="24"/>
                <w:u w:val="single"/>
              </w:rPr>
              <w:t>Teisingumo sistema</w:t>
            </w:r>
            <w:r w:rsidRPr="00E1016E">
              <w:rPr>
                <w:rFonts w:ascii="Times New Roman" w:hAnsi="Times New Roman" w:cs="Times New Roman"/>
                <w:sz w:val="24"/>
                <w:szCs w:val="24"/>
              </w:rPr>
              <w:t xml:space="preserve">. EK vertinimu, Lietuvoje ir toliau pasiekiama gerų rezultatų teisingumo sistemos veiksmingumo srityje, įgyvendinamos tolesnės jos veiksmingumo didinimo priemonės. EK pabrėžia, kad teisingumo sistemoje plačiu mastu naudojamos skaitmeninės priemonės, o tai padeda užtikrinti nepertraukiamą teismų veikimą COVID-19 pandemijos metu. Pagirtina, kad Nacionalinė teismų administracija ir Teisėjų taryba plėtoja iniciatyvas, kuriomis siekiama stiprinti antikorupcinę teisminių institucijų kultūrą. </w:t>
            </w:r>
          </w:p>
        </w:tc>
      </w:tr>
      <w:tr w:rsidR="00E1016E" w:rsidRPr="00E1016E" w:rsidTr="00E1016E">
        <w:tc>
          <w:tcPr>
            <w:tcW w:w="9628" w:type="dxa"/>
          </w:tcPr>
          <w:p w:rsidR="00E1016E" w:rsidRPr="00E1016E" w:rsidRDefault="00E1016E" w:rsidP="00E1016E">
            <w:pPr>
              <w:jc w:val="both"/>
              <w:rPr>
                <w:rFonts w:ascii="Times New Roman" w:hAnsi="Times New Roman" w:cs="Times New Roman"/>
                <w:sz w:val="24"/>
                <w:szCs w:val="24"/>
              </w:rPr>
            </w:pPr>
            <w:r w:rsidRPr="00E1016E">
              <w:rPr>
                <w:rFonts w:ascii="Times New Roman" w:hAnsi="Times New Roman" w:cs="Times New Roman"/>
                <w:sz w:val="24"/>
                <w:szCs w:val="24"/>
              </w:rPr>
              <w:t xml:space="preserve">EK reiškia susirūpinimą dėl aukštų pareigų teisėjų skyrimo, pabrėžiant, kad Aukščiausiojo Teismo pirmininkas nuo 2019 m. rugsėjo mėn. vis dar laikinai eina šias pareigas. </w:t>
            </w:r>
          </w:p>
        </w:tc>
      </w:tr>
      <w:tr w:rsidR="00E1016E" w:rsidRPr="00E1016E" w:rsidTr="00E1016E">
        <w:tc>
          <w:tcPr>
            <w:tcW w:w="9628" w:type="dxa"/>
          </w:tcPr>
          <w:p w:rsidR="00E1016E" w:rsidRPr="00E1016E" w:rsidRDefault="00E1016E" w:rsidP="00E1016E">
            <w:pPr>
              <w:jc w:val="both"/>
              <w:rPr>
                <w:rFonts w:ascii="Times New Roman" w:hAnsi="Times New Roman" w:cs="Times New Roman"/>
                <w:i/>
                <w:sz w:val="24"/>
                <w:szCs w:val="24"/>
              </w:rPr>
            </w:pPr>
            <w:r w:rsidRPr="00E1016E">
              <w:rPr>
                <w:rFonts w:ascii="Times New Roman" w:hAnsi="Times New Roman" w:cs="Times New Roman"/>
                <w:i/>
                <w:sz w:val="24"/>
                <w:szCs w:val="24"/>
                <w:u w:val="single"/>
              </w:rPr>
              <w:t>Naujausia informacija.</w:t>
            </w:r>
            <w:r w:rsidRPr="00E1016E">
              <w:rPr>
                <w:rFonts w:ascii="Times New Roman" w:hAnsi="Times New Roman" w:cs="Times New Roman"/>
                <w:i/>
                <w:sz w:val="24"/>
                <w:szCs w:val="24"/>
              </w:rPr>
              <w:t xml:space="preserve"> Remiantis Lietuvos Respublikos Konstitucijos 84 str., Aukščiausiojo Teismo pirmininkas skiriamas tuomet, kai yra paskirti visi Aukščiausiojo Teismo teisėjai. Šiuo metu yra baigiamos 2 teisėjų atrankos į Aukščiausiojo Teismo civilinių bylų skyrių bei 1 teisėjo atrankos į Baudžiamųjų bylų skyrių procedūros. Lapkričio 25 d. yra numatomas balsavimas Lietuvos Respublikos Seimo plenarinėje sesijoje dėl Civilinių bylų skyriaus teisėjų skyrimo į pareigas. Iki lapkričio 25 d. Nacionalinė teismų administracija taip pat planuoja užbaigti atrankos procedūras į baudžiamųjų bylų skyrių. Vėliau atrinkti kandidatai bus perduoti Lietuvos Respublikos Prezidentūrai, kuri, savo ruožtu, Lietuvos Respublikos Prezidento dekretu paskirs baudžiamųjų bylų skyriaus teisėją į pareigas, kandidatūrą patvirtinus Lietuvos Respublikos Seimui. Suformavus pilnos sudėties Aukščiausiajam Teismui, Lietuvos Respublikos Prezidentas turi prerogatyvą pradėti šio teismo pirmininko paskyrimo procedūras. Atkreiptinas dėmesys, kad nuo 2022 m. sausio 1 d. įsigalios nauja Aukščiausiojo Teismo pirmininko atrankos tvarka, kuria remiantis, siekiant didesnio skaidrumo, Aukščiausiojo Teismo pirmininko skyrimui taip pat reikės atlikti visas atrankos procedūras, kurios atliekamos skiriant kitus teismo teisėjus. Iki naujos tvarkos įsigaliojimo tokio reikalavimo nebuvo, todėl tikėtina, kad teismo pirmininko paskyrimo procedūra ir ateityje gali užsitęsti.</w:t>
            </w:r>
          </w:p>
        </w:tc>
      </w:tr>
      <w:tr w:rsidR="00E1016E" w:rsidRPr="00E1016E" w:rsidTr="00E1016E">
        <w:tc>
          <w:tcPr>
            <w:tcW w:w="9628" w:type="dxa"/>
          </w:tcPr>
          <w:p w:rsidR="00E1016E" w:rsidRPr="00E1016E" w:rsidRDefault="00E1016E" w:rsidP="00E1016E">
            <w:pPr>
              <w:jc w:val="both"/>
              <w:rPr>
                <w:rFonts w:ascii="Times New Roman" w:hAnsi="Times New Roman" w:cs="Times New Roman"/>
                <w:sz w:val="24"/>
                <w:szCs w:val="24"/>
              </w:rPr>
            </w:pPr>
            <w:r w:rsidRPr="00E1016E">
              <w:rPr>
                <w:rFonts w:ascii="Times New Roman" w:hAnsi="Times New Roman" w:cs="Times New Roman"/>
                <w:sz w:val="24"/>
                <w:szCs w:val="24"/>
              </w:rPr>
              <w:t xml:space="preserve">EK ataskaitoje taip pat pabrėžė, kad Lietuvoje, reaguojant į teisininkams jau seniai susirūpinimą keliančius klausimus, vyksta diskusijos dėl teisinės pagalbos sistemos pakeitimų. </w:t>
            </w:r>
          </w:p>
        </w:tc>
      </w:tr>
      <w:tr w:rsidR="00E1016E" w:rsidRPr="00E1016E" w:rsidTr="00E1016E">
        <w:tc>
          <w:tcPr>
            <w:tcW w:w="9628" w:type="dxa"/>
          </w:tcPr>
          <w:p w:rsidR="00E1016E" w:rsidRPr="00E1016E" w:rsidRDefault="00E1016E" w:rsidP="00E1016E">
            <w:pPr>
              <w:jc w:val="both"/>
              <w:rPr>
                <w:rFonts w:ascii="Times New Roman" w:hAnsi="Times New Roman" w:cs="Times New Roman"/>
                <w:i/>
                <w:sz w:val="24"/>
                <w:szCs w:val="24"/>
              </w:rPr>
            </w:pPr>
            <w:r w:rsidRPr="00E1016E">
              <w:rPr>
                <w:rFonts w:ascii="Times New Roman" w:hAnsi="Times New Roman" w:cs="Times New Roman"/>
                <w:i/>
                <w:sz w:val="24"/>
                <w:szCs w:val="24"/>
                <w:u w:val="single"/>
              </w:rPr>
              <w:t>Naujausia informacija.</w:t>
            </w:r>
            <w:r w:rsidRPr="00E1016E">
              <w:rPr>
                <w:rFonts w:ascii="Times New Roman" w:hAnsi="Times New Roman" w:cs="Times New Roman"/>
                <w:i/>
                <w:sz w:val="24"/>
                <w:szCs w:val="24"/>
              </w:rPr>
              <w:t xml:space="preserve"> Lietuvos Respublikos Vyriausybės strateginės analizės centras iki 2022 m. I ketvirčio pabaigos yra įpareigotas atlikti „Valstybės garantuojamos teisinės pagalbos sistemos efektyvumo ir kokybės vertinamąją galimybių studiją“, kurioje pateiktų esamos situacijos įvertinimą ir pasiūlymus, kaip užtikrinti didesnį valstybės garantuojamos teisinės pagalbos sistemos efektyvumą. Teisingumo ministerija yra įpareigota iki 2022 m. IV ketvirčio pabaigos Lietuvos Respublikos Vyriausybei pateikti galimus šios sistemos efektyvumo didinimo sprendimus.</w:t>
            </w:r>
          </w:p>
        </w:tc>
      </w:tr>
      <w:tr w:rsidR="00E1016E" w:rsidRPr="00E1016E" w:rsidTr="00E1016E">
        <w:tc>
          <w:tcPr>
            <w:tcW w:w="9628" w:type="dxa"/>
          </w:tcPr>
          <w:p w:rsidR="00E1016E" w:rsidRPr="00E1016E" w:rsidRDefault="00E1016E" w:rsidP="00E1016E">
            <w:pPr>
              <w:jc w:val="both"/>
              <w:rPr>
                <w:rFonts w:ascii="Times New Roman" w:hAnsi="Times New Roman" w:cs="Times New Roman"/>
                <w:b/>
                <w:sz w:val="24"/>
                <w:szCs w:val="24"/>
                <w:u w:val="single"/>
              </w:rPr>
            </w:pPr>
          </w:p>
          <w:p w:rsidR="00E1016E" w:rsidRPr="00E1016E" w:rsidRDefault="00E1016E" w:rsidP="00E1016E">
            <w:pPr>
              <w:jc w:val="both"/>
              <w:rPr>
                <w:rFonts w:ascii="Times New Roman" w:hAnsi="Times New Roman" w:cs="Times New Roman"/>
                <w:sz w:val="24"/>
                <w:szCs w:val="24"/>
              </w:rPr>
            </w:pPr>
            <w:r w:rsidRPr="00E1016E">
              <w:rPr>
                <w:rFonts w:ascii="Times New Roman" w:hAnsi="Times New Roman" w:cs="Times New Roman"/>
                <w:b/>
                <w:sz w:val="24"/>
                <w:szCs w:val="24"/>
                <w:u w:val="single"/>
              </w:rPr>
              <w:t>Kova su korupcija</w:t>
            </w:r>
            <w:r w:rsidRPr="00E1016E">
              <w:rPr>
                <w:rFonts w:ascii="Times New Roman" w:hAnsi="Times New Roman" w:cs="Times New Roman"/>
                <w:sz w:val="24"/>
                <w:szCs w:val="24"/>
              </w:rPr>
              <w:t xml:space="preserve">. EK esminių pastabų šioje srityje Lietuvai nepateikė. Ataskaitoje pažymima, kad 2020 m. lapkričio 4 d., siekiant gerinti Nacionalinės kovos su korupcija programos įgyvendinimą, buvo priimtas naujasis 2020–2022 m. Kovos su korupcija veiksmų planas, taip pat nustatyta veiksmingesnė ir efektyvesnė turto deklaravimo tvarka, o nuo 2021 m. sausio mėn. galioja atnaujintos lobistinės veiklos taisyklės, kuriomis siekiama užtikrinti didesnį išrinktų pareigūnų ir lobistų susitikimų skaidrumą ir viešumą. 2020 m. liepos mėn. buvo patvirtinta ir pradėta įgyvendinti atnaujinta „sukamųjų durų“ reiškinio ir veiklos pertraukos laikotarpių teisinė sistema. Parengtos pranešėjų apsaugos nuostatos, o prokuratūra didina informuotumą, siekdama skatinti naudotis pranešimų teikimo kanalais. Ištirti arba teismui perduoti keli aukšto lygio korupcijos atvejai. Siekiant išvengti sukčiavimo ir korupcijos rizikos COVID-19  pandemijos  </w:t>
            </w:r>
            <w:r w:rsidRPr="00E1016E">
              <w:rPr>
                <w:rFonts w:ascii="Times New Roman" w:hAnsi="Times New Roman" w:cs="Times New Roman"/>
                <w:sz w:val="24"/>
                <w:szCs w:val="24"/>
              </w:rPr>
              <w:lastRenderedPageBreak/>
              <w:t>metu,  patobulinta  viešųjų pirkimų teisinė sistema. Be to, Specialiųjų tyrimų tarnyba pateikė rekomendacijas ir gaires, kaip didinti skaidrumą ir mažinti korupcijos riziką įgyvendinant ekonominės pagalbos po COVID-19 pandemijos planą.</w:t>
            </w:r>
          </w:p>
        </w:tc>
      </w:tr>
      <w:tr w:rsidR="00E1016E" w:rsidRPr="00E1016E" w:rsidTr="00E1016E">
        <w:tc>
          <w:tcPr>
            <w:tcW w:w="9628" w:type="dxa"/>
          </w:tcPr>
          <w:p w:rsidR="00E1016E" w:rsidRPr="00E1016E" w:rsidRDefault="00E1016E" w:rsidP="00E1016E">
            <w:pPr>
              <w:jc w:val="both"/>
              <w:rPr>
                <w:rFonts w:ascii="Times New Roman" w:hAnsi="Times New Roman" w:cs="Times New Roman"/>
                <w:b/>
                <w:sz w:val="24"/>
                <w:szCs w:val="24"/>
                <w:u w:val="single"/>
              </w:rPr>
            </w:pPr>
          </w:p>
          <w:p w:rsidR="00E1016E" w:rsidRPr="00E1016E" w:rsidRDefault="00E1016E" w:rsidP="00E1016E">
            <w:pPr>
              <w:jc w:val="both"/>
              <w:rPr>
                <w:rFonts w:ascii="Times New Roman" w:hAnsi="Times New Roman" w:cs="Times New Roman"/>
                <w:sz w:val="24"/>
                <w:szCs w:val="24"/>
              </w:rPr>
            </w:pPr>
            <w:r w:rsidRPr="00E1016E">
              <w:rPr>
                <w:rFonts w:ascii="Times New Roman" w:hAnsi="Times New Roman" w:cs="Times New Roman"/>
                <w:b/>
                <w:sz w:val="24"/>
                <w:szCs w:val="24"/>
                <w:u w:val="single"/>
              </w:rPr>
              <w:t>Žiniasklaidos pliuralizmas</w:t>
            </w:r>
            <w:r w:rsidRPr="00E1016E">
              <w:rPr>
                <w:rFonts w:ascii="Times New Roman" w:hAnsi="Times New Roman" w:cs="Times New Roman"/>
                <w:sz w:val="24"/>
                <w:szCs w:val="24"/>
              </w:rPr>
              <w:t xml:space="preserve">. EK žiniasklaidos pliuralizmą Lietuvoje įvertino palankiai, tačiau išskyrė ir keletą trūkumų.  Palankiai vertinama tai, kad žiniasklaidos pliuralizmo teisine sistema Lietuvoje užtikrinama pagrindinė teisė į saviraiškos laisvę ir teisė į informaciją. Siekdama didinti žiniasklaidos priemonių nuosavybės skaidrumą, Kultūros ministerija diegia viešai prieinamą Viešosios informacijos rengėjų ir skleidėjų informacinę sistemą. Taip pat Lietuvoje laipsniškai gerėja žurnalistų profesinė aplinka, ypač kalbant apie galimybes susipažinti su pagrindiniuose viešuosiuose registruose laikoma informacija. EK itin palankiai įvertino tai, kad Lietuvos valdžios institucijos, siekdamos sušvelninti COVID-19 pandemijos poveikį žiniasklaidos priemonėms, ėmėsi atitinkamų priemonių (pvz., atidėjo  mokesčius  už  televizijos  ir  radijo  transliacijų  perdavimo  įrenginius ir paslaugas, pasirūpino, kad kelionių ribojimo metu žurnalistai galėtų keliauti po šalį ir kt.). </w:t>
            </w:r>
          </w:p>
        </w:tc>
      </w:tr>
      <w:tr w:rsidR="00E1016E" w:rsidRPr="00E1016E" w:rsidTr="00E1016E">
        <w:tc>
          <w:tcPr>
            <w:tcW w:w="9628" w:type="dxa"/>
          </w:tcPr>
          <w:p w:rsidR="00E1016E" w:rsidRPr="00E1016E" w:rsidRDefault="00E1016E" w:rsidP="00E1016E">
            <w:pPr>
              <w:jc w:val="both"/>
              <w:rPr>
                <w:rFonts w:ascii="Times New Roman" w:hAnsi="Times New Roman" w:cs="Times New Roman"/>
                <w:sz w:val="24"/>
                <w:szCs w:val="24"/>
              </w:rPr>
            </w:pPr>
            <w:r w:rsidRPr="00E1016E">
              <w:rPr>
                <w:rFonts w:ascii="Times New Roman" w:hAnsi="Times New Roman" w:cs="Times New Roman"/>
                <w:sz w:val="24"/>
                <w:szCs w:val="24"/>
              </w:rPr>
              <w:t xml:space="preserve">EK taip pat pabrėžė, kad nors žiniasklaidos reguliavimo institucijos ir toliau laikomos nepriklausomomis ir efektyviomis, vyksta diskusijos dėl žiniasklaidos savireguliacijos įstaigų efektyvumo ir nešališkumo. Lietuvos visuomeninis transliuotojas Lietuvos nacionalinis radijas ir televizija (LRT) pasiūlė Visuomenės informavimo įstatymo pakeitimą, pagal kurį jam nebūtų taikoma Visuomenės informavimo etikos komisijos – Visuomenės informavimo etikos asociacijos sprendimų priėmimo organo – vykdoma priežiūra, nes pačioje LRT sukurta etikos kontrolieriaus pareigybė. Tai paskatino viešas diskusijas tokiais klausimais kaip Visuomenės informavimo etikos komisijos efektyvumas ir nešališkumas, Visuomenės informavimo etikos asociacijos sudėtis ir tai, kokiu mastu savireguliacijos veikimas turėtų būti nustatytas įstatymais. </w:t>
            </w:r>
          </w:p>
        </w:tc>
      </w:tr>
      <w:tr w:rsidR="00E1016E" w:rsidRPr="00E1016E" w:rsidTr="00E1016E">
        <w:tc>
          <w:tcPr>
            <w:tcW w:w="9628" w:type="dxa"/>
          </w:tcPr>
          <w:p w:rsidR="00E1016E" w:rsidRPr="00E1016E" w:rsidRDefault="00E1016E" w:rsidP="00E1016E">
            <w:pPr>
              <w:jc w:val="both"/>
              <w:rPr>
                <w:rFonts w:ascii="Times New Roman" w:hAnsi="Times New Roman" w:cs="Times New Roman"/>
                <w:i/>
                <w:sz w:val="24"/>
                <w:szCs w:val="24"/>
              </w:rPr>
            </w:pPr>
            <w:r w:rsidRPr="00E1016E">
              <w:rPr>
                <w:rFonts w:ascii="Times New Roman" w:hAnsi="Times New Roman" w:cs="Times New Roman"/>
                <w:i/>
                <w:sz w:val="24"/>
                <w:szCs w:val="24"/>
                <w:u w:val="single"/>
              </w:rPr>
              <w:t>Naujausia informacija.</w:t>
            </w:r>
            <w:r w:rsidRPr="00E1016E">
              <w:rPr>
                <w:rFonts w:ascii="Times New Roman" w:hAnsi="Times New Roman" w:cs="Times New Roman"/>
                <w:i/>
                <w:sz w:val="24"/>
                <w:szCs w:val="24"/>
              </w:rPr>
              <w:t xml:space="preserve"> LRT, vadovaudamasi 2020 m. atnaujinta Lietuvos nacionalinio radijo ir televizijos įstatymo redakcija, kurioje numatoma įsteigti LRT etikos kontrolierių, yra pateikusi atitinkamų įstatymų pakeitimo projektus, pagal kuriuos LRT būtų išbraukiama iš Visuomenės informavimo etikos asociacijos. LRT motyvuoja tokį veiksmą minėta nauja įstatymo redakcija bei joje numatoma vidinio LRT kontrolieriaus pareigybe. Šios LRT iniciatyvos išprovokavo diskusijas tarp žiniasklaidos priemonių, keliant klausimą, ar kitos žiniasklaidos priemonės taip pat galėtų įsteigti vidinius etikos kontrolierius ir išstoti iš Visuomenės informavimo etikos asociacijos. Atsakant į šias diskusijas, Lietuvos Respublikos Seimo valdyba š. m. gegužės 16 d. sudarė darbo grupę dėl viešosios informacijos rengėjų ir skleidėjų veiklos reglamentavimo ir savitvarkos institucijų sistemos peržiūros, kuriai pavesta parengti ir iki š. m. gruodžio 23 d. Lietuvos Respublikos Seimo Kultūros komitetui pateikti patobulintą Visuomenės informavimo įstatymo pakeitimo projektą, tokiu būdu optimizuojant žiniasklaidos savireguliacijos institucijų veiklą. Lietuvos Respublikos kultūros ministerija šį procesą vertina teigiamai, pabrėždama, kad diskusijos dėl efektyvesnio žiniasklaidos savireguliacijos modelio kilo tarp pačių medijos priemonių, į minėtą darbo grupę taip pat yra įsitraukę žurnalistų atstovai.</w:t>
            </w:r>
          </w:p>
        </w:tc>
      </w:tr>
      <w:tr w:rsidR="00E1016E" w:rsidRPr="00E1016E" w:rsidTr="00E1016E">
        <w:tc>
          <w:tcPr>
            <w:tcW w:w="9628" w:type="dxa"/>
          </w:tcPr>
          <w:p w:rsidR="00E1016E" w:rsidRPr="00E1016E" w:rsidRDefault="00E1016E" w:rsidP="00E1016E">
            <w:pPr>
              <w:jc w:val="both"/>
              <w:rPr>
                <w:rFonts w:ascii="Times New Roman" w:hAnsi="Times New Roman" w:cs="Times New Roman"/>
                <w:sz w:val="24"/>
                <w:szCs w:val="24"/>
              </w:rPr>
            </w:pPr>
            <w:r w:rsidRPr="00E1016E">
              <w:rPr>
                <w:rFonts w:ascii="Times New Roman" w:hAnsi="Times New Roman" w:cs="Times New Roman"/>
                <w:sz w:val="24"/>
                <w:szCs w:val="24"/>
              </w:rPr>
              <w:t xml:space="preserve">EK teigimu, Lietuvos valdžios institucijos kartais naudojasi duomenų apsaugos nuostatomis, norėdamos nepagrįstai apriboti galimybes susipažinti su informacija. Nors EK teigiamai vertina, kad Lietuvoje laipsniškai daugėja galimybių susipažinti su informacija, kai kurie suinteresuoti subjektai teigia, kad susipažinimo su informacija procedūros vis dar gana sudėtingos. Visų pirma kai kurios viešosios įstaigos, ypač savivaldybės, naudojasi duomenų apsaugos taisyklėmis, kad nepagrįstai apribotų galimybes susipažinti su informacija. </w:t>
            </w:r>
          </w:p>
        </w:tc>
      </w:tr>
      <w:tr w:rsidR="00E1016E" w:rsidRPr="00E1016E" w:rsidTr="00E1016E">
        <w:tc>
          <w:tcPr>
            <w:tcW w:w="9628" w:type="dxa"/>
          </w:tcPr>
          <w:p w:rsidR="00E1016E" w:rsidRPr="00E1016E" w:rsidRDefault="00E1016E" w:rsidP="00E1016E">
            <w:pPr>
              <w:jc w:val="both"/>
              <w:rPr>
                <w:rFonts w:ascii="Times New Roman" w:hAnsi="Times New Roman" w:cs="Times New Roman"/>
                <w:i/>
                <w:sz w:val="24"/>
                <w:szCs w:val="24"/>
              </w:rPr>
            </w:pPr>
            <w:r w:rsidRPr="00E1016E">
              <w:rPr>
                <w:rFonts w:ascii="Times New Roman" w:hAnsi="Times New Roman" w:cs="Times New Roman"/>
                <w:i/>
                <w:sz w:val="24"/>
                <w:szCs w:val="24"/>
                <w:u w:val="single"/>
              </w:rPr>
              <w:t>Naujausia informacija</w:t>
            </w:r>
            <w:r w:rsidRPr="00E1016E">
              <w:rPr>
                <w:rFonts w:ascii="Times New Roman" w:hAnsi="Times New Roman" w:cs="Times New Roman"/>
                <w:i/>
                <w:sz w:val="24"/>
                <w:szCs w:val="24"/>
              </w:rPr>
              <w:t>. Lietuvos Respublikos kultūros ministerijos teigimu, esama institucijų, kurios žiniasklaidai neteikia informacijos, motyvuodamos asmens duomenų apsaugos reikalavimais. Siekiant spręsti šią susidariusią situaciją, Lietuvos Respublikos Seimo narių grupė yra inicijavusi Visuomenės informavimo įstatymo pakeitimus, kuriais siūlo praplėsti viešo asmens sąvoką, taip žurnalistams palengvinant prieigą prie didesnio informacijos kiekio. „</w:t>
            </w:r>
            <w:proofErr w:type="spellStart"/>
            <w:r w:rsidRPr="00E1016E">
              <w:rPr>
                <w:rFonts w:ascii="Times New Roman" w:hAnsi="Times New Roman" w:cs="Times New Roman"/>
                <w:i/>
                <w:sz w:val="24"/>
                <w:szCs w:val="24"/>
              </w:rPr>
              <w:t>Transparency</w:t>
            </w:r>
            <w:proofErr w:type="spellEnd"/>
            <w:r w:rsidRPr="00E1016E">
              <w:rPr>
                <w:rFonts w:ascii="Times New Roman" w:hAnsi="Times New Roman" w:cs="Times New Roman"/>
                <w:i/>
                <w:sz w:val="24"/>
                <w:szCs w:val="24"/>
              </w:rPr>
              <w:t xml:space="preserve"> </w:t>
            </w:r>
            <w:r w:rsidRPr="00E1016E">
              <w:rPr>
                <w:rFonts w:ascii="Times New Roman" w:hAnsi="Times New Roman" w:cs="Times New Roman"/>
                <w:i/>
                <w:sz w:val="24"/>
                <w:szCs w:val="24"/>
              </w:rPr>
              <w:lastRenderedPageBreak/>
              <w:t xml:space="preserve">International“ viešu pareiškimu taip pat siūlo keisti Visuomenės informavimo įstatymą, </w:t>
            </w:r>
            <w:r w:rsidRPr="00E1016E">
              <w:rPr>
                <w:rStyle w:val="Strong"/>
                <w:rFonts w:ascii="Times New Roman" w:hAnsi="Times New Roman" w:cs="Times New Roman"/>
                <w:b w:val="0"/>
                <w:i/>
                <w:sz w:val="24"/>
                <w:szCs w:val="24"/>
              </w:rPr>
              <w:t>atsisakant „viešojo asmens“ apibrėžimo bei kartu numatyti išsamesnius kriterijus, pagal kuriuos asmens duomenys galėtų būti skelbiami ir be asmens sutikimo, atsižvelgiant į viešąjį interesą.</w:t>
            </w:r>
          </w:p>
        </w:tc>
      </w:tr>
      <w:tr w:rsidR="00E1016E" w:rsidRPr="00E1016E" w:rsidTr="00E1016E">
        <w:tc>
          <w:tcPr>
            <w:tcW w:w="9628" w:type="dxa"/>
          </w:tcPr>
          <w:p w:rsidR="00E1016E" w:rsidRPr="00E1016E" w:rsidRDefault="00E1016E" w:rsidP="00E1016E">
            <w:pPr>
              <w:jc w:val="both"/>
              <w:rPr>
                <w:rFonts w:ascii="Times New Roman" w:hAnsi="Times New Roman" w:cs="Times New Roman"/>
                <w:b/>
                <w:sz w:val="24"/>
                <w:szCs w:val="24"/>
                <w:u w:val="single"/>
              </w:rPr>
            </w:pPr>
          </w:p>
          <w:p w:rsidR="00E1016E" w:rsidRPr="00E1016E" w:rsidRDefault="00E1016E" w:rsidP="00E1016E">
            <w:pPr>
              <w:jc w:val="both"/>
              <w:rPr>
                <w:rFonts w:ascii="Times New Roman" w:hAnsi="Times New Roman" w:cs="Times New Roman"/>
                <w:b/>
                <w:sz w:val="24"/>
                <w:szCs w:val="24"/>
                <w:u w:val="single"/>
              </w:rPr>
            </w:pPr>
            <w:r w:rsidRPr="00E1016E">
              <w:rPr>
                <w:rFonts w:ascii="Times New Roman" w:hAnsi="Times New Roman" w:cs="Times New Roman"/>
                <w:b/>
                <w:sz w:val="24"/>
                <w:szCs w:val="24"/>
                <w:u w:val="single"/>
              </w:rPr>
              <w:t>Institucinė sąranga</w:t>
            </w:r>
            <w:r w:rsidRPr="00E1016E">
              <w:rPr>
                <w:rFonts w:ascii="Times New Roman" w:hAnsi="Times New Roman" w:cs="Times New Roman"/>
                <w:sz w:val="24"/>
                <w:szCs w:val="24"/>
              </w:rPr>
              <w:t xml:space="preserve">. EK Lietuvos institucinę sąrangą įgyvendinant teisinės valstybės principus vertina teigiamai. Ataskaitoje minimos sveikintinos iniciatyvos, skirtos gerinti teisėkūros kokybę, pvz., Lietuvos Respublikos teisingumo ministerija planuoja atlikti analizę, siekdama nustatyti teisėkūros proceso ir teisės taikymo trūkumus bei parengti institucijoms skirtas metodines rekomendacijas, kaip gerinti teisės aktų ir teisėkūros proceso kokybę. Įgyvendinant šį projektą, be kita ko, bus peržiūrėti galiojantys teisės aktai, siekiant pašalinti pasenusias arba neproporcingas reglamentavimo nuostatas. COVID-19 pandemijos kontekste, EK pažymi, kad Lietuvoje buvo priimtos neatidėliotinos priemonės, kurios vis dar galioja. Nors su COVID-19 susiję apribojimai turėjo įtakos Lietuvos NVO vykdomai veiklai, valdžios institucijos joms teikė specialią finansinę paramą. Pilietinės visuomenės erdvė, EK vertinimu, Lietuvoje tebėra atvira, sukurtas naujas NVO fondas, iš kurio NVO teikiama tvari institucinė parama. </w:t>
            </w:r>
          </w:p>
        </w:tc>
      </w:tr>
      <w:tr w:rsidR="00E1016E" w:rsidRPr="00E1016E" w:rsidTr="00E1016E">
        <w:tc>
          <w:tcPr>
            <w:tcW w:w="9628" w:type="dxa"/>
          </w:tcPr>
          <w:p w:rsidR="00E1016E" w:rsidRPr="00E1016E" w:rsidRDefault="00E1016E" w:rsidP="00E1016E">
            <w:pPr>
              <w:jc w:val="both"/>
              <w:rPr>
                <w:rFonts w:ascii="Times New Roman" w:hAnsi="Times New Roman" w:cs="Times New Roman"/>
                <w:sz w:val="24"/>
                <w:szCs w:val="24"/>
              </w:rPr>
            </w:pPr>
            <w:r w:rsidRPr="00E1016E">
              <w:rPr>
                <w:rFonts w:ascii="Times New Roman" w:hAnsi="Times New Roman" w:cs="Times New Roman"/>
                <w:sz w:val="24"/>
                <w:szCs w:val="24"/>
              </w:rPr>
              <w:t>Lietuvos valdžios institucijos plėtoja iniciatyvas, kuriomis siekiama tobulinti teisinį švietimą, taip pat ketinama į bendrojo ugdymo programas integruoti teisinį ir antikorupcinį švietimą.</w:t>
            </w:r>
          </w:p>
        </w:tc>
      </w:tr>
      <w:tr w:rsidR="00E1016E" w:rsidRPr="00E1016E" w:rsidTr="00E1016E">
        <w:tc>
          <w:tcPr>
            <w:tcW w:w="9628" w:type="dxa"/>
          </w:tcPr>
          <w:p w:rsidR="00E1016E" w:rsidRPr="00E1016E" w:rsidRDefault="00E1016E" w:rsidP="00E1016E">
            <w:pPr>
              <w:jc w:val="both"/>
              <w:rPr>
                <w:rFonts w:ascii="Times New Roman" w:hAnsi="Times New Roman" w:cs="Times New Roman"/>
                <w:b/>
                <w:sz w:val="24"/>
                <w:szCs w:val="24"/>
                <w:u w:val="single"/>
              </w:rPr>
            </w:pPr>
          </w:p>
          <w:p w:rsidR="00E1016E" w:rsidRPr="00E1016E" w:rsidRDefault="00E1016E" w:rsidP="00E1016E">
            <w:pPr>
              <w:jc w:val="both"/>
              <w:rPr>
                <w:rFonts w:ascii="Times New Roman" w:eastAsia="MS Mincho" w:hAnsi="Times New Roman" w:cs="Times New Roman"/>
                <w:sz w:val="24"/>
                <w:szCs w:val="24"/>
              </w:rPr>
            </w:pPr>
            <w:r w:rsidRPr="00E1016E">
              <w:rPr>
                <w:rFonts w:ascii="Times New Roman" w:hAnsi="Times New Roman" w:cs="Times New Roman"/>
                <w:b/>
                <w:sz w:val="24"/>
                <w:szCs w:val="24"/>
                <w:u w:val="single"/>
              </w:rPr>
              <w:t>Lietuvos pozicija.</w:t>
            </w:r>
            <w:r w:rsidRPr="00E1016E">
              <w:rPr>
                <w:rFonts w:ascii="Times New Roman" w:hAnsi="Times New Roman" w:cs="Times New Roman"/>
                <w:b/>
                <w:sz w:val="24"/>
                <w:szCs w:val="24"/>
              </w:rPr>
              <w:t xml:space="preserve"> </w:t>
            </w:r>
            <w:r w:rsidRPr="00E1016E">
              <w:rPr>
                <w:rFonts w:ascii="Times New Roman" w:eastAsia="MS Mincho" w:hAnsi="Times New Roman" w:cs="Times New Roman"/>
                <w:sz w:val="24"/>
                <w:szCs w:val="24"/>
              </w:rPr>
              <w:t xml:space="preserve">Lietuva nuosekliai pasisako už teisinės valstybės principo užtikrinimą ir remia iniciatyvas, skirtas stiprinti teisinės valstybės principų įgyvendinimą. Kasmetinis teisinės valstybės dialogas ES Taryboje – vertingas preventyvus instrumentas, suteikiantis valstybėms narėms galimybę apsikeisti nuomonėmis ir gerąja praktika bei diskutuoti aktualiais teisinės valstybės klausimais. Lietuva išanalizavo ir priima </w:t>
            </w:r>
            <w:proofErr w:type="spellStart"/>
            <w:r w:rsidRPr="00E1016E">
              <w:rPr>
                <w:rFonts w:ascii="Times New Roman" w:eastAsia="MS Mincho" w:hAnsi="Times New Roman" w:cs="Times New Roman"/>
                <w:sz w:val="24"/>
                <w:szCs w:val="24"/>
              </w:rPr>
              <w:t>domėn</w:t>
            </w:r>
            <w:proofErr w:type="spellEnd"/>
            <w:r w:rsidRPr="00E1016E">
              <w:rPr>
                <w:rFonts w:ascii="Times New Roman" w:eastAsia="MS Mincho" w:hAnsi="Times New Roman" w:cs="Times New Roman"/>
                <w:sz w:val="24"/>
                <w:szCs w:val="24"/>
              </w:rPr>
              <w:t xml:space="preserve"> Europos Komisijos teisinės valstybės ataskaitoje paminėtus komentarus. Pabrėžiame, kad dėl visų ataskaitoje minimų pokyčių reikalaujančių aspektų šiuo metu yra vykdomos įvairaus pobūdžio veiklos, skirtos koreguoti Europos Komisijos ataskaitoje minimus trūkumus. ES Bendrųjų reikalų tarybos metu Lietuva padėkos Europos Komisijai už atliktą darbą rengiant ataskaitą, paminės svarbiausius Komisijos ataskaitoje išskirtus teigiamus aspektus, kurie galėtų būti gerosios praktikos pavyzdžiai kitoms valstybėms narėms bei informuos apie vykdomus procesus, skirtus spręsti Europos Komisijos ataskaitoje paminėtus trūkumus. </w:t>
            </w:r>
          </w:p>
        </w:tc>
      </w:tr>
    </w:tbl>
    <w:p w:rsidR="00E1016E" w:rsidRPr="00E1016E" w:rsidRDefault="00E1016E" w:rsidP="00E1016E">
      <w:pPr>
        <w:spacing w:after="0" w:line="240" w:lineRule="auto"/>
        <w:jc w:val="both"/>
        <w:rPr>
          <w:rFonts w:ascii="Times New Roman" w:eastAsia="MS Mincho" w:hAnsi="Times New Roman" w:cs="Times New Roman"/>
          <w:sz w:val="24"/>
          <w:szCs w:val="24"/>
        </w:rPr>
      </w:pPr>
    </w:p>
    <w:tbl>
      <w:tblPr>
        <w:tblStyle w:val="TableGrid"/>
        <w:tblW w:w="9641" w:type="dxa"/>
        <w:tblBorders>
          <w:insideH w:val="none" w:sz="0" w:space="0" w:color="auto"/>
          <w:insideV w:val="none" w:sz="0" w:space="0" w:color="auto"/>
        </w:tblBorders>
        <w:tblLook w:val="04A0" w:firstRow="1" w:lastRow="0" w:firstColumn="1" w:lastColumn="0" w:noHBand="0" w:noVBand="1"/>
      </w:tblPr>
      <w:tblGrid>
        <w:gridCol w:w="9641"/>
      </w:tblGrid>
      <w:tr w:rsidR="001B6FD0" w:rsidRPr="00E1016E" w:rsidTr="00E662D8">
        <w:trPr>
          <w:trHeight w:val="565"/>
        </w:trPr>
        <w:tc>
          <w:tcPr>
            <w:tcW w:w="9641" w:type="dxa"/>
          </w:tcPr>
          <w:p w:rsidR="001B6FD0" w:rsidRPr="00E1016E" w:rsidRDefault="001B6FD0" w:rsidP="009852D6">
            <w:pPr>
              <w:rPr>
                <w:rFonts w:ascii="Times New Roman" w:hAnsi="Times New Roman" w:cs="Times New Roman"/>
                <w:b/>
                <w:i/>
                <w:sz w:val="24"/>
                <w:szCs w:val="24"/>
              </w:rPr>
            </w:pPr>
            <w:r w:rsidRPr="00E1016E">
              <w:rPr>
                <w:rFonts w:ascii="Times New Roman" w:hAnsi="Times New Roman" w:cs="Times New Roman"/>
                <w:b/>
                <w:sz w:val="24"/>
                <w:szCs w:val="24"/>
              </w:rPr>
              <w:t>Teisėkūros programavimas. 2022 m. Komisijos darbo programa</w:t>
            </w:r>
            <w:r w:rsidRPr="00E1016E">
              <w:rPr>
                <w:rFonts w:ascii="Times New Roman" w:hAnsi="Times New Roman" w:cs="Times New Roman"/>
                <w:sz w:val="24"/>
                <w:szCs w:val="24"/>
              </w:rPr>
              <w:t xml:space="preserve"> </w:t>
            </w:r>
            <w:r w:rsidRPr="00E1016E">
              <w:rPr>
                <w:rFonts w:ascii="Times New Roman" w:hAnsi="Times New Roman" w:cs="Times New Roman"/>
                <w:sz w:val="24"/>
                <w:szCs w:val="24"/>
              </w:rPr>
              <w:br/>
            </w:r>
            <w:r w:rsidRPr="00E1016E">
              <w:rPr>
                <w:rFonts w:ascii="Times New Roman" w:hAnsi="Times New Roman" w:cs="Times New Roman"/>
                <w:b/>
                <w:i/>
                <w:sz w:val="24"/>
                <w:szCs w:val="24"/>
              </w:rPr>
              <w:t>Komisijos pranešimas</w:t>
            </w:r>
          </w:p>
          <w:p w:rsidR="00E41AD6" w:rsidRPr="00E1016E" w:rsidRDefault="00E41AD6" w:rsidP="00E1016E">
            <w:pPr>
              <w:jc w:val="both"/>
              <w:rPr>
                <w:rFonts w:ascii="Times New Roman" w:hAnsi="Times New Roman" w:cs="Times New Roman"/>
                <w:b/>
                <w:i/>
                <w:sz w:val="24"/>
                <w:szCs w:val="24"/>
              </w:rPr>
            </w:pPr>
          </w:p>
        </w:tc>
      </w:tr>
      <w:tr w:rsidR="001B6FD0" w:rsidRPr="00E1016E" w:rsidTr="00E662D8">
        <w:trPr>
          <w:trHeight w:val="1131"/>
        </w:trPr>
        <w:tc>
          <w:tcPr>
            <w:tcW w:w="9641" w:type="dxa"/>
          </w:tcPr>
          <w:p w:rsidR="001B6FD0" w:rsidRPr="00E1016E" w:rsidRDefault="00AA62AB" w:rsidP="00E1016E">
            <w:pPr>
              <w:jc w:val="both"/>
              <w:rPr>
                <w:rFonts w:ascii="Times New Roman" w:hAnsi="Times New Roman" w:cs="Times New Roman"/>
                <w:sz w:val="24"/>
                <w:szCs w:val="24"/>
              </w:rPr>
            </w:pPr>
            <w:r w:rsidRPr="00E1016E">
              <w:rPr>
                <w:rFonts w:ascii="Times New Roman" w:hAnsi="Times New Roman" w:cs="Times New Roman"/>
                <w:b/>
                <w:sz w:val="24"/>
                <w:szCs w:val="24"/>
                <w:u w:val="single"/>
              </w:rPr>
              <w:t>Klausimo esmė</w:t>
            </w:r>
            <w:r w:rsidRPr="00E1016E">
              <w:rPr>
                <w:rFonts w:ascii="Times New Roman" w:hAnsi="Times New Roman" w:cs="Times New Roman"/>
                <w:b/>
                <w:sz w:val="24"/>
                <w:szCs w:val="24"/>
              </w:rPr>
              <w:t xml:space="preserve">. </w:t>
            </w:r>
            <w:r w:rsidR="001B6FD0" w:rsidRPr="00E1016E">
              <w:rPr>
                <w:rFonts w:ascii="Times New Roman" w:hAnsi="Times New Roman" w:cs="Times New Roman"/>
                <w:sz w:val="24"/>
                <w:szCs w:val="24"/>
              </w:rPr>
              <w:t xml:space="preserve">BRT posėdyje Europos Komisija pristatys savo darbo programą 2022 metams, kuri buvo paskelbta spalio 19 d. Komisija 2022 m. numato pateikti 32 naujas iniciatyvas ir 26 pasiūlymus dėl jau galiojančių teisės aktų supaprastinimo ar peržiūros (REFIT). Programoje atskirai išskirti 76 Komisijos jau pateikti pasiūlymai, kuriuos Komisija laiko prioritetiniais. Komisija planuoja atšaukti 6 pateiktus pasiūlymus bei pasiūlyti panaikinti 1 galiojantį teisės aktą, jiems nebetekus aktualumo.  </w:t>
            </w:r>
          </w:p>
        </w:tc>
      </w:tr>
      <w:tr w:rsidR="001B6FD0" w:rsidRPr="00E1016E" w:rsidTr="00E662D8">
        <w:trPr>
          <w:trHeight w:val="195"/>
        </w:trPr>
        <w:tc>
          <w:tcPr>
            <w:tcW w:w="9641" w:type="dxa"/>
          </w:tcPr>
          <w:p w:rsidR="001B6FD0" w:rsidRPr="00E1016E" w:rsidRDefault="001B6FD0" w:rsidP="00E1016E">
            <w:pPr>
              <w:jc w:val="both"/>
              <w:rPr>
                <w:rFonts w:ascii="Times New Roman" w:hAnsi="Times New Roman" w:cs="Times New Roman"/>
                <w:sz w:val="24"/>
                <w:szCs w:val="24"/>
              </w:rPr>
            </w:pPr>
          </w:p>
        </w:tc>
      </w:tr>
      <w:tr w:rsidR="001B6FD0" w:rsidRPr="00E1016E" w:rsidTr="00E662D8">
        <w:trPr>
          <w:trHeight w:val="370"/>
        </w:trPr>
        <w:tc>
          <w:tcPr>
            <w:tcW w:w="9641" w:type="dxa"/>
          </w:tcPr>
          <w:p w:rsidR="001B6FD0" w:rsidRPr="00E1016E" w:rsidRDefault="001B6FD0" w:rsidP="00E1016E">
            <w:pPr>
              <w:jc w:val="both"/>
              <w:rPr>
                <w:rFonts w:ascii="Times New Roman" w:hAnsi="Times New Roman" w:cs="Times New Roman"/>
                <w:sz w:val="24"/>
                <w:szCs w:val="24"/>
              </w:rPr>
            </w:pPr>
            <w:r w:rsidRPr="00E1016E">
              <w:rPr>
                <w:rFonts w:ascii="Times New Roman" w:hAnsi="Times New Roman" w:cs="Times New Roman"/>
                <w:sz w:val="24"/>
                <w:szCs w:val="24"/>
              </w:rPr>
              <w:t>BRT diskusijos pagrindu bus rengiama Tarybos, Komisijos ir Europos Parlamento bendra deklaracija dėl prioritetinių teisėkūros klausimų.</w:t>
            </w:r>
          </w:p>
        </w:tc>
      </w:tr>
      <w:tr w:rsidR="001B6FD0" w:rsidRPr="00E1016E" w:rsidTr="00E662D8">
        <w:trPr>
          <w:trHeight w:val="195"/>
        </w:trPr>
        <w:tc>
          <w:tcPr>
            <w:tcW w:w="9641" w:type="dxa"/>
          </w:tcPr>
          <w:p w:rsidR="001B6FD0" w:rsidRPr="00E1016E" w:rsidRDefault="001B6FD0" w:rsidP="00E1016E">
            <w:pPr>
              <w:jc w:val="both"/>
              <w:rPr>
                <w:rFonts w:ascii="Times New Roman" w:hAnsi="Times New Roman" w:cs="Times New Roman"/>
                <w:sz w:val="24"/>
                <w:szCs w:val="24"/>
              </w:rPr>
            </w:pPr>
          </w:p>
        </w:tc>
      </w:tr>
      <w:tr w:rsidR="001B6FD0" w:rsidRPr="00E1016E" w:rsidTr="00E662D8">
        <w:trPr>
          <w:trHeight w:val="380"/>
        </w:trPr>
        <w:tc>
          <w:tcPr>
            <w:tcW w:w="9641" w:type="dxa"/>
          </w:tcPr>
          <w:p w:rsidR="001B6FD0" w:rsidRPr="00E1016E" w:rsidRDefault="001B6FD0" w:rsidP="00E1016E">
            <w:pPr>
              <w:jc w:val="both"/>
              <w:rPr>
                <w:rFonts w:ascii="Times New Roman" w:hAnsi="Times New Roman" w:cs="Times New Roman"/>
                <w:sz w:val="24"/>
                <w:szCs w:val="24"/>
              </w:rPr>
            </w:pPr>
            <w:r w:rsidRPr="00E1016E">
              <w:rPr>
                <w:rFonts w:ascii="Times New Roman" w:hAnsi="Times New Roman" w:cs="Times New Roman"/>
                <w:sz w:val="24"/>
                <w:szCs w:val="24"/>
              </w:rPr>
              <w:t xml:space="preserve">Komisijos pasiūlymai 2022 metams išdėstyti nuo Europos Komisijos kadencijos pradžios išskiriamose 6 prioritetinėse srityse. </w:t>
            </w:r>
          </w:p>
        </w:tc>
      </w:tr>
      <w:tr w:rsidR="001B6FD0" w:rsidRPr="00E1016E" w:rsidTr="00E662D8">
        <w:trPr>
          <w:trHeight w:val="185"/>
        </w:trPr>
        <w:tc>
          <w:tcPr>
            <w:tcW w:w="9641" w:type="dxa"/>
          </w:tcPr>
          <w:p w:rsidR="001B6FD0" w:rsidRPr="00E1016E" w:rsidRDefault="001B6FD0" w:rsidP="00E1016E">
            <w:pPr>
              <w:jc w:val="both"/>
              <w:rPr>
                <w:rFonts w:ascii="Times New Roman" w:hAnsi="Times New Roman" w:cs="Times New Roman"/>
                <w:sz w:val="24"/>
                <w:szCs w:val="24"/>
              </w:rPr>
            </w:pPr>
          </w:p>
        </w:tc>
      </w:tr>
      <w:tr w:rsidR="001B6FD0" w:rsidRPr="00E1016E" w:rsidTr="00E662D8">
        <w:trPr>
          <w:trHeight w:val="750"/>
        </w:trPr>
        <w:tc>
          <w:tcPr>
            <w:tcW w:w="9641" w:type="dxa"/>
          </w:tcPr>
          <w:p w:rsidR="001B6FD0" w:rsidRPr="00E1016E" w:rsidRDefault="001B6FD0" w:rsidP="00E1016E">
            <w:pPr>
              <w:jc w:val="both"/>
              <w:rPr>
                <w:rFonts w:ascii="Times New Roman" w:hAnsi="Times New Roman" w:cs="Times New Roman"/>
                <w:sz w:val="24"/>
                <w:szCs w:val="24"/>
              </w:rPr>
            </w:pPr>
            <w:r w:rsidRPr="00E1016E">
              <w:rPr>
                <w:rFonts w:ascii="Times New Roman" w:hAnsi="Times New Roman" w:cs="Times New Roman"/>
                <w:sz w:val="24"/>
                <w:szCs w:val="24"/>
              </w:rPr>
              <w:t xml:space="preserve">Europos žaliojo kurso srityje, numatomi pasiūlymai dėl anglies dioksido šalinimo sertifikavimo, siekiant padidinti tvarų anglies dioksido šalinimą ir sukurti naują verslo modelį. Nulinės taršos veiksmų plane numatomas dėmesys paviršinio ir gruntinio vandens taršai. Siekiant prisidėti prie </w:t>
            </w:r>
            <w:r w:rsidRPr="00E1016E">
              <w:rPr>
                <w:rFonts w:ascii="Times New Roman" w:hAnsi="Times New Roman" w:cs="Times New Roman"/>
                <w:sz w:val="24"/>
                <w:szCs w:val="24"/>
              </w:rPr>
              <w:lastRenderedPageBreak/>
              <w:t>žiedinės ekonomikos tikslų, bus stiprinamos vartotojų teisės į produktų remontą sąžiningomis kainomis. Bus remiamas perėjimas prie atsinaujinančių energijos šaltinių – Komisija numato pateikti Komunikatą dėl saulės energetikos. Išorės politikos srityje numatoma didinti finansavimą bioįvairovei skatinti, prisidėti prie klimato srities finansavimo mažiau išsivysčiusiose ir klimato kaitos labiau paveiktose šalyse. Žalesnio ir tvaresnio žemės ūkio srityje planuojamas darbas su valstybėmis narėmis dėl ambicingų nacionalinių strateginių planų, kuriais būtų įgyvendinti BŽŪP ir ES žaliojo kurso tikslai.</w:t>
            </w:r>
          </w:p>
        </w:tc>
      </w:tr>
      <w:tr w:rsidR="001B6FD0" w:rsidRPr="00E1016E" w:rsidTr="00E662D8">
        <w:trPr>
          <w:trHeight w:val="98"/>
        </w:trPr>
        <w:tc>
          <w:tcPr>
            <w:tcW w:w="9641" w:type="dxa"/>
          </w:tcPr>
          <w:p w:rsidR="001B6FD0" w:rsidRPr="00E1016E" w:rsidRDefault="001B6FD0" w:rsidP="00E1016E">
            <w:pPr>
              <w:jc w:val="both"/>
              <w:rPr>
                <w:rFonts w:ascii="Times New Roman" w:hAnsi="Times New Roman" w:cs="Times New Roman"/>
                <w:sz w:val="24"/>
                <w:szCs w:val="24"/>
              </w:rPr>
            </w:pPr>
          </w:p>
        </w:tc>
      </w:tr>
      <w:tr w:rsidR="001B6FD0" w:rsidRPr="00E1016E" w:rsidTr="00E662D8">
        <w:trPr>
          <w:trHeight w:val="98"/>
        </w:trPr>
        <w:tc>
          <w:tcPr>
            <w:tcW w:w="9641" w:type="dxa"/>
          </w:tcPr>
          <w:p w:rsidR="001B6FD0" w:rsidRPr="00E1016E" w:rsidRDefault="001B6FD0" w:rsidP="00E1016E">
            <w:pPr>
              <w:jc w:val="both"/>
              <w:rPr>
                <w:rFonts w:ascii="Times New Roman" w:hAnsi="Times New Roman" w:cs="Times New Roman"/>
                <w:sz w:val="24"/>
                <w:szCs w:val="24"/>
              </w:rPr>
            </w:pPr>
            <w:r w:rsidRPr="00E1016E">
              <w:rPr>
                <w:rFonts w:ascii="Times New Roman" w:hAnsi="Times New Roman" w:cs="Times New Roman"/>
                <w:sz w:val="24"/>
                <w:szCs w:val="24"/>
              </w:rPr>
              <w:t>Dėl Europos, pasirengusios skaitmeniniam amžiui, suprasdama bendrosios rinkos svarbą Europos ekonomikai, Komisija pateiks pasiūlymą dėl Bendrosios rinkos veikimo užtikrinimo ekstremaliose situacijose priemonės. Pandemija atskleidė ES priklausomybę nuo kai kurių strategiškai svarbų prekių, tokių kaip lustai, tiekimo. Į tai reaguodama, Komisija pateiks pasiūlymą dėl Europos lustų akto (</w:t>
            </w:r>
            <w:proofErr w:type="spellStart"/>
            <w:r w:rsidRPr="00E1016E">
              <w:rPr>
                <w:rFonts w:ascii="Times New Roman" w:hAnsi="Times New Roman" w:cs="Times New Roman"/>
                <w:sz w:val="24"/>
                <w:szCs w:val="24"/>
              </w:rPr>
              <w:t>European</w:t>
            </w:r>
            <w:proofErr w:type="spellEnd"/>
            <w:r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Chips</w:t>
            </w:r>
            <w:proofErr w:type="spellEnd"/>
            <w:r w:rsidRPr="00E1016E">
              <w:rPr>
                <w:rFonts w:ascii="Times New Roman" w:hAnsi="Times New Roman" w:cs="Times New Roman"/>
                <w:sz w:val="24"/>
                <w:szCs w:val="24"/>
              </w:rPr>
              <w:t xml:space="preserve"> </w:t>
            </w:r>
            <w:proofErr w:type="spellStart"/>
            <w:r w:rsidRPr="00E1016E">
              <w:rPr>
                <w:rFonts w:ascii="Times New Roman" w:hAnsi="Times New Roman" w:cs="Times New Roman"/>
                <w:sz w:val="24"/>
                <w:szCs w:val="24"/>
              </w:rPr>
              <w:t>Act</w:t>
            </w:r>
            <w:proofErr w:type="spellEnd"/>
            <w:r w:rsidRPr="00E1016E">
              <w:rPr>
                <w:rFonts w:ascii="Times New Roman" w:hAnsi="Times New Roman" w:cs="Times New Roman"/>
                <w:sz w:val="24"/>
                <w:szCs w:val="24"/>
              </w:rPr>
              <w:t xml:space="preserve">), kad ES gebėtų didinti inovacijų </w:t>
            </w:r>
            <w:proofErr w:type="spellStart"/>
            <w:r w:rsidRPr="00E1016E">
              <w:rPr>
                <w:rFonts w:ascii="Times New Roman" w:hAnsi="Times New Roman" w:cs="Times New Roman"/>
                <w:sz w:val="24"/>
                <w:szCs w:val="24"/>
              </w:rPr>
              <w:t>pajėgumus</w:t>
            </w:r>
            <w:proofErr w:type="spellEnd"/>
            <w:r w:rsidRPr="00E1016E">
              <w:rPr>
                <w:rFonts w:ascii="Times New Roman" w:hAnsi="Times New Roman" w:cs="Times New Roman"/>
                <w:sz w:val="24"/>
                <w:szCs w:val="24"/>
              </w:rPr>
              <w:t xml:space="preserve">, tiekimo saugumą ir vystyti Europos technologijų rinką. Siekiant saugumo skaitmeninėje srityje, Komisija pateiks pasiūlymą dėl Europos kibernetinio atsparumo – bendrų kibernetinio saugumo standartų produktams sukūrimo. Komisija planuoja pateikti veiksmų planą dėl spartesnės energetikos sektoriaus skaitmeninės transformacijos. Ypatingas dėmesys skiriamas piliečių skaitmeniniams įgūdžiams ir švietimui. Komisija pateiks dvi rekomendacijas, susijusias su skaitmeninių įgūdžių švietimo ir mokymų srityje gerinimu bei skaitmeninį švietimą skatinančiais veiksniais. Skaitmeniniai sprendimai taip pat gali prisidėti prie tvaresnio ir labiau integruoto </w:t>
            </w:r>
            <w:proofErr w:type="spellStart"/>
            <w:r w:rsidRPr="00E1016E">
              <w:rPr>
                <w:rFonts w:ascii="Times New Roman" w:hAnsi="Times New Roman" w:cs="Times New Roman"/>
                <w:sz w:val="24"/>
                <w:szCs w:val="24"/>
              </w:rPr>
              <w:t>judumo</w:t>
            </w:r>
            <w:proofErr w:type="spellEnd"/>
            <w:r w:rsidRPr="00E1016E">
              <w:rPr>
                <w:rFonts w:ascii="Times New Roman" w:hAnsi="Times New Roman" w:cs="Times New Roman"/>
                <w:sz w:val="24"/>
                <w:szCs w:val="24"/>
              </w:rPr>
              <w:t xml:space="preserve">. EK pateiks teisėkūros pasiūlymą dėl daugiarūšio skaitmeninio </w:t>
            </w:r>
            <w:proofErr w:type="spellStart"/>
            <w:r w:rsidRPr="00E1016E">
              <w:rPr>
                <w:rFonts w:ascii="Times New Roman" w:hAnsi="Times New Roman" w:cs="Times New Roman"/>
                <w:sz w:val="24"/>
                <w:szCs w:val="24"/>
              </w:rPr>
              <w:t>judumo</w:t>
            </w:r>
            <w:proofErr w:type="spellEnd"/>
            <w:r w:rsidRPr="00E1016E">
              <w:rPr>
                <w:rFonts w:ascii="Times New Roman" w:hAnsi="Times New Roman" w:cs="Times New Roman"/>
                <w:sz w:val="24"/>
                <w:szCs w:val="24"/>
              </w:rPr>
              <w:t xml:space="preserve"> paslaugų.</w:t>
            </w:r>
          </w:p>
        </w:tc>
      </w:tr>
      <w:tr w:rsidR="001B6FD0" w:rsidRPr="00E1016E" w:rsidTr="00E662D8">
        <w:trPr>
          <w:trHeight w:val="98"/>
        </w:trPr>
        <w:tc>
          <w:tcPr>
            <w:tcW w:w="9641" w:type="dxa"/>
          </w:tcPr>
          <w:p w:rsidR="001B6FD0" w:rsidRPr="00E1016E" w:rsidRDefault="001B6FD0" w:rsidP="00E1016E">
            <w:pPr>
              <w:jc w:val="both"/>
              <w:rPr>
                <w:rFonts w:ascii="Times New Roman" w:hAnsi="Times New Roman" w:cs="Times New Roman"/>
                <w:sz w:val="24"/>
                <w:szCs w:val="24"/>
              </w:rPr>
            </w:pPr>
          </w:p>
        </w:tc>
      </w:tr>
      <w:tr w:rsidR="001B6FD0" w:rsidRPr="00E1016E" w:rsidTr="00E662D8">
        <w:trPr>
          <w:trHeight w:val="98"/>
        </w:trPr>
        <w:tc>
          <w:tcPr>
            <w:tcW w:w="9641" w:type="dxa"/>
          </w:tcPr>
          <w:p w:rsidR="001B6FD0" w:rsidRPr="00E1016E" w:rsidRDefault="001B6FD0" w:rsidP="00E1016E">
            <w:pPr>
              <w:jc w:val="both"/>
              <w:rPr>
                <w:rFonts w:ascii="Times New Roman" w:hAnsi="Times New Roman" w:cs="Times New Roman"/>
                <w:sz w:val="24"/>
                <w:szCs w:val="24"/>
              </w:rPr>
            </w:pPr>
            <w:r w:rsidRPr="00E1016E">
              <w:rPr>
                <w:rFonts w:ascii="Times New Roman" w:hAnsi="Times New Roman" w:cs="Times New Roman"/>
                <w:sz w:val="24"/>
                <w:szCs w:val="24"/>
              </w:rPr>
              <w:t>Siekiant žmonėms tarnaujančios ekonomikos, bus teikiama rekomendacija dėl minimalių pajamų, pasiūlymas dėl darbuotojų apsaugos nuo rizikos, susijusių su asbesto poveikiu darbe. Bus siekiama palengvinti MVĮ prieigą prie kapitalo. Po globalaus susitarimo dėl mokesčių reformos bus siekiama ES lyderystės globalių mokesčių teisingumo srityje.</w:t>
            </w:r>
          </w:p>
        </w:tc>
      </w:tr>
      <w:tr w:rsidR="001B6FD0" w:rsidRPr="00E1016E" w:rsidTr="00E662D8">
        <w:trPr>
          <w:trHeight w:val="98"/>
        </w:trPr>
        <w:tc>
          <w:tcPr>
            <w:tcW w:w="9641" w:type="dxa"/>
          </w:tcPr>
          <w:p w:rsidR="001B6FD0" w:rsidRPr="00E1016E" w:rsidRDefault="001B6FD0" w:rsidP="00E1016E">
            <w:pPr>
              <w:jc w:val="both"/>
              <w:rPr>
                <w:rFonts w:ascii="Times New Roman" w:hAnsi="Times New Roman" w:cs="Times New Roman"/>
                <w:sz w:val="24"/>
                <w:szCs w:val="24"/>
              </w:rPr>
            </w:pPr>
          </w:p>
        </w:tc>
      </w:tr>
      <w:tr w:rsidR="001B6FD0" w:rsidRPr="00E1016E" w:rsidTr="00E662D8">
        <w:trPr>
          <w:trHeight w:val="98"/>
        </w:trPr>
        <w:tc>
          <w:tcPr>
            <w:tcW w:w="9641" w:type="dxa"/>
          </w:tcPr>
          <w:p w:rsidR="001B6FD0" w:rsidRPr="00E1016E" w:rsidRDefault="001B6FD0" w:rsidP="00E1016E">
            <w:pPr>
              <w:jc w:val="both"/>
              <w:rPr>
                <w:rFonts w:ascii="Times New Roman" w:hAnsi="Times New Roman" w:cs="Times New Roman"/>
                <w:sz w:val="24"/>
                <w:szCs w:val="24"/>
              </w:rPr>
            </w:pPr>
            <w:r w:rsidRPr="00E1016E">
              <w:rPr>
                <w:rFonts w:ascii="Times New Roman" w:hAnsi="Times New Roman" w:cs="Times New Roman"/>
                <w:sz w:val="24"/>
                <w:szCs w:val="24"/>
              </w:rPr>
              <w:t>Vardan stipresnės Europos pasaulyje, Komisija parengs gynybos paketą, kuris apims gaires dėl saugumo ir gynybos technologijų, siekiant skatinti tyrimus, technologijų vystymą, inovacijas, mažinti ES priklausomybę kritiškai svarbių technologijų srityje. Bus pateiktas pasiūlymas dėl Blokavimo statuto reglamento, siekiant apsaugoti ES piliečius ir įmones. Siekiant energijos tiekimo saugumo, švarių technologijų ir atviros rinkos, bus pasiūlyta tarptautinės energijos įsitraukimo strategija. Taip pat numatoma siūlyti veiksmų planą dėl tarptautinės vandenynų valdysenos. Planuojamas ir Bendras komunikatas dėl strateginės partnerystės su Persijos įlankos valstybėmis.</w:t>
            </w:r>
          </w:p>
        </w:tc>
      </w:tr>
      <w:tr w:rsidR="001B6FD0" w:rsidRPr="00E1016E" w:rsidTr="00E662D8">
        <w:trPr>
          <w:trHeight w:val="98"/>
        </w:trPr>
        <w:tc>
          <w:tcPr>
            <w:tcW w:w="9641" w:type="dxa"/>
          </w:tcPr>
          <w:p w:rsidR="001B6FD0" w:rsidRPr="00E1016E" w:rsidRDefault="001B6FD0" w:rsidP="00E1016E">
            <w:pPr>
              <w:jc w:val="both"/>
              <w:rPr>
                <w:rFonts w:ascii="Times New Roman" w:hAnsi="Times New Roman" w:cs="Times New Roman"/>
                <w:sz w:val="24"/>
                <w:szCs w:val="24"/>
              </w:rPr>
            </w:pPr>
          </w:p>
        </w:tc>
      </w:tr>
      <w:tr w:rsidR="001B6FD0" w:rsidRPr="00E1016E" w:rsidTr="00E662D8">
        <w:trPr>
          <w:trHeight w:val="98"/>
        </w:trPr>
        <w:tc>
          <w:tcPr>
            <w:tcW w:w="9641" w:type="dxa"/>
          </w:tcPr>
          <w:p w:rsidR="001B6FD0" w:rsidRPr="00E1016E" w:rsidRDefault="001B6FD0" w:rsidP="00E1016E">
            <w:pPr>
              <w:jc w:val="both"/>
              <w:rPr>
                <w:rFonts w:ascii="Times New Roman" w:hAnsi="Times New Roman" w:cs="Times New Roman"/>
                <w:sz w:val="24"/>
                <w:szCs w:val="24"/>
              </w:rPr>
            </w:pPr>
            <w:r w:rsidRPr="00E1016E">
              <w:rPr>
                <w:rFonts w:ascii="Times New Roman" w:hAnsi="Times New Roman" w:cs="Times New Roman"/>
                <w:sz w:val="24"/>
                <w:szCs w:val="24"/>
              </w:rPr>
              <w:t xml:space="preserve">Dėl europinio gyvenimo būdo skatinimo,  numatoma universitetų strategija, pasiūlymas dėl ES farmacijos sektoriaus struktūros, rekomendacija dėl vėžio patikros. Komisija pateiks ES priežiūros strategiją, skirtą tiek priežiūrą teikiantiems, tiek ją gaunantiems asmenims, įskaitant vaikų ir ilgalaikę priežiūrą. Strategiją sudarys komunikatas dėl ES priežiūros strategijos, Barselonos tikslų peržiūra ir rekomendacija dėl ilgalaikės priežiūros. Komisija ketina tęsti diskusijas dėl Naujojo migracijos ir prieglobsčio pakto (pasiūlymai jau pateikti 2020 m.). Atsižvelgiant į įvykius, susijusius su Baltarusija ir Afganistanu, ES teisės pakeitimai migracijos srityje yra būtini. Naujasis Paktas, anot Komisijos, apima visus būtinus elementus, kurie yra reikalingi gerai subalansuotai ES migracijos politikai, kuri būtų naudinga valstybėms narėms. Komisija ketina tęsti glaudų darbą su Europos Parlamentu ir valstybėmis narėmis siekiant sukurti patvarią Europos migracijos valdymo politiką. </w:t>
            </w:r>
          </w:p>
        </w:tc>
      </w:tr>
      <w:tr w:rsidR="001B6FD0" w:rsidRPr="00E1016E" w:rsidTr="00E662D8">
        <w:trPr>
          <w:trHeight w:val="98"/>
        </w:trPr>
        <w:tc>
          <w:tcPr>
            <w:tcW w:w="9641" w:type="dxa"/>
          </w:tcPr>
          <w:p w:rsidR="001B6FD0" w:rsidRPr="00E1016E" w:rsidRDefault="001B6FD0" w:rsidP="00E1016E">
            <w:pPr>
              <w:jc w:val="both"/>
              <w:rPr>
                <w:rFonts w:ascii="Times New Roman" w:hAnsi="Times New Roman" w:cs="Times New Roman"/>
                <w:sz w:val="24"/>
                <w:szCs w:val="24"/>
              </w:rPr>
            </w:pPr>
          </w:p>
        </w:tc>
      </w:tr>
      <w:tr w:rsidR="001B6FD0" w:rsidRPr="00E1016E" w:rsidTr="00E662D8">
        <w:trPr>
          <w:trHeight w:val="98"/>
        </w:trPr>
        <w:tc>
          <w:tcPr>
            <w:tcW w:w="9641" w:type="dxa"/>
          </w:tcPr>
          <w:p w:rsidR="001B6FD0" w:rsidRPr="00E1016E" w:rsidRDefault="001B6FD0" w:rsidP="00E1016E">
            <w:pPr>
              <w:jc w:val="both"/>
              <w:rPr>
                <w:rFonts w:ascii="Times New Roman" w:hAnsi="Times New Roman" w:cs="Times New Roman"/>
                <w:sz w:val="24"/>
                <w:szCs w:val="24"/>
              </w:rPr>
            </w:pPr>
            <w:r w:rsidRPr="00E1016E">
              <w:rPr>
                <w:rFonts w:ascii="Times New Roman" w:hAnsi="Times New Roman" w:cs="Times New Roman"/>
                <w:sz w:val="24"/>
                <w:szCs w:val="24"/>
              </w:rPr>
              <w:t>Siekiant naujo postūmio Europos demokratijai, bus pasiūlytas Europos žiniasklaidos laisvės aktas, numatomos iniciatyvos lygybės srityje.</w:t>
            </w:r>
          </w:p>
        </w:tc>
      </w:tr>
      <w:tr w:rsidR="001B6FD0" w:rsidRPr="00E1016E" w:rsidTr="00E662D8">
        <w:trPr>
          <w:trHeight w:val="98"/>
        </w:trPr>
        <w:tc>
          <w:tcPr>
            <w:tcW w:w="9641" w:type="dxa"/>
          </w:tcPr>
          <w:p w:rsidR="001B6FD0" w:rsidRPr="00E1016E" w:rsidRDefault="001B6FD0" w:rsidP="00E1016E">
            <w:pPr>
              <w:jc w:val="both"/>
              <w:rPr>
                <w:rFonts w:ascii="Times New Roman" w:hAnsi="Times New Roman" w:cs="Times New Roman"/>
                <w:b/>
                <w:sz w:val="24"/>
                <w:szCs w:val="24"/>
              </w:rPr>
            </w:pPr>
          </w:p>
        </w:tc>
      </w:tr>
      <w:tr w:rsidR="001B6FD0" w:rsidRPr="00E1016E" w:rsidTr="00E662D8">
        <w:trPr>
          <w:trHeight w:val="185"/>
        </w:trPr>
        <w:tc>
          <w:tcPr>
            <w:tcW w:w="9641" w:type="dxa"/>
          </w:tcPr>
          <w:p w:rsidR="00E3123D" w:rsidRDefault="00A741BF" w:rsidP="00E1016E">
            <w:pPr>
              <w:jc w:val="both"/>
              <w:rPr>
                <w:rFonts w:ascii="Times New Roman" w:hAnsi="Times New Roman" w:cs="Times New Roman"/>
                <w:b/>
                <w:sz w:val="24"/>
                <w:szCs w:val="24"/>
              </w:rPr>
            </w:pPr>
            <w:r w:rsidRPr="00E1016E">
              <w:rPr>
                <w:rFonts w:ascii="Times New Roman" w:hAnsi="Times New Roman" w:cs="Times New Roman"/>
                <w:b/>
                <w:sz w:val="24"/>
                <w:szCs w:val="24"/>
                <w:u w:val="single"/>
              </w:rPr>
              <w:lastRenderedPageBreak/>
              <w:t>Lietuvos pozicija</w:t>
            </w:r>
            <w:r w:rsidRPr="00E1016E">
              <w:rPr>
                <w:rFonts w:ascii="Times New Roman" w:hAnsi="Times New Roman" w:cs="Times New Roman"/>
                <w:b/>
                <w:sz w:val="24"/>
                <w:szCs w:val="24"/>
              </w:rPr>
              <w:t xml:space="preserve">. </w:t>
            </w:r>
          </w:p>
          <w:p w:rsidR="00E3123D" w:rsidRDefault="00E3123D" w:rsidP="00E1016E">
            <w:pPr>
              <w:jc w:val="both"/>
              <w:rPr>
                <w:rFonts w:ascii="Times New Roman" w:hAnsi="Times New Roman" w:cs="Times New Roman"/>
                <w:sz w:val="24"/>
                <w:szCs w:val="24"/>
              </w:rPr>
            </w:pPr>
          </w:p>
          <w:p w:rsidR="00E3123D" w:rsidRDefault="00E3123D" w:rsidP="00E1016E">
            <w:pPr>
              <w:jc w:val="both"/>
              <w:rPr>
                <w:rFonts w:ascii="Times New Roman" w:hAnsi="Times New Roman" w:cs="Times New Roman"/>
                <w:sz w:val="24"/>
                <w:szCs w:val="24"/>
              </w:rPr>
            </w:pPr>
          </w:p>
          <w:p w:rsidR="001B6FD0" w:rsidRPr="00E1016E" w:rsidRDefault="001B6FD0" w:rsidP="00E1016E">
            <w:pPr>
              <w:jc w:val="both"/>
              <w:rPr>
                <w:rFonts w:ascii="Times New Roman" w:hAnsi="Times New Roman" w:cs="Times New Roman"/>
                <w:sz w:val="24"/>
                <w:szCs w:val="24"/>
              </w:rPr>
            </w:pPr>
            <w:r w:rsidRPr="00E1016E">
              <w:rPr>
                <w:rFonts w:ascii="Times New Roman" w:hAnsi="Times New Roman" w:cs="Times New Roman"/>
                <w:sz w:val="24"/>
                <w:szCs w:val="24"/>
              </w:rPr>
              <w:t>Lietuva palankiai vertina Komisijos darbo programą 2022 metams, kurioje daug Lietuvai labai aktualių klausimų.  Pagal Komisijos darbo programos „naujų iniciatyvų“ dalį (1 priedą) rengiamas Lietuvai aktualiausių ES klausimų sąvadas. Šis sąvadas, jam pritarus LRV pasitarime, bus perduotas Seimui, kuris, vadovaudamasis Seimo statuto 180</w:t>
            </w:r>
            <w:r w:rsidRPr="00E1016E">
              <w:rPr>
                <w:rFonts w:ascii="Times New Roman" w:hAnsi="Times New Roman" w:cs="Times New Roman"/>
                <w:sz w:val="24"/>
                <w:szCs w:val="24"/>
                <w:vertAlign w:val="superscript"/>
              </w:rPr>
              <w:t>4</w:t>
            </w:r>
            <w:r w:rsidRPr="00E1016E">
              <w:rPr>
                <w:rFonts w:ascii="Times New Roman" w:hAnsi="Times New Roman" w:cs="Times New Roman"/>
                <w:sz w:val="24"/>
                <w:szCs w:val="24"/>
              </w:rPr>
              <w:t xml:space="preserve"> str.,  nustatys Lietuvos prioritetus 2022 metams pagal Komisijos darbo programą. </w:t>
            </w:r>
          </w:p>
        </w:tc>
      </w:tr>
      <w:tr w:rsidR="001B6FD0" w:rsidRPr="00E1016E" w:rsidTr="00E662D8">
        <w:trPr>
          <w:trHeight w:val="98"/>
        </w:trPr>
        <w:tc>
          <w:tcPr>
            <w:tcW w:w="9641" w:type="dxa"/>
          </w:tcPr>
          <w:p w:rsidR="001B6FD0" w:rsidRPr="00E1016E" w:rsidRDefault="001B6FD0" w:rsidP="00E1016E">
            <w:pPr>
              <w:jc w:val="both"/>
              <w:rPr>
                <w:rFonts w:ascii="Times New Roman" w:hAnsi="Times New Roman" w:cs="Times New Roman"/>
                <w:sz w:val="24"/>
                <w:szCs w:val="24"/>
              </w:rPr>
            </w:pPr>
          </w:p>
        </w:tc>
      </w:tr>
      <w:tr w:rsidR="001B6FD0" w:rsidRPr="00E1016E" w:rsidTr="00E662D8">
        <w:trPr>
          <w:trHeight w:val="7937"/>
        </w:trPr>
        <w:tc>
          <w:tcPr>
            <w:tcW w:w="9641" w:type="dxa"/>
          </w:tcPr>
          <w:p w:rsidR="00E3123D" w:rsidRPr="00F610E4" w:rsidRDefault="00E3123D" w:rsidP="00E3123D">
            <w:pPr>
              <w:jc w:val="both"/>
              <w:rPr>
                <w:rFonts w:ascii="Times New Roman" w:hAnsi="Times New Roman" w:cs="Times New Roman"/>
                <w:sz w:val="24"/>
                <w:szCs w:val="24"/>
              </w:rPr>
            </w:pPr>
            <w:r w:rsidRPr="00F610E4">
              <w:rPr>
                <w:rFonts w:ascii="Times New Roman" w:hAnsi="Times New Roman" w:cs="Times New Roman"/>
                <w:sz w:val="24"/>
                <w:szCs w:val="24"/>
              </w:rPr>
              <w:t xml:space="preserve">Pritariame ES nulinės taršos veiksmų plane nustatytiems taršos mažinimo tikslams, kuriais siekiama paspartinti Žaliajame kurse numatytą ambiciją – sukurti aplinką be toksinų. Siekiant įgyvendinti pastarąją ambiciją, būtinos papildomos intervencijos taršos stebėsenos, mažinimo ir prevencijos srityse. Tam, kad priemonės būtų priimtos laiku ir tinkamai įgyvendintos, daugiau dėmesio turėtų būti skiriama gyventojų aplinkosauginio sąmoningumo didinimui, visuomenės iniciatyvų skatinimui ir jos įsitraukimui į sprendimų priėmimą. </w:t>
            </w:r>
          </w:p>
          <w:p w:rsidR="00E3123D" w:rsidRPr="00F610E4" w:rsidRDefault="00E3123D" w:rsidP="00E3123D">
            <w:pPr>
              <w:jc w:val="both"/>
              <w:rPr>
                <w:rFonts w:ascii="Times New Roman" w:hAnsi="Times New Roman" w:cs="Times New Roman"/>
                <w:sz w:val="24"/>
                <w:szCs w:val="24"/>
              </w:rPr>
            </w:pPr>
          </w:p>
          <w:p w:rsidR="00E3123D" w:rsidRPr="00F610E4" w:rsidRDefault="00E3123D" w:rsidP="00E3123D">
            <w:pPr>
              <w:jc w:val="both"/>
              <w:rPr>
                <w:rFonts w:ascii="Times New Roman" w:hAnsi="Times New Roman" w:cs="Times New Roman"/>
                <w:sz w:val="24"/>
                <w:szCs w:val="24"/>
              </w:rPr>
            </w:pPr>
            <w:r w:rsidRPr="00F610E4">
              <w:rPr>
                <w:rFonts w:ascii="Times New Roman" w:hAnsi="Times New Roman" w:cs="Times New Roman"/>
                <w:sz w:val="24"/>
                <w:szCs w:val="24"/>
              </w:rPr>
              <w:t>Manome, kad nustatant klimato kaitos įsipareigojimų paskirstymą tarp valstybių narių, būtina užtikrinti nuoseklumą, išlaikant galiojančią ŠESD mažinimo tikslų nustatymo ATLPS nedalyvaujančiuose sektoriuose sistemą ir lankstumo priemones. Svarbu užtikrinti teisingą ir solidarų įsipareigojimų pasidalinimą taikant BVP/gyventojui ir kaštų efektyvumo kriterijus. Raginimai siekti ŠESD mažinimo tikslų konvergencijos neturi pažeisti „nieko nepaliekant nuošalyje“ principo, ir neperkelti įsipareigojimų naštos didžiausius transformacijos iššūkius patiriančioms šalims.</w:t>
            </w:r>
          </w:p>
          <w:p w:rsidR="00E3123D" w:rsidRPr="00F610E4" w:rsidRDefault="00E3123D" w:rsidP="00E3123D">
            <w:pPr>
              <w:jc w:val="both"/>
              <w:rPr>
                <w:rFonts w:ascii="Times New Roman" w:hAnsi="Times New Roman" w:cs="Times New Roman"/>
                <w:sz w:val="24"/>
                <w:szCs w:val="24"/>
              </w:rPr>
            </w:pPr>
          </w:p>
          <w:p w:rsidR="00E3123D" w:rsidRPr="00F610E4" w:rsidRDefault="00E3123D" w:rsidP="00E3123D">
            <w:pPr>
              <w:jc w:val="both"/>
              <w:rPr>
                <w:rFonts w:ascii="Times New Roman" w:hAnsi="Times New Roman" w:cs="Times New Roman"/>
                <w:sz w:val="24"/>
                <w:szCs w:val="24"/>
              </w:rPr>
            </w:pPr>
            <w:r w:rsidRPr="00F610E4">
              <w:rPr>
                <w:rFonts w:ascii="Times New Roman" w:hAnsi="Times New Roman" w:cs="Times New Roman"/>
                <w:sz w:val="24"/>
                <w:szCs w:val="24"/>
              </w:rPr>
              <w:t>Palankiai vertiname sugriežtintus transporto priemonių CO2 mažinimo standartus. Manome, kad įgyvendinus transporto priemonių CO2 mažinimo nuostatas, ženkliai sumažėtų transporto priemonių ŠESD išmetimai bei sumažėtų priklausomybė nuo iškastinio kuro. Taip pat griežtesni standartai paskatintų spartesnį inovacijų diegimą transporto gamybos sektoriuje, ypač gaminant efektyvesnes ir netaršias transporto priemones.</w:t>
            </w:r>
          </w:p>
          <w:p w:rsidR="00E3123D" w:rsidRPr="00F610E4" w:rsidRDefault="00E3123D" w:rsidP="00E3123D">
            <w:pPr>
              <w:jc w:val="both"/>
              <w:rPr>
                <w:rFonts w:ascii="Times New Roman" w:hAnsi="Times New Roman" w:cs="Times New Roman"/>
                <w:sz w:val="24"/>
                <w:szCs w:val="24"/>
              </w:rPr>
            </w:pPr>
          </w:p>
          <w:p w:rsidR="00E3123D" w:rsidRPr="00F610E4" w:rsidRDefault="00E3123D" w:rsidP="00E3123D">
            <w:pPr>
              <w:jc w:val="both"/>
              <w:rPr>
                <w:rFonts w:ascii="Times New Roman" w:hAnsi="Times New Roman" w:cs="Times New Roman"/>
                <w:sz w:val="24"/>
                <w:szCs w:val="24"/>
              </w:rPr>
            </w:pPr>
            <w:r w:rsidRPr="00F610E4">
              <w:rPr>
                <w:rFonts w:ascii="Times New Roman" w:hAnsi="Times New Roman" w:cs="Times New Roman"/>
                <w:sz w:val="24"/>
                <w:szCs w:val="24"/>
              </w:rPr>
              <w:t>Žiedinės ekonomikos srityje palankiai vertiname „teisę į remontą“, kuri suteiktų vartotojui galimybę pataisyti daiktus už prieinamą kainą.  Ypač svarbu, kad nustatant naujus reikalavimus būtų atliktas išsamus poveikio vertinimas ES ir valstybių narių lygiu.</w:t>
            </w:r>
          </w:p>
          <w:p w:rsidR="00E3123D" w:rsidRPr="00F610E4" w:rsidRDefault="00E3123D" w:rsidP="00E3123D">
            <w:pPr>
              <w:jc w:val="both"/>
              <w:rPr>
                <w:rFonts w:ascii="Times New Roman" w:hAnsi="Times New Roman" w:cs="Times New Roman"/>
                <w:sz w:val="24"/>
                <w:szCs w:val="24"/>
              </w:rPr>
            </w:pPr>
          </w:p>
          <w:p w:rsidR="00E3123D" w:rsidRPr="00F610E4" w:rsidRDefault="00E3123D" w:rsidP="00E3123D">
            <w:pPr>
              <w:jc w:val="both"/>
              <w:rPr>
                <w:rFonts w:ascii="Times New Roman" w:hAnsi="Times New Roman" w:cs="Times New Roman"/>
                <w:sz w:val="24"/>
                <w:szCs w:val="24"/>
              </w:rPr>
            </w:pPr>
            <w:r w:rsidRPr="00F610E4">
              <w:rPr>
                <w:rFonts w:ascii="Times New Roman" w:hAnsi="Times New Roman" w:cs="Times New Roman"/>
                <w:sz w:val="24"/>
                <w:szCs w:val="24"/>
              </w:rPr>
              <w:t>Palaikome aukštesnių Bioįvairovės ir „Nuo ūkio iki stalo“ strategijų  aplinkosaugos standartų taikymo svarbą, tačiau nerimą kelia kai kurios numatytų tikslų skaitinės išraiškos, galimas jų pasiekiamumas bei ekonominis ir socialinis poveikis žemės ūkio sektoriui. Sumažėjus efektyvių cheminių pesticidų pasirinkimui, keliant aukštus gyvūnų gerovės reikalavimus ir skatinant tik ekologinius ūkininkavimo būdus, bus sumažintas ūkių konkurencingumas pasaulinėje rinkoje pakeliant maisto produktų kainas galutiniam vartotojui. Matytume išsamus poveikio vertinimo poreikį ES ir valstybių narių lygiu (ekonominio, pasekmių ir technologinio diegimo galimybių ir pan.), kuris iki šiol nėra atliktas.</w:t>
            </w:r>
          </w:p>
          <w:p w:rsidR="00E3123D" w:rsidRPr="00F610E4" w:rsidRDefault="00E3123D" w:rsidP="00E3123D">
            <w:pPr>
              <w:jc w:val="both"/>
              <w:rPr>
                <w:rFonts w:ascii="Times New Roman" w:hAnsi="Times New Roman" w:cs="Times New Roman"/>
                <w:sz w:val="24"/>
                <w:szCs w:val="24"/>
              </w:rPr>
            </w:pPr>
          </w:p>
          <w:p w:rsidR="00E3123D" w:rsidRPr="00F610E4" w:rsidRDefault="00E3123D" w:rsidP="00E3123D">
            <w:pPr>
              <w:jc w:val="both"/>
              <w:rPr>
                <w:rFonts w:ascii="Times New Roman" w:hAnsi="Times New Roman" w:cs="Times New Roman"/>
                <w:sz w:val="24"/>
                <w:szCs w:val="24"/>
              </w:rPr>
            </w:pPr>
            <w:r w:rsidRPr="00F610E4">
              <w:rPr>
                <w:rFonts w:ascii="Times New Roman" w:hAnsi="Times New Roman" w:cs="Times New Roman"/>
                <w:sz w:val="24"/>
                <w:szCs w:val="24"/>
              </w:rPr>
              <w:t xml:space="preserve">Lietuva palankiai vertina EK planą paskelbti komunikatą dėl saulės energetikos. Siekiant ES klimato srities tikslų, perėjimas prie atsinaujinančios energijos vaidins fundamentalų vaidmenį, todėl svarbu skatinti visų rūšių atsinaujinančios energetikos, įskaitant saulės, plėtrą. Lietuvoje šiuo metu (2020 m.) įrengta 164 MW instaliuotos galios saulės elektrinių, iki 2030 m. planuojame turėti 1,25 GW. Labai svarbus bus gaminančių vartotojų ir atsinaujinančios energijos bendrijų skaičiaus augimas – planuojama, kad iki 2030 m. kas trečias Lietuvos gyventojas pats sau pasigamins elektros energiją. Decentralizuotos energijos gamybos plėtra ir vartotojų dalyvavimo įgalinimas, </w:t>
            </w:r>
            <w:r w:rsidRPr="00F610E4">
              <w:rPr>
                <w:rFonts w:ascii="Times New Roman" w:hAnsi="Times New Roman" w:cs="Times New Roman"/>
                <w:sz w:val="24"/>
                <w:szCs w:val="24"/>
              </w:rPr>
              <w:lastRenderedPageBreak/>
              <w:t xml:space="preserve">elektros tinklo integravimo ir subalansavimo sprendimai turėtų būtų svarbi Komunikato dalis. Lietuva remia EK planus pasiūlyti veiksmų planą dėl energetikos sektoriaus </w:t>
            </w:r>
            <w:proofErr w:type="spellStart"/>
            <w:r w:rsidRPr="00F610E4">
              <w:rPr>
                <w:rFonts w:ascii="Times New Roman" w:hAnsi="Times New Roman" w:cs="Times New Roman"/>
                <w:sz w:val="24"/>
                <w:szCs w:val="24"/>
              </w:rPr>
              <w:t>skaitmenizacijos</w:t>
            </w:r>
            <w:proofErr w:type="spellEnd"/>
            <w:r w:rsidRPr="00F610E4">
              <w:rPr>
                <w:rFonts w:ascii="Times New Roman" w:hAnsi="Times New Roman" w:cs="Times New Roman"/>
                <w:sz w:val="24"/>
                <w:szCs w:val="24"/>
              </w:rPr>
              <w:t>. Šiuolaikiniai skaitmeniniai sprendimai padeda didinti energetikos sistemos efektyvumą ir integraciją. Ypač palaikome, kad planuojama skirti daug dėmesio kibernetiniam saugumui. Lietuva palankiai vertina Komisijos planus parengti tarptautinio bendradarbiavimo energetikos srityje strategiją. ES turi stiprinti lyderystę globaliu lygiu, skatinant žaliąjį energetikos perėjimą.</w:t>
            </w:r>
            <w:r>
              <w:rPr>
                <w:rFonts w:ascii="Times New Roman" w:hAnsi="Times New Roman" w:cs="Times New Roman"/>
                <w:sz w:val="24"/>
                <w:szCs w:val="24"/>
              </w:rPr>
              <w:t xml:space="preserve"> Taip pat</w:t>
            </w:r>
            <w:r w:rsidRPr="0080067E">
              <w:rPr>
                <w:rFonts w:ascii="Times New Roman" w:hAnsi="Times New Roman" w:cs="Times New Roman"/>
                <w:sz w:val="24"/>
                <w:szCs w:val="24"/>
              </w:rPr>
              <w:t xml:space="preserve"> labai svarbu, kad ne mažiau dėmesio būtų skiriama energetinio saugumui – energijos šaltinių ir tiekimo kelių diversifikavimui, aukščiausių aplinkosauginių ir branduolinės saugos standartų užtikrinimui trečiosiose šalyse. Taip pat svarbu identifikuoti ir puoselėti glaudų bendradarbiavimą su patikimais ir skaidriais partneriais, tokiais kaip JAV, Japonija, Norvegija. Daug dėmesio išorės veiksmų strategijoje turi būti skiriama ES Rytų partnerystės šalims, didinant šių šalių (ir kartu ES) energetinį saugumą ir dalijantis patirtimi pereinant prie tvarios energetikos.</w:t>
            </w:r>
          </w:p>
          <w:p w:rsidR="00E3123D" w:rsidRPr="00F610E4" w:rsidRDefault="00E3123D" w:rsidP="00E3123D">
            <w:pPr>
              <w:jc w:val="both"/>
              <w:rPr>
                <w:rFonts w:ascii="Times New Roman" w:hAnsi="Times New Roman" w:cs="Times New Roman"/>
                <w:sz w:val="24"/>
                <w:szCs w:val="24"/>
              </w:rPr>
            </w:pPr>
          </w:p>
          <w:p w:rsidR="00E3123D" w:rsidRPr="00F610E4" w:rsidRDefault="00E3123D" w:rsidP="00E3123D">
            <w:pPr>
              <w:jc w:val="both"/>
              <w:rPr>
                <w:rFonts w:ascii="Times New Roman" w:hAnsi="Times New Roman" w:cs="Times New Roman"/>
                <w:sz w:val="24"/>
                <w:szCs w:val="24"/>
              </w:rPr>
            </w:pPr>
            <w:r w:rsidRPr="00F610E4">
              <w:rPr>
                <w:rFonts w:ascii="Times New Roman" w:hAnsi="Times New Roman" w:cs="Times New Roman"/>
                <w:sz w:val="24"/>
                <w:szCs w:val="24"/>
              </w:rPr>
              <w:t xml:space="preserve">Pritariame, kad sėkmingai skaitmeninei transformacijai įgyvendinti svarbu stiprinti technologinius </w:t>
            </w:r>
            <w:proofErr w:type="spellStart"/>
            <w:r w:rsidRPr="00F610E4">
              <w:rPr>
                <w:rFonts w:ascii="Times New Roman" w:hAnsi="Times New Roman" w:cs="Times New Roman"/>
                <w:sz w:val="24"/>
                <w:szCs w:val="24"/>
              </w:rPr>
              <w:t>pajėgumus</w:t>
            </w:r>
            <w:proofErr w:type="spellEnd"/>
            <w:r w:rsidRPr="00F610E4">
              <w:rPr>
                <w:rFonts w:ascii="Times New Roman" w:hAnsi="Times New Roman" w:cs="Times New Roman"/>
                <w:sz w:val="24"/>
                <w:szCs w:val="24"/>
              </w:rPr>
              <w:t xml:space="preserve">, užsitikrinant tokių kritiškai svarbių medžiagų kaip lustai gamybą. Sieksime kuo labiau įsitraukti į procesą, siūlydami savo </w:t>
            </w:r>
            <w:proofErr w:type="spellStart"/>
            <w:r w:rsidRPr="00F610E4">
              <w:rPr>
                <w:rFonts w:ascii="Times New Roman" w:hAnsi="Times New Roman" w:cs="Times New Roman"/>
                <w:sz w:val="24"/>
                <w:szCs w:val="24"/>
              </w:rPr>
              <w:t>pajėgumus</w:t>
            </w:r>
            <w:proofErr w:type="spellEnd"/>
            <w:r w:rsidRPr="00F610E4">
              <w:rPr>
                <w:rFonts w:ascii="Times New Roman" w:hAnsi="Times New Roman" w:cs="Times New Roman"/>
                <w:sz w:val="24"/>
                <w:szCs w:val="24"/>
              </w:rPr>
              <w:t xml:space="preserve">. Pritariame EK siekiams gerinti skaitmeninius įgūdžius per švietimo ir mokymų sritis. Pabrėžiame, kad skaitmeninė transformacija turi būti paremta skaitmeninių įgūdžių stiprinimu, užtikrinančiu, kad ES piliečiai dėl </w:t>
            </w:r>
            <w:proofErr w:type="spellStart"/>
            <w:r w:rsidRPr="00F610E4">
              <w:rPr>
                <w:rFonts w:ascii="Times New Roman" w:hAnsi="Times New Roman" w:cs="Times New Roman"/>
                <w:sz w:val="24"/>
                <w:szCs w:val="24"/>
              </w:rPr>
              <w:t>skaitmenizacijos</w:t>
            </w:r>
            <w:proofErr w:type="spellEnd"/>
            <w:r w:rsidRPr="00F610E4">
              <w:rPr>
                <w:rFonts w:ascii="Times New Roman" w:hAnsi="Times New Roman" w:cs="Times New Roman"/>
                <w:sz w:val="24"/>
                <w:szCs w:val="24"/>
              </w:rPr>
              <w:t xml:space="preserve"> procesų neliks nuošalyje. Pritariame, kad </w:t>
            </w:r>
            <w:proofErr w:type="spellStart"/>
            <w:r w:rsidRPr="00F610E4">
              <w:rPr>
                <w:rFonts w:ascii="Times New Roman" w:hAnsi="Times New Roman" w:cs="Times New Roman"/>
                <w:sz w:val="24"/>
                <w:szCs w:val="24"/>
              </w:rPr>
              <w:t>skaitmenizacija</w:t>
            </w:r>
            <w:proofErr w:type="spellEnd"/>
            <w:r w:rsidRPr="00F610E4">
              <w:rPr>
                <w:rFonts w:ascii="Times New Roman" w:hAnsi="Times New Roman" w:cs="Times New Roman"/>
                <w:sz w:val="24"/>
                <w:szCs w:val="24"/>
              </w:rPr>
              <w:t xml:space="preserve"> itin svarbi ir </w:t>
            </w:r>
            <w:proofErr w:type="spellStart"/>
            <w:r w:rsidRPr="00F610E4">
              <w:rPr>
                <w:rFonts w:ascii="Times New Roman" w:hAnsi="Times New Roman" w:cs="Times New Roman"/>
                <w:sz w:val="24"/>
                <w:szCs w:val="24"/>
              </w:rPr>
              <w:t>judumo</w:t>
            </w:r>
            <w:proofErr w:type="spellEnd"/>
            <w:r w:rsidRPr="00F610E4">
              <w:rPr>
                <w:rFonts w:ascii="Times New Roman" w:hAnsi="Times New Roman" w:cs="Times New Roman"/>
                <w:sz w:val="24"/>
                <w:szCs w:val="24"/>
              </w:rPr>
              <w:t xml:space="preserve"> srityje, įskaitant ir siekį supaprastinti daugiarūšio </w:t>
            </w:r>
            <w:proofErr w:type="spellStart"/>
            <w:r w:rsidRPr="00F610E4">
              <w:rPr>
                <w:rFonts w:ascii="Times New Roman" w:hAnsi="Times New Roman" w:cs="Times New Roman"/>
                <w:sz w:val="24"/>
                <w:szCs w:val="24"/>
              </w:rPr>
              <w:t>judumo</w:t>
            </w:r>
            <w:proofErr w:type="spellEnd"/>
            <w:r w:rsidRPr="00F610E4">
              <w:rPr>
                <w:rFonts w:ascii="Times New Roman" w:hAnsi="Times New Roman" w:cs="Times New Roman"/>
                <w:sz w:val="24"/>
                <w:szCs w:val="24"/>
              </w:rPr>
              <w:t xml:space="preserve"> paslaugas, diegiant skaitmeninius sprendimus.</w:t>
            </w:r>
          </w:p>
          <w:p w:rsidR="00E3123D" w:rsidRPr="00F610E4" w:rsidRDefault="00E3123D" w:rsidP="00E3123D">
            <w:pPr>
              <w:jc w:val="both"/>
              <w:rPr>
                <w:rFonts w:ascii="Times New Roman" w:hAnsi="Times New Roman" w:cs="Times New Roman"/>
                <w:bCs/>
                <w:sz w:val="24"/>
                <w:szCs w:val="24"/>
              </w:rPr>
            </w:pPr>
          </w:p>
          <w:p w:rsidR="00E3123D" w:rsidRPr="00F610E4" w:rsidRDefault="00E3123D" w:rsidP="00E3123D">
            <w:pPr>
              <w:jc w:val="both"/>
              <w:rPr>
                <w:rFonts w:ascii="Times New Roman" w:hAnsi="Times New Roman" w:cs="Times New Roman"/>
                <w:bCs/>
                <w:sz w:val="24"/>
                <w:szCs w:val="24"/>
              </w:rPr>
            </w:pPr>
            <w:r w:rsidRPr="00F610E4">
              <w:rPr>
                <w:rFonts w:ascii="Times New Roman" w:hAnsi="Times New Roman" w:cs="Times New Roman"/>
                <w:bCs/>
                <w:sz w:val="24"/>
                <w:szCs w:val="24"/>
              </w:rPr>
              <w:t>Mokesčių srityje Lietuva nuosekliai rėmė tarptautines diskusijas, kuriomis siekta globalaus susitarimo dėl tarptautinių kompanijų apmokestinimo. Labai svarbu, kad po šio susitarimo ES neatsirastų fragmentacija dėl skirtingo susitarimo traktavimo. P</w:t>
            </w:r>
            <w:r w:rsidRPr="00F610E4">
              <w:rPr>
                <w:rFonts w:ascii="Times New Roman" w:hAnsi="Times New Roman" w:cs="Times New Roman"/>
                <w:sz w:val="24"/>
                <w:szCs w:val="24"/>
              </w:rPr>
              <w:t>ritariame, kad svarbu gerinti darbuotojų apsaugą nuo rizikos, kuri gali kilti darbe, įskaitant ir asbesto keliamos žalos mažinimą. Pritariame dėl minimalių pajamų apsaugos stiprinimo, kovojant su skurdu ir socialine atskirtimi. Svarbu stiprinti nacionalinių minimalių pajamų apsaugos sistemų prieinamumą ir adekvatumą. Svarbu, kad minimalių pajamų apsaugos sistemos būtų apibrėžiamos ne tik kaip padedančios palaikyti pajamas, bet ir kaip socialinė investicija, padedanti išlaikyti žmogiškojo kapitalo kokybę ir orų gyvenimą.</w:t>
            </w:r>
          </w:p>
          <w:p w:rsidR="00E3123D" w:rsidRPr="00F610E4" w:rsidRDefault="00E3123D" w:rsidP="00E3123D">
            <w:pPr>
              <w:jc w:val="both"/>
              <w:rPr>
                <w:rFonts w:ascii="Times New Roman" w:hAnsi="Times New Roman" w:cs="Times New Roman"/>
                <w:sz w:val="24"/>
                <w:szCs w:val="24"/>
              </w:rPr>
            </w:pPr>
          </w:p>
          <w:p w:rsidR="00E3123D" w:rsidRPr="00F610E4" w:rsidRDefault="00E3123D" w:rsidP="00E3123D">
            <w:pPr>
              <w:jc w:val="both"/>
              <w:rPr>
                <w:rFonts w:ascii="Times New Roman" w:hAnsi="Times New Roman" w:cs="Times New Roman"/>
                <w:sz w:val="24"/>
                <w:szCs w:val="24"/>
              </w:rPr>
            </w:pPr>
            <w:r w:rsidRPr="00F610E4">
              <w:rPr>
                <w:rFonts w:ascii="Times New Roman" w:hAnsi="Times New Roman" w:cs="Times New Roman"/>
                <w:sz w:val="24"/>
                <w:szCs w:val="24"/>
              </w:rPr>
              <w:t>Remiame ES iniciatyvas junglumo srityje. Pritariame, kad ES turi išplėsti junglumo strategiją globaliai. Išmanusis junglumas turėtų remtis ne tik infrastruktūros stiprinimu, bet ir transporto ir logistikos, energetikos tiekimo, žmogiškojo kapitalo didesniu skaitmenizavimu. Norint padidinti ES junglumo politinį svorį, būtina aiškiai identifikuoti ES ekonominius interesus ir jų gynimo priemones, remtis ES vertybėmis ir standartais, dirbti su vienminčiais partneriais, ypač JAV, ir regionais bei sukurti aiškią komunikacijos ir įvaizdžio (</w:t>
            </w:r>
            <w:proofErr w:type="spellStart"/>
            <w:r w:rsidRPr="00F610E4">
              <w:rPr>
                <w:rFonts w:ascii="Times New Roman" w:hAnsi="Times New Roman" w:cs="Times New Roman"/>
                <w:sz w:val="24"/>
                <w:szCs w:val="24"/>
              </w:rPr>
              <w:t>branding</w:t>
            </w:r>
            <w:proofErr w:type="spellEnd"/>
            <w:r w:rsidRPr="00F610E4">
              <w:rPr>
                <w:rFonts w:ascii="Times New Roman" w:hAnsi="Times New Roman" w:cs="Times New Roman"/>
                <w:sz w:val="24"/>
                <w:szCs w:val="24"/>
              </w:rPr>
              <w:t>) strategiją.</w:t>
            </w:r>
          </w:p>
          <w:p w:rsidR="00E3123D" w:rsidRPr="00F610E4" w:rsidRDefault="00E3123D" w:rsidP="00E3123D">
            <w:pPr>
              <w:jc w:val="both"/>
              <w:rPr>
                <w:rFonts w:ascii="Times New Roman" w:hAnsi="Times New Roman" w:cs="Times New Roman"/>
                <w:sz w:val="24"/>
                <w:szCs w:val="24"/>
              </w:rPr>
            </w:pPr>
          </w:p>
          <w:p w:rsidR="00E3123D" w:rsidRPr="00F610E4" w:rsidRDefault="00E3123D" w:rsidP="00E3123D">
            <w:pPr>
              <w:jc w:val="both"/>
              <w:rPr>
                <w:rFonts w:ascii="Times New Roman" w:hAnsi="Times New Roman" w:cs="Times New Roman"/>
                <w:sz w:val="24"/>
                <w:szCs w:val="24"/>
              </w:rPr>
            </w:pPr>
            <w:r w:rsidRPr="00F610E4">
              <w:rPr>
                <w:rFonts w:ascii="Times New Roman" w:hAnsi="Times New Roman" w:cs="Times New Roman"/>
                <w:sz w:val="24"/>
                <w:szCs w:val="24"/>
              </w:rPr>
              <w:t>Teigiamai vertiname EK siekį stiprinti kibernetinį saugumą. Ypatingas dėmesys turėtų būti skiriamas tam, kad būtų užkirstas kelias sisteminio poveikio kibernetiniams išpuoliams, kurie gali padaryti neigiamą poveikį tiekimo grandinėms, ypatingos svarbos infrastruktūrai ir pagrindinėms paslaugoms, demokratinėms institucijoms ir procesams.</w:t>
            </w:r>
          </w:p>
          <w:p w:rsidR="00E3123D" w:rsidRPr="00F610E4" w:rsidRDefault="00E3123D" w:rsidP="00E3123D">
            <w:pPr>
              <w:jc w:val="both"/>
              <w:rPr>
                <w:rFonts w:ascii="Times New Roman" w:hAnsi="Times New Roman" w:cs="Times New Roman"/>
                <w:sz w:val="24"/>
                <w:szCs w:val="24"/>
              </w:rPr>
            </w:pPr>
          </w:p>
          <w:p w:rsidR="00E3123D" w:rsidRPr="00F610E4" w:rsidRDefault="00E3123D" w:rsidP="00E3123D">
            <w:pPr>
              <w:jc w:val="both"/>
              <w:rPr>
                <w:rFonts w:ascii="Times New Roman" w:hAnsi="Times New Roman" w:cs="Times New Roman"/>
                <w:sz w:val="24"/>
                <w:szCs w:val="24"/>
              </w:rPr>
            </w:pPr>
            <w:r w:rsidRPr="00F610E4">
              <w:rPr>
                <w:rFonts w:ascii="Times New Roman" w:hAnsi="Times New Roman" w:cs="Times New Roman"/>
                <w:sz w:val="24"/>
                <w:szCs w:val="24"/>
              </w:rPr>
              <w:t xml:space="preserve">Palaikome ES ir Persijos įlankos regiono šalių bendradarbiavimo stiprinimą. Tikimės, kad 2022 m.  bus surengtas ES ir Persijos įlankos šalių bendradarbiavimo tarybos susitikimas, kuriame su šiomis šalimis bus pratęstas dialogas regioninio saugumo ir stabilumo, politinio ir ekonominio bendradarbiavimo, atsparumo,  žaliosios energetikos,  kovos su klimato kaita ir kitais aktualiais klausimais. Taip pat svarbu stiprinti bendradarbiavimą su Persijos įlankos regiono šalimis, atsakant į dabartinės Afganistano situacijos keliamus iššūkius; paremiant Irako porinkiminį stabilumą, </w:t>
            </w:r>
            <w:r w:rsidRPr="00F610E4">
              <w:rPr>
                <w:rFonts w:ascii="Times New Roman" w:hAnsi="Times New Roman" w:cs="Times New Roman"/>
                <w:sz w:val="24"/>
                <w:szCs w:val="24"/>
              </w:rPr>
              <w:lastRenderedPageBreak/>
              <w:t>teritorinį integralumą ir vystymąsi; taip pat siekiant pažaboti neteisėtos migracijos keliamus iššūkius.</w:t>
            </w:r>
          </w:p>
          <w:p w:rsidR="00E3123D" w:rsidRPr="00F610E4" w:rsidRDefault="00E3123D" w:rsidP="00E3123D">
            <w:pPr>
              <w:jc w:val="both"/>
              <w:rPr>
                <w:rFonts w:ascii="Times New Roman" w:hAnsi="Times New Roman" w:cs="Times New Roman"/>
                <w:sz w:val="24"/>
                <w:szCs w:val="24"/>
              </w:rPr>
            </w:pPr>
          </w:p>
          <w:p w:rsidR="00E3123D" w:rsidRPr="00F610E4" w:rsidRDefault="00E3123D" w:rsidP="00E3123D">
            <w:pPr>
              <w:jc w:val="both"/>
              <w:rPr>
                <w:rFonts w:ascii="Times New Roman" w:hAnsi="Times New Roman" w:cs="Times New Roman"/>
                <w:sz w:val="24"/>
                <w:szCs w:val="24"/>
              </w:rPr>
            </w:pPr>
            <w:r w:rsidRPr="00F610E4">
              <w:rPr>
                <w:rFonts w:ascii="Times New Roman" w:hAnsi="Times New Roman" w:cs="Times New Roman"/>
                <w:sz w:val="24"/>
                <w:szCs w:val="24"/>
              </w:rPr>
              <w:t xml:space="preserve">Remiame glaudesnį ES ir NATO bendradarbiavimą. ES saugumo ir gynybos iniciatyvų suderinamumas bei papildomumas su NATO ir transatlantinio ryšio stiprinimas turėtų būti pagrindiniai principai, užtikrinant ES saugumą. Ypač svarbu ES ir NATO </w:t>
            </w:r>
            <w:proofErr w:type="spellStart"/>
            <w:r w:rsidRPr="00F610E4">
              <w:rPr>
                <w:rFonts w:ascii="Times New Roman" w:hAnsi="Times New Roman" w:cs="Times New Roman"/>
                <w:sz w:val="24"/>
                <w:szCs w:val="24"/>
              </w:rPr>
              <w:t>pajėgumų</w:t>
            </w:r>
            <w:proofErr w:type="spellEnd"/>
            <w:r w:rsidRPr="00F610E4">
              <w:rPr>
                <w:rFonts w:ascii="Times New Roman" w:hAnsi="Times New Roman" w:cs="Times New Roman"/>
                <w:sz w:val="24"/>
                <w:szCs w:val="24"/>
              </w:rPr>
              <w:t xml:space="preserve"> planavimo procesų suderinamumas. ES geriau orientuotis į tas sritis, kur ji turi tinkamesnius įrankius, pvz. karinis mobilumas, atsparumo stiprinimas, civiliniai </w:t>
            </w:r>
            <w:proofErr w:type="spellStart"/>
            <w:r w:rsidRPr="00F610E4">
              <w:rPr>
                <w:rFonts w:ascii="Times New Roman" w:hAnsi="Times New Roman" w:cs="Times New Roman"/>
                <w:sz w:val="24"/>
                <w:szCs w:val="24"/>
              </w:rPr>
              <w:t>pajėgumai</w:t>
            </w:r>
            <w:proofErr w:type="spellEnd"/>
            <w:r w:rsidRPr="00F610E4">
              <w:rPr>
                <w:rFonts w:ascii="Times New Roman" w:hAnsi="Times New Roman" w:cs="Times New Roman"/>
                <w:sz w:val="24"/>
                <w:szCs w:val="24"/>
              </w:rPr>
              <w:t>. Siekiant atremti įvairialypius iššūkius, svarbu gerinti ES - NATO koordinaciją visuose bendradarbiavimo lygiuose, taip pat ir pozicijų derinimą tarptautinėse organizacij</w:t>
            </w:r>
            <w:r>
              <w:rPr>
                <w:rFonts w:ascii="Times New Roman" w:hAnsi="Times New Roman" w:cs="Times New Roman"/>
                <w:sz w:val="24"/>
                <w:szCs w:val="24"/>
              </w:rPr>
              <w:t>ose (JT, ESBO). Šiame kontekste</w:t>
            </w:r>
            <w:r w:rsidRPr="00F610E4">
              <w:rPr>
                <w:rFonts w:ascii="Times New Roman" w:hAnsi="Times New Roman" w:cs="Times New Roman"/>
                <w:sz w:val="24"/>
                <w:szCs w:val="24"/>
              </w:rPr>
              <w:t xml:space="preserve"> </w:t>
            </w:r>
            <w:r>
              <w:rPr>
                <w:rFonts w:ascii="Times New Roman" w:hAnsi="Times New Roman"/>
                <w:sz w:val="24"/>
              </w:rPr>
              <w:t xml:space="preserve">neigiamai vertiname pareiškimus dėl Europos gynybos sąjungos kūrimo, o raginame telkti dėmesį į ES gynybos </w:t>
            </w:r>
            <w:proofErr w:type="spellStart"/>
            <w:r>
              <w:rPr>
                <w:rFonts w:ascii="Times New Roman" w:hAnsi="Times New Roman"/>
                <w:sz w:val="24"/>
              </w:rPr>
              <w:t>pajėgumų</w:t>
            </w:r>
            <w:proofErr w:type="spellEnd"/>
            <w:r>
              <w:rPr>
                <w:rFonts w:ascii="Times New Roman" w:hAnsi="Times New Roman"/>
                <w:sz w:val="24"/>
              </w:rPr>
              <w:t xml:space="preserve"> stiprinimo darbus</w:t>
            </w:r>
            <w:r w:rsidRPr="00F610E4">
              <w:rPr>
                <w:rFonts w:ascii="Times New Roman" w:hAnsi="Times New Roman" w:cs="Times New Roman"/>
                <w:sz w:val="24"/>
                <w:szCs w:val="24"/>
              </w:rPr>
              <w:t xml:space="preserve">. </w:t>
            </w:r>
          </w:p>
          <w:p w:rsidR="00E3123D" w:rsidRPr="00F610E4" w:rsidRDefault="00E3123D" w:rsidP="00E3123D">
            <w:pPr>
              <w:jc w:val="both"/>
              <w:rPr>
                <w:rFonts w:ascii="Times New Roman" w:hAnsi="Times New Roman" w:cs="Times New Roman"/>
                <w:sz w:val="24"/>
                <w:szCs w:val="24"/>
              </w:rPr>
            </w:pPr>
          </w:p>
          <w:p w:rsidR="00E3123D" w:rsidRPr="00F610E4" w:rsidRDefault="00E3123D" w:rsidP="00E3123D">
            <w:pPr>
              <w:jc w:val="both"/>
              <w:rPr>
                <w:rFonts w:ascii="Times New Roman" w:hAnsi="Times New Roman" w:cs="Times New Roman"/>
                <w:sz w:val="24"/>
                <w:szCs w:val="24"/>
              </w:rPr>
            </w:pPr>
            <w:r w:rsidRPr="00F610E4">
              <w:rPr>
                <w:rFonts w:ascii="Times New Roman" w:hAnsi="Times New Roman" w:cs="Times New Roman"/>
                <w:sz w:val="24"/>
                <w:szCs w:val="24"/>
              </w:rPr>
              <w:t xml:space="preserve">Blokavimo statutas turi būti atnaujintas, atsižvelgiant į šių dienų realijas. Pakeitimai pirmiausia turi būti susiję su baudų ES verslui už Blokavimo statuto nesilaikymą mažinimu. Taip pat galėtų būti lengvesnės sąlygos leisti verslui laikytis trečiosios šalies sankcijų (jei pats verslas taip nusprendė) ir atitinkamai lengvesnės sąlygos ES veiklos vykdytojams prašyti būti įgaliotiems laikytis eksteritorinių teisės aktų, jeigu dėl jų nesilaikymo būtų padaryta didelė žala jų ar Sąjungos interesams. Kartu kviestume įvertinti galimybes (atnaujinti) pokalbius su JAV dėl jų priimamų sankcijų </w:t>
            </w:r>
            <w:proofErr w:type="spellStart"/>
            <w:r w:rsidRPr="00F610E4">
              <w:rPr>
                <w:rFonts w:ascii="Times New Roman" w:hAnsi="Times New Roman" w:cs="Times New Roman"/>
                <w:sz w:val="24"/>
                <w:szCs w:val="24"/>
              </w:rPr>
              <w:t>eksteritorinio</w:t>
            </w:r>
            <w:proofErr w:type="spellEnd"/>
            <w:r w:rsidRPr="00F610E4">
              <w:rPr>
                <w:rFonts w:ascii="Times New Roman" w:hAnsi="Times New Roman" w:cs="Times New Roman"/>
                <w:sz w:val="24"/>
                <w:szCs w:val="24"/>
              </w:rPr>
              <w:t xml:space="preserve"> poveikio ES subjektams bei kartu ieškoti būdų apsaugoti ES verslo subjektus nuo tokio poveikio.</w:t>
            </w:r>
          </w:p>
          <w:p w:rsidR="00E3123D" w:rsidRPr="00F610E4" w:rsidRDefault="00E3123D" w:rsidP="00E3123D">
            <w:pPr>
              <w:jc w:val="both"/>
              <w:rPr>
                <w:rFonts w:ascii="Times New Roman" w:hAnsi="Times New Roman" w:cs="Times New Roman"/>
                <w:sz w:val="24"/>
                <w:szCs w:val="24"/>
              </w:rPr>
            </w:pPr>
          </w:p>
          <w:p w:rsidR="00E3123D" w:rsidRPr="00F610E4" w:rsidRDefault="00E3123D" w:rsidP="00E3123D">
            <w:pPr>
              <w:jc w:val="both"/>
              <w:rPr>
                <w:rFonts w:ascii="Times New Roman" w:hAnsi="Times New Roman" w:cs="Times New Roman"/>
                <w:sz w:val="24"/>
                <w:szCs w:val="24"/>
              </w:rPr>
            </w:pPr>
            <w:r>
              <w:rPr>
                <w:rFonts w:ascii="Times New Roman" w:hAnsi="Times New Roman" w:cs="Times New Roman"/>
                <w:sz w:val="24"/>
                <w:szCs w:val="24"/>
              </w:rPr>
              <w:t>Sveikiname</w:t>
            </w:r>
            <w:r w:rsidRPr="00346873">
              <w:rPr>
                <w:rFonts w:ascii="Times New Roman" w:hAnsi="Times New Roman" w:cs="Times New Roman"/>
                <w:sz w:val="24"/>
                <w:szCs w:val="24"/>
              </w:rPr>
              <w:t xml:space="preserve"> Europos Komisijos planuose numatytą iniciatyvą dėl baudžiamojo proceso perdavimo</w:t>
            </w:r>
            <w:r>
              <w:rPr>
                <w:rFonts w:ascii="Times New Roman" w:hAnsi="Times New Roman" w:cs="Times New Roman"/>
                <w:sz w:val="24"/>
                <w:szCs w:val="24"/>
              </w:rPr>
              <w:t xml:space="preserve">. </w:t>
            </w:r>
            <w:r w:rsidRPr="00F610E4">
              <w:rPr>
                <w:rFonts w:ascii="Times New Roman" w:hAnsi="Times New Roman" w:cs="Times New Roman"/>
                <w:sz w:val="24"/>
                <w:szCs w:val="24"/>
              </w:rPr>
              <w:t>Palaikome Komisijos siekį tęsti derybas dėl Naujojo migracijos ir prieglobsčio pakto</w:t>
            </w:r>
            <w:r>
              <w:rPr>
                <w:rFonts w:ascii="Times New Roman" w:hAnsi="Times New Roman" w:cs="Times New Roman"/>
                <w:sz w:val="24"/>
                <w:szCs w:val="24"/>
              </w:rPr>
              <w:t xml:space="preserve"> ir n</w:t>
            </w:r>
            <w:r w:rsidRPr="00F610E4">
              <w:rPr>
                <w:rFonts w:ascii="Times New Roman" w:hAnsi="Times New Roman" w:cs="Times New Roman"/>
                <w:sz w:val="24"/>
                <w:szCs w:val="24"/>
              </w:rPr>
              <w:t xml:space="preserve">uosekliai laikomės nuostatos, kad ES valstybių narių solidarumas sprendžiant migracijos iššūkius turi būti privalomas, tačiau jo priemonės – lanksčios. Atkreipiame dėmesį, kad Naujasis migracijos ir prieglobsčio paktas nesuteikia visų būtinų priemonių ir instrumentų, kurie reikalingi valstybėms narėms atsakant į hibridines atakas, kuriose dominuoja migracijos </w:t>
            </w:r>
            <w:proofErr w:type="spellStart"/>
            <w:r w:rsidRPr="00F610E4">
              <w:rPr>
                <w:rFonts w:ascii="Times New Roman" w:hAnsi="Times New Roman" w:cs="Times New Roman"/>
                <w:sz w:val="24"/>
                <w:szCs w:val="24"/>
              </w:rPr>
              <w:t>instrumentalizacijos</w:t>
            </w:r>
            <w:proofErr w:type="spellEnd"/>
            <w:r w:rsidRPr="00F610E4">
              <w:rPr>
                <w:rFonts w:ascii="Times New Roman" w:hAnsi="Times New Roman" w:cs="Times New Roman"/>
                <w:sz w:val="24"/>
                <w:szCs w:val="24"/>
              </w:rPr>
              <w:t xml:space="preserve"> elementai. 12 ES Valstybių narių, įskaitant Lietuvą, pateikė Europos Komisijai pasiūlymus dėl atitinkamų ES teisės pakeitimų. Svarbu, kad būtų tinkamai įvykdytas 2021 m. spalio 21-22 d. EVT prašymas Komisijai pasiūlyti reikiamus ES teisinės sistemos pakeitimus ir konkrečias priemones, grindžiamas adekvačia finansine parama, kad būtų užtikrintas skubus ir tinkamas atsakas į hibridinius išpuolius prie ES sienų.</w:t>
            </w:r>
          </w:p>
          <w:p w:rsidR="00E3123D" w:rsidRPr="00F610E4" w:rsidRDefault="00E3123D" w:rsidP="00E3123D">
            <w:pPr>
              <w:jc w:val="both"/>
              <w:rPr>
                <w:rFonts w:ascii="Times New Roman" w:hAnsi="Times New Roman" w:cs="Times New Roman"/>
                <w:sz w:val="24"/>
                <w:szCs w:val="24"/>
              </w:rPr>
            </w:pPr>
          </w:p>
          <w:p w:rsidR="001B6FD0" w:rsidRPr="00E1016E" w:rsidRDefault="00E3123D" w:rsidP="00E662D8">
            <w:pPr>
              <w:jc w:val="both"/>
              <w:rPr>
                <w:rFonts w:ascii="Times New Roman" w:hAnsi="Times New Roman" w:cs="Times New Roman"/>
                <w:sz w:val="24"/>
                <w:szCs w:val="24"/>
              </w:rPr>
            </w:pPr>
            <w:r w:rsidRPr="00F610E4">
              <w:rPr>
                <w:rFonts w:ascii="Times New Roman" w:hAnsi="Times New Roman" w:cs="Times New Roman"/>
                <w:sz w:val="24"/>
                <w:szCs w:val="24"/>
              </w:rPr>
              <w:t>Sveikiname Komisijos tikslus stiprinti ES priežiūros politiką, taip pat labai svarbu stiprinti vėžio diagnostiką. COVID-19 krizė atskleidė nemokomo priežiūros darbo naštą, tenkančią moterims. Vienodesnis pasidalinimas priežiūros pareigomis namuose gali reikšmingai prisidėti, užtikrinant lyčių lygybę. Manome, kad itin svarbus konkurencingas mokamo darbo užmokesčio užtikrinimas su globa bei slauga susijusiose profesijose, kuriose daugiau dominuoja moterys. Pandemija naujai aktualizavo švietimo ir mokslo svarbą, kartu išryškindama ir tobulintinus aspektus, tokius kaip švietimo prieinamumas. Lietuva palaiko Komisijos ketinimą skirti dėmesį nuotolinio mokymo vidurinėse ir aukštosiose mokyklose tobulinimui, mokinių bei studentų skaitmeninio raštingumo įgūdžių lavinimui.  Lietuvai svarbu stiprinti savo universitetų konkurencingumą, todėl tikimės, kad nauja ES strategija universitetams, skirta stiprinti transnacionalinius ryšius aukšto mokslo srityje, pasiūlys naudingas priemones bei tvarias praktikas. Mokslo instrumentai, ypač tyrimai ir inovacijos, ir toliau lieka kertiniai sprendžiant ateities problemas. Lietuvai naudinga ir toliau gerinti savo įdirbį bei reputaciją šioje srityje.</w:t>
            </w:r>
          </w:p>
        </w:tc>
      </w:tr>
    </w:tbl>
    <w:p w:rsidR="001B6FD0" w:rsidRPr="00E1016E" w:rsidRDefault="001B6FD0" w:rsidP="00E1016E">
      <w:pPr>
        <w:spacing w:after="0" w:line="240" w:lineRule="auto"/>
        <w:jc w:val="both"/>
        <w:rPr>
          <w:rFonts w:ascii="Times New Roman" w:hAnsi="Times New Roman" w:cs="Times New Roman"/>
          <w:sz w:val="24"/>
          <w:szCs w:val="24"/>
        </w:rPr>
      </w:pPr>
    </w:p>
    <w:sectPr w:rsidR="001B6FD0" w:rsidRPr="00E1016E">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6E1" w:rsidRDefault="001946E1" w:rsidP="001946E1">
      <w:pPr>
        <w:spacing w:after="0" w:line="240" w:lineRule="auto"/>
      </w:pPr>
      <w:r>
        <w:separator/>
      </w:r>
    </w:p>
  </w:endnote>
  <w:endnote w:type="continuationSeparator" w:id="0">
    <w:p w:rsidR="001946E1" w:rsidRDefault="001946E1" w:rsidP="00194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359237075"/>
      <w:docPartObj>
        <w:docPartGallery w:val="Page Numbers (Bottom of Page)"/>
        <w:docPartUnique/>
      </w:docPartObj>
    </w:sdtPr>
    <w:sdtEndPr>
      <w:rPr>
        <w:noProof/>
      </w:rPr>
    </w:sdtEndPr>
    <w:sdtContent>
      <w:p w:rsidR="001946E1" w:rsidRPr="001946E1" w:rsidRDefault="001946E1">
        <w:pPr>
          <w:pStyle w:val="Footer"/>
          <w:jc w:val="right"/>
          <w:rPr>
            <w:rFonts w:ascii="Times New Roman" w:hAnsi="Times New Roman" w:cs="Times New Roman"/>
            <w:sz w:val="24"/>
          </w:rPr>
        </w:pPr>
        <w:r w:rsidRPr="001946E1">
          <w:rPr>
            <w:rFonts w:ascii="Times New Roman" w:hAnsi="Times New Roman" w:cs="Times New Roman"/>
            <w:sz w:val="24"/>
          </w:rPr>
          <w:fldChar w:fldCharType="begin"/>
        </w:r>
        <w:r w:rsidRPr="001946E1">
          <w:rPr>
            <w:rFonts w:ascii="Times New Roman" w:hAnsi="Times New Roman" w:cs="Times New Roman"/>
            <w:sz w:val="24"/>
          </w:rPr>
          <w:instrText xml:space="preserve"> PAGE   \* MERGEFORMAT </w:instrText>
        </w:r>
        <w:r w:rsidRPr="001946E1">
          <w:rPr>
            <w:rFonts w:ascii="Times New Roman" w:hAnsi="Times New Roman" w:cs="Times New Roman"/>
            <w:sz w:val="24"/>
          </w:rPr>
          <w:fldChar w:fldCharType="separate"/>
        </w:r>
        <w:r w:rsidR="000A29BD">
          <w:rPr>
            <w:rFonts w:ascii="Times New Roman" w:hAnsi="Times New Roman" w:cs="Times New Roman"/>
            <w:noProof/>
            <w:sz w:val="24"/>
          </w:rPr>
          <w:t>11</w:t>
        </w:r>
        <w:r w:rsidRPr="001946E1">
          <w:rPr>
            <w:rFonts w:ascii="Times New Roman" w:hAnsi="Times New Roman" w:cs="Times New Roman"/>
            <w:noProof/>
            <w:sz w:val="24"/>
          </w:rPr>
          <w:fldChar w:fldCharType="end"/>
        </w:r>
      </w:p>
    </w:sdtContent>
  </w:sdt>
  <w:p w:rsidR="001946E1" w:rsidRPr="001946E1" w:rsidRDefault="001946E1">
    <w:pPr>
      <w:pStyle w:val="Foo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6E1" w:rsidRDefault="001946E1" w:rsidP="001946E1">
      <w:pPr>
        <w:spacing w:after="0" w:line="240" w:lineRule="auto"/>
      </w:pPr>
      <w:r>
        <w:separator/>
      </w:r>
    </w:p>
  </w:footnote>
  <w:footnote w:type="continuationSeparator" w:id="0">
    <w:p w:rsidR="001946E1" w:rsidRDefault="001946E1" w:rsidP="00194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C1440"/>
    <w:multiLevelType w:val="hybridMultilevel"/>
    <w:tmpl w:val="0B9CC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7E956A3"/>
    <w:multiLevelType w:val="hybridMultilevel"/>
    <w:tmpl w:val="988CBCFC"/>
    <w:lvl w:ilvl="0" w:tplc="595A3F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2B3"/>
    <w:rsid w:val="000A29BD"/>
    <w:rsid w:val="001946E1"/>
    <w:rsid w:val="001B6FD0"/>
    <w:rsid w:val="00550885"/>
    <w:rsid w:val="007A3C33"/>
    <w:rsid w:val="007E466E"/>
    <w:rsid w:val="009852D6"/>
    <w:rsid w:val="00A741BF"/>
    <w:rsid w:val="00AA62AB"/>
    <w:rsid w:val="00CE02B3"/>
    <w:rsid w:val="00D456F8"/>
    <w:rsid w:val="00E1016E"/>
    <w:rsid w:val="00E3123D"/>
    <w:rsid w:val="00E41AD6"/>
    <w:rsid w:val="00E662D8"/>
    <w:rsid w:val="00EB22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A0C46"/>
  <w15:chartTrackingRefBased/>
  <w15:docId w15:val="{94443970-B0E6-480C-AB48-C4046048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1B6FD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rPr>
  </w:style>
  <w:style w:type="paragraph" w:styleId="HTMLPreformatted">
    <w:name w:val="HTML Preformatted"/>
    <w:basedOn w:val="Normal"/>
    <w:link w:val="HTMLPreformattedChar"/>
    <w:uiPriority w:val="99"/>
    <w:semiHidden/>
    <w:unhideWhenUsed/>
    <w:rsid w:val="001B6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semiHidden/>
    <w:rsid w:val="001B6FD0"/>
    <w:rPr>
      <w:rFonts w:ascii="Courier New" w:hAnsi="Courier New" w:cs="Courier New"/>
      <w:sz w:val="20"/>
      <w:szCs w:val="20"/>
      <w:lang w:eastAsia="lt-LT"/>
    </w:rPr>
  </w:style>
  <w:style w:type="character" w:customStyle="1" w:styleId="y2iqfc">
    <w:name w:val="y2iqfc"/>
    <w:basedOn w:val="DefaultParagraphFont"/>
    <w:rsid w:val="001B6FD0"/>
  </w:style>
  <w:style w:type="character" w:customStyle="1" w:styleId="markedcontent">
    <w:name w:val="markedcontent"/>
    <w:basedOn w:val="DefaultParagraphFont"/>
    <w:rsid w:val="001B6FD0"/>
  </w:style>
  <w:style w:type="paragraph" w:styleId="NormalWeb">
    <w:name w:val="Normal (Web)"/>
    <w:basedOn w:val="Normal"/>
    <w:uiPriority w:val="99"/>
    <w:unhideWhenUsed/>
    <w:rsid w:val="001B6FD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1B6FD0"/>
    <w:pPr>
      <w:ind w:left="720"/>
      <w:contextualSpacing/>
    </w:pPr>
    <w:rPr>
      <w:lang w:val="en-US"/>
    </w:rPr>
  </w:style>
  <w:style w:type="table" w:styleId="TableGrid">
    <w:name w:val="Table Grid"/>
    <w:basedOn w:val="TableNormal"/>
    <w:uiPriority w:val="39"/>
    <w:rsid w:val="001B6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3C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C33"/>
    <w:rPr>
      <w:rFonts w:ascii="Segoe UI" w:hAnsi="Segoe UI" w:cs="Segoe UI"/>
      <w:sz w:val="18"/>
      <w:szCs w:val="18"/>
    </w:rPr>
  </w:style>
  <w:style w:type="character" w:styleId="Strong">
    <w:name w:val="Strong"/>
    <w:basedOn w:val="DefaultParagraphFont"/>
    <w:uiPriority w:val="22"/>
    <w:qFormat/>
    <w:rsid w:val="00A741BF"/>
    <w:rPr>
      <w:b/>
      <w:bCs/>
    </w:rPr>
  </w:style>
  <w:style w:type="paragraph" w:styleId="Header">
    <w:name w:val="header"/>
    <w:basedOn w:val="Normal"/>
    <w:link w:val="HeaderChar"/>
    <w:uiPriority w:val="99"/>
    <w:unhideWhenUsed/>
    <w:rsid w:val="001946E1"/>
    <w:pPr>
      <w:tabs>
        <w:tab w:val="center" w:pos="4819"/>
        <w:tab w:val="right" w:pos="9638"/>
      </w:tabs>
      <w:spacing w:after="0" w:line="240" w:lineRule="auto"/>
    </w:pPr>
  </w:style>
  <w:style w:type="character" w:customStyle="1" w:styleId="HeaderChar">
    <w:name w:val="Header Char"/>
    <w:basedOn w:val="DefaultParagraphFont"/>
    <w:link w:val="Header"/>
    <w:uiPriority w:val="99"/>
    <w:rsid w:val="001946E1"/>
  </w:style>
  <w:style w:type="paragraph" w:styleId="Footer">
    <w:name w:val="footer"/>
    <w:basedOn w:val="Normal"/>
    <w:link w:val="FooterChar"/>
    <w:uiPriority w:val="99"/>
    <w:unhideWhenUsed/>
    <w:rsid w:val="001946E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4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42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26659</Words>
  <Characters>15196</Characters>
  <Application>Microsoft Office Word</Application>
  <DocSecurity>0</DocSecurity>
  <Lines>126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Dominykas Goda</dc:creator>
  <cp:keywords/>
  <dc:description/>
  <cp:lastModifiedBy>Dominykas Goda</cp:lastModifiedBy>
  <cp:revision>6</cp:revision>
  <dcterms:created xsi:type="dcterms:W3CDTF">2021-11-15T13:55:00Z</dcterms:created>
  <dcterms:modified xsi:type="dcterms:W3CDTF">2021-11-16T13:06:00Z</dcterms:modified>
</cp:coreProperties>
</file>