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6A69C" w14:textId="77777777" w:rsidR="00E26BB0" w:rsidRPr="00743860" w:rsidRDefault="00E26BB0" w:rsidP="00D6010F">
      <w:pPr>
        <w:pStyle w:val="BodyTextIndent2"/>
        <w:tabs>
          <w:tab w:val="left" w:pos="0"/>
        </w:tabs>
        <w:spacing w:after="0" w:line="240" w:lineRule="auto"/>
        <w:ind w:left="0"/>
        <w:jc w:val="center"/>
        <w:outlineLvl w:val="0"/>
        <w:rPr>
          <w:b/>
          <w:bCs/>
          <w:szCs w:val="24"/>
        </w:rPr>
      </w:pPr>
      <w:r w:rsidRPr="00743860">
        <w:rPr>
          <w:b/>
          <w:bCs/>
          <w:szCs w:val="24"/>
        </w:rPr>
        <w:t>2015 M. BALANDŽIO 24 D. KOMISIJOS DELEGUOTOJO REGLAMENTO (ES) 2015/1011, KURIUO PAPILDOMAS EUROPOS PARLAMENTO IR TARYBOS REGLAMENT</w:t>
      </w:r>
      <w:r w:rsidR="00767D17" w:rsidRPr="00743860">
        <w:rPr>
          <w:b/>
          <w:bCs/>
          <w:szCs w:val="24"/>
        </w:rPr>
        <w:t>AS</w:t>
      </w:r>
      <w:r w:rsidRPr="00743860">
        <w:rPr>
          <w:b/>
          <w:bCs/>
          <w:szCs w:val="24"/>
        </w:rPr>
        <w:t xml:space="preserve"> (EB) NR. 273/2004 DĖL NARKOTINIŲ MEDŽIAGŲ PIRMTAKŲ (PREKURSORIŲ)</w:t>
      </w:r>
    </w:p>
    <w:p w14:paraId="1CC28A29" w14:textId="77777777" w:rsidR="00440337" w:rsidRPr="00743860" w:rsidRDefault="00891F25" w:rsidP="00D6010F">
      <w:pPr>
        <w:pStyle w:val="BodyTextIndent2"/>
        <w:tabs>
          <w:tab w:val="left" w:pos="0"/>
        </w:tabs>
        <w:spacing w:after="0" w:line="240" w:lineRule="auto"/>
        <w:ind w:left="0"/>
        <w:jc w:val="center"/>
        <w:outlineLvl w:val="0"/>
        <w:rPr>
          <w:b/>
          <w:szCs w:val="24"/>
          <w:lang w:eastAsia="lt-LT"/>
        </w:rPr>
      </w:pPr>
      <w:r w:rsidRPr="00743860">
        <w:rPr>
          <w:b/>
          <w:szCs w:val="24"/>
          <w:lang w:eastAsia="lt-LT"/>
        </w:rPr>
        <w:t>IR TARYBOS REGLAMENT</w:t>
      </w:r>
      <w:r w:rsidR="00767D17" w:rsidRPr="00743860">
        <w:rPr>
          <w:b/>
          <w:szCs w:val="24"/>
          <w:lang w:eastAsia="lt-LT"/>
        </w:rPr>
        <w:t>AS</w:t>
      </w:r>
      <w:r w:rsidRPr="00743860">
        <w:rPr>
          <w:b/>
          <w:szCs w:val="24"/>
          <w:lang w:eastAsia="lt-LT"/>
        </w:rPr>
        <w:t xml:space="preserve"> (E</w:t>
      </w:r>
      <w:r w:rsidR="00767D17" w:rsidRPr="00743860">
        <w:rPr>
          <w:b/>
          <w:szCs w:val="24"/>
          <w:lang w:eastAsia="lt-LT"/>
        </w:rPr>
        <w:t>B</w:t>
      </w:r>
      <w:r w:rsidRPr="00743860">
        <w:rPr>
          <w:b/>
          <w:szCs w:val="24"/>
          <w:lang w:eastAsia="lt-LT"/>
        </w:rPr>
        <w:t>) NR. 1</w:t>
      </w:r>
      <w:r w:rsidR="0049098D" w:rsidRPr="00743860">
        <w:rPr>
          <w:b/>
          <w:szCs w:val="24"/>
          <w:lang w:eastAsia="lt-LT"/>
        </w:rPr>
        <w:t>11</w:t>
      </w:r>
      <w:r w:rsidRPr="00743860">
        <w:rPr>
          <w:b/>
          <w:szCs w:val="24"/>
          <w:lang w:eastAsia="lt-LT"/>
        </w:rPr>
        <w:t>/20</w:t>
      </w:r>
      <w:r w:rsidR="0049098D" w:rsidRPr="00743860">
        <w:rPr>
          <w:b/>
          <w:szCs w:val="24"/>
          <w:lang w:eastAsia="lt-LT"/>
        </w:rPr>
        <w:t>05, NUSTATAN</w:t>
      </w:r>
      <w:r w:rsidR="00767D17" w:rsidRPr="00743860">
        <w:rPr>
          <w:b/>
          <w:szCs w:val="24"/>
          <w:lang w:eastAsia="lt-LT"/>
        </w:rPr>
        <w:t>TIS</w:t>
      </w:r>
      <w:r w:rsidR="0049098D" w:rsidRPr="00743860">
        <w:rPr>
          <w:b/>
          <w:szCs w:val="24"/>
          <w:lang w:eastAsia="lt-LT"/>
        </w:rPr>
        <w:t xml:space="preserve"> PREKYBOS NARKOTINIŲ IR </w:t>
      </w:r>
      <w:r w:rsidR="0049098D" w:rsidRPr="00743860">
        <w:rPr>
          <w:b/>
          <w:szCs w:val="24"/>
        </w:rPr>
        <w:t>PSICHOTROPINIŲ MEDŽIAGŲ PIRMTAK</w:t>
      </w:r>
      <w:r w:rsidR="00767D17" w:rsidRPr="00743860">
        <w:rPr>
          <w:b/>
          <w:szCs w:val="24"/>
        </w:rPr>
        <w:t>AIS</w:t>
      </w:r>
      <w:r w:rsidR="0049098D" w:rsidRPr="00743860">
        <w:rPr>
          <w:b/>
          <w:szCs w:val="24"/>
        </w:rPr>
        <w:t xml:space="preserve"> (PREKURSORI</w:t>
      </w:r>
      <w:r w:rsidR="00767D17" w:rsidRPr="00743860">
        <w:rPr>
          <w:b/>
          <w:szCs w:val="24"/>
        </w:rPr>
        <w:t>AIS</w:t>
      </w:r>
      <w:r w:rsidR="0049098D" w:rsidRPr="00743860">
        <w:rPr>
          <w:b/>
          <w:szCs w:val="24"/>
        </w:rPr>
        <w:t>) TARP BENDRIJOS IR TREČIŲJŲ ŠALIŲ STEBĖSENOS TAISYKL</w:t>
      </w:r>
      <w:r w:rsidR="00767D17" w:rsidRPr="00743860">
        <w:rPr>
          <w:b/>
          <w:szCs w:val="24"/>
        </w:rPr>
        <w:t>E</w:t>
      </w:r>
      <w:r w:rsidR="0049098D" w:rsidRPr="00743860">
        <w:rPr>
          <w:b/>
          <w:szCs w:val="24"/>
        </w:rPr>
        <w:t>S, IR PANAIKINAMAS KOMISIJOS REGLAMENTAS (EB) N</w:t>
      </w:r>
      <w:r w:rsidR="00B0144F" w:rsidRPr="00743860">
        <w:rPr>
          <w:b/>
          <w:szCs w:val="24"/>
        </w:rPr>
        <w:t>R</w:t>
      </w:r>
      <w:r w:rsidR="0049098D" w:rsidRPr="00743860">
        <w:rPr>
          <w:b/>
          <w:szCs w:val="24"/>
        </w:rPr>
        <w:t>. 1277/2005</w:t>
      </w:r>
      <w:r w:rsidRPr="00743860">
        <w:rPr>
          <w:b/>
          <w:szCs w:val="24"/>
          <w:lang w:eastAsia="lt-LT"/>
        </w:rPr>
        <w:t xml:space="preserve"> </w:t>
      </w:r>
    </w:p>
    <w:p w14:paraId="6E3B186A" w14:textId="77777777" w:rsidR="00440337" w:rsidRPr="00743860" w:rsidRDefault="00891F25" w:rsidP="00D6010F">
      <w:pPr>
        <w:pStyle w:val="BodyTextIndent2"/>
        <w:tabs>
          <w:tab w:val="left" w:pos="0"/>
        </w:tabs>
        <w:spacing w:after="0" w:line="240" w:lineRule="auto"/>
        <w:ind w:left="0"/>
        <w:jc w:val="center"/>
        <w:outlineLvl w:val="0"/>
        <w:rPr>
          <w:b/>
          <w:szCs w:val="24"/>
        </w:rPr>
      </w:pPr>
      <w:r w:rsidRPr="00743860">
        <w:rPr>
          <w:b/>
          <w:szCs w:val="24"/>
        </w:rPr>
        <w:t xml:space="preserve">IR </w:t>
      </w:r>
    </w:p>
    <w:p w14:paraId="6C248C52" w14:textId="77777777" w:rsidR="00165E7C" w:rsidRPr="00743860" w:rsidRDefault="00165E7C" w:rsidP="00D6010F">
      <w:pPr>
        <w:pStyle w:val="prastasis1"/>
        <w:spacing w:before="0"/>
        <w:rPr>
          <w:b/>
        </w:rPr>
      </w:pPr>
      <w:r w:rsidRPr="00743860">
        <w:rPr>
          <w:b/>
        </w:rPr>
        <w:t>LIETUVOS RESPUBLIKOS VYRIAUSYBĖS 2006 M. KOVO 9 D. NUTARIMO NR. 221 „DĖL</w:t>
      </w:r>
      <w:r w:rsidRPr="00743860">
        <w:t xml:space="preserve"> </w:t>
      </w:r>
      <w:r w:rsidRPr="00743860">
        <w:rPr>
          <w:b/>
        </w:rPr>
        <w:t xml:space="preserve">VEIKLOS, SUSIJUSIOS SU NARKOTINIŲ IR PSICHOTROPINIŲ MEDŽIAGŲ PIRMTAKAIS (PREKURSORIAIS), LICENCIJAVIMO, VIETOS REGISTRAVIMO, </w:t>
      </w:r>
    </w:p>
    <w:p w14:paraId="512822B2" w14:textId="77777777" w:rsidR="00165E7C" w:rsidRPr="00743860" w:rsidRDefault="00165E7C" w:rsidP="00D6010F">
      <w:pPr>
        <w:pStyle w:val="prastasis1"/>
        <w:spacing w:before="0"/>
        <w:jc w:val="center"/>
        <w:rPr>
          <w:b/>
        </w:rPr>
      </w:pPr>
      <w:r w:rsidRPr="00743860">
        <w:rPr>
          <w:b/>
        </w:rPr>
        <w:t xml:space="preserve">IMPORTO IR EKSPORTO LEIDIMŲ IŠDAVIMO IR ŠIOS VEIKLOS PRIEŽIŪROS IR KONTROLĖS VYKDYMO TAISYKLIŲ PATVIRTINIMO“ </w:t>
      </w:r>
      <w:r w:rsidRPr="00743860">
        <w:rPr>
          <w:b/>
          <w:color w:val="000000"/>
        </w:rPr>
        <w:t>PAKEITIMO PROJEKTO</w:t>
      </w:r>
    </w:p>
    <w:p w14:paraId="0CD193FD" w14:textId="77777777" w:rsidR="00737148" w:rsidRPr="00743860" w:rsidRDefault="00891F25" w:rsidP="00D6010F">
      <w:pPr>
        <w:pStyle w:val="BodyTextIndent2"/>
        <w:tabs>
          <w:tab w:val="left" w:pos="0"/>
        </w:tabs>
        <w:spacing w:after="0" w:line="240" w:lineRule="auto"/>
        <w:ind w:left="0"/>
        <w:jc w:val="center"/>
        <w:outlineLvl w:val="0"/>
        <w:rPr>
          <w:b/>
          <w:szCs w:val="24"/>
        </w:rPr>
      </w:pPr>
      <w:r w:rsidRPr="00743860">
        <w:rPr>
          <w:b/>
          <w:szCs w:val="24"/>
        </w:rPr>
        <w:t>ATITIKTIES LENTELĖ</w:t>
      </w:r>
    </w:p>
    <w:p w14:paraId="5F270A87" w14:textId="77777777" w:rsidR="00273298" w:rsidRPr="00743860" w:rsidRDefault="00273298" w:rsidP="00D6010F">
      <w:pPr>
        <w:pStyle w:val="BodyTextIndent2"/>
        <w:tabs>
          <w:tab w:val="left" w:pos="0"/>
        </w:tabs>
        <w:spacing w:after="0" w:line="240" w:lineRule="auto"/>
        <w:ind w:left="0"/>
        <w:jc w:val="center"/>
        <w:outlineLvl w:val="0"/>
        <w:rPr>
          <w:b/>
          <w:szCs w:val="24"/>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5954"/>
        <w:gridCol w:w="6945"/>
        <w:gridCol w:w="1985"/>
      </w:tblGrid>
      <w:tr w:rsidR="00704675" w:rsidRPr="00743860" w14:paraId="2D312560" w14:textId="77777777" w:rsidTr="004338A0">
        <w:trPr>
          <w:trHeight w:val="2920"/>
        </w:trPr>
        <w:tc>
          <w:tcPr>
            <w:tcW w:w="5954" w:type="dxa"/>
          </w:tcPr>
          <w:p w14:paraId="77CBD107" w14:textId="13F93656" w:rsidR="00704675" w:rsidRPr="00743860" w:rsidRDefault="00704675" w:rsidP="00D6010F">
            <w:pPr>
              <w:pStyle w:val="BodyTextIndent2"/>
              <w:tabs>
                <w:tab w:val="left" w:pos="0"/>
              </w:tabs>
              <w:spacing w:after="0" w:line="240" w:lineRule="auto"/>
              <w:ind w:left="0"/>
              <w:jc w:val="both"/>
              <w:outlineLvl w:val="0"/>
              <w:rPr>
                <w:b/>
                <w:bCs/>
                <w:szCs w:val="24"/>
                <w:lang w:eastAsia="lt-LT"/>
              </w:rPr>
            </w:pPr>
            <w:r w:rsidRPr="00743860">
              <w:rPr>
                <w:b/>
                <w:bCs/>
                <w:szCs w:val="24"/>
              </w:rPr>
              <w:t>2015 m. balandžio 24 d. Komisijos deleguotasis Reglamentas (ES) 2015/1011, kuriuo papildomas Europos Parlamento ir Tarybos reglamentas (EB)  Nr. 273/2004 dėl narkotinių medžiagų pirmtakų (prekursorių) ir Tarybos reglamentas (EB)              Nr. 111/2005, nustatantis prekybos narkotinių ir psichotropinių medžiagų pirmtakais (prekursoriais) tarp Bendrijos ir trečiųjų šalių stebėsenos taisykles, ir panaikinamas Komisijos reglamentas (EB</w:t>
            </w:r>
            <w:r w:rsidR="004338A0">
              <w:rPr>
                <w:b/>
                <w:bCs/>
                <w:szCs w:val="24"/>
              </w:rPr>
              <w:t xml:space="preserve">) </w:t>
            </w:r>
            <w:r w:rsidR="004338A0">
              <w:rPr>
                <w:b/>
                <w:bCs/>
                <w:szCs w:val="24"/>
              </w:rPr>
              <w:br/>
            </w:r>
            <w:r w:rsidRPr="00743860">
              <w:rPr>
                <w:b/>
                <w:bCs/>
                <w:szCs w:val="24"/>
              </w:rPr>
              <w:t>Nr. 1277/2005</w:t>
            </w:r>
          </w:p>
        </w:tc>
        <w:tc>
          <w:tcPr>
            <w:tcW w:w="6945" w:type="dxa"/>
          </w:tcPr>
          <w:p w14:paraId="611F00A3" w14:textId="77777777" w:rsidR="00704675" w:rsidRPr="00743860" w:rsidRDefault="00704675" w:rsidP="00D6010F">
            <w:pPr>
              <w:jc w:val="both"/>
              <w:rPr>
                <w:b/>
                <w:szCs w:val="24"/>
              </w:rPr>
            </w:pPr>
            <w:r w:rsidRPr="00743860">
              <w:rPr>
                <w:b/>
                <w:szCs w:val="24"/>
              </w:rPr>
              <w:t>L</w:t>
            </w:r>
            <w:r w:rsidRPr="00743860">
              <w:rPr>
                <w:b/>
                <w:bCs/>
                <w:szCs w:val="24"/>
              </w:rPr>
              <w:t>ietuvos Respublikos Vyriausybės nutarimo „Dėl Lietuvos Respublikos Vyriausybės 2006 m. kovo 9 d. nutarimo Nr. 221 „Dėl Veiklos, susijusios su narkotinių ir psichotropinių medžiagų pirmtakais (prekursoriais), licencijavimo, vietos registravimo, importo ir eksporto leidimų išdavimo ir šios veiklos priežiūros ir kontrolės vykdymo taisyklių patvirtinimo“</w:t>
            </w:r>
            <w:r w:rsidRPr="00743860">
              <w:rPr>
                <w:b/>
                <w:szCs w:val="24"/>
              </w:rPr>
              <w:t xml:space="preserve"> </w:t>
            </w:r>
            <w:r w:rsidRPr="00743860">
              <w:rPr>
                <w:b/>
                <w:bCs/>
                <w:color w:val="000000"/>
                <w:szCs w:val="24"/>
              </w:rPr>
              <w:t>pakeitimo“ projektas (toliau – Projektas)</w:t>
            </w:r>
          </w:p>
          <w:p w14:paraId="275A94A7" w14:textId="77777777" w:rsidR="00704675" w:rsidRPr="00743860" w:rsidRDefault="00704675" w:rsidP="00D6010F">
            <w:pPr>
              <w:jc w:val="both"/>
              <w:rPr>
                <w:b/>
                <w:color w:val="000000"/>
                <w:szCs w:val="24"/>
              </w:rPr>
            </w:pPr>
          </w:p>
        </w:tc>
        <w:tc>
          <w:tcPr>
            <w:tcW w:w="1985" w:type="dxa"/>
          </w:tcPr>
          <w:p w14:paraId="59059106" w14:textId="77777777" w:rsidR="00704675" w:rsidRPr="00743860" w:rsidRDefault="00704675" w:rsidP="00D6010F">
            <w:pPr>
              <w:jc w:val="center"/>
              <w:rPr>
                <w:b/>
                <w:szCs w:val="24"/>
              </w:rPr>
            </w:pPr>
            <w:r w:rsidRPr="00743860">
              <w:rPr>
                <w:b/>
                <w:szCs w:val="24"/>
              </w:rPr>
              <w:t>Perkėlimo ir (ar) įgyvendinimo lygis</w:t>
            </w:r>
          </w:p>
        </w:tc>
      </w:tr>
      <w:tr w:rsidR="00704675" w:rsidRPr="00743860" w14:paraId="4A051FC0" w14:textId="77777777" w:rsidTr="004338A0">
        <w:tc>
          <w:tcPr>
            <w:tcW w:w="5954" w:type="dxa"/>
          </w:tcPr>
          <w:p w14:paraId="51738D6B" w14:textId="77777777" w:rsidR="00704675" w:rsidRPr="00743860" w:rsidRDefault="00704675" w:rsidP="00D6010F">
            <w:pPr>
              <w:pStyle w:val="CM3"/>
              <w:rPr>
                <w:rFonts w:ascii="Times New Roman" w:hAnsi="Times New Roman"/>
                <w:b/>
                <w:color w:val="000000"/>
              </w:rPr>
            </w:pPr>
            <w:r w:rsidRPr="00743860">
              <w:rPr>
                <w:rFonts w:ascii="Times New Roman" w:hAnsi="Times New Roman"/>
                <w:b/>
                <w:color w:val="000000"/>
              </w:rPr>
              <w:t>3 straipsnis</w:t>
            </w:r>
          </w:p>
          <w:p w14:paraId="59052EE4" w14:textId="77777777" w:rsidR="00704675" w:rsidRPr="00743860" w:rsidRDefault="00704675" w:rsidP="00D6010F">
            <w:pPr>
              <w:pStyle w:val="CM3"/>
              <w:rPr>
                <w:rFonts w:ascii="Times New Roman" w:hAnsi="Times New Roman"/>
                <w:b/>
                <w:color w:val="000000"/>
              </w:rPr>
            </w:pPr>
            <w:r w:rsidRPr="00743860">
              <w:rPr>
                <w:rFonts w:ascii="Times New Roman" w:hAnsi="Times New Roman"/>
                <w:b/>
                <w:color w:val="000000"/>
              </w:rPr>
              <w:t>Licencijų išdavimo sąlygos</w:t>
            </w:r>
          </w:p>
          <w:p w14:paraId="753E4836" w14:textId="6E319B26" w:rsidR="00704675" w:rsidRDefault="00704675" w:rsidP="00D6010F">
            <w:pPr>
              <w:pStyle w:val="norm"/>
              <w:shd w:val="clear" w:color="auto" w:fill="FFFFFF"/>
              <w:spacing w:before="0" w:beforeAutospacing="0" w:after="0" w:afterAutospacing="0"/>
              <w:jc w:val="both"/>
              <w:rPr>
                <w:bCs/>
                <w:color w:val="000000"/>
              </w:rPr>
            </w:pPr>
            <w:r w:rsidRPr="00743860">
              <w:rPr>
                <w:bCs/>
                <w:color w:val="000000"/>
              </w:rPr>
              <w:t xml:space="preserve">&lt;...&gt; </w:t>
            </w:r>
          </w:p>
          <w:p w14:paraId="7F04AE4C" w14:textId="77777777" w:rsidR="00D6010F" w:rsidRDefault="00D6010F" w:rsidP="00D6010F">
            <w:pPr>
              <w:pStyle w:val="BodyTextIndent2"/>
              <w:tabs>
                <w:tab w:val="left" w:pos="0"/>
              </w:tabs>
              <w:spacing w:after="0" w:line="240" w:lineRule="auto"/>
              <w:ind w:left="0"/>
              <w:jc w:val="both"/>
              <w:outlineLvl w:val="0"/>
              <w:rPr>
                <w:rFonts w:eastAsia="Arial Unicode MS"/>
                <w:color w:val="444444"/>
                <w:szCs w:val="24"/>
                <w:shd w:val="clear" w:color="auto" w:fill="FFFFFF"/>
              </w:rPr>
            </w:pPr>
            <w:r w:rsidRPr="00743860">
              <w:rPr>
                <w:rFonts w:eastAsia="Arial Unicode MS"/>
                <w:color w:val="444444"/>
                <w:szCs w:val="24"/>
                <w:shd w:val="clear" w:color="auto" w:fill="FFFFFF"/>
              </w:rPr>
              <w:t>7.  Jeigu prekyba vyksta tarp Sąjungos ir trečiųjų šalių, kaip nurodyta Reglamente (EB) Nr. 111/2005, kompetentinga institucija gali apriboti licencijos galiojimo laiką ne ilgiau kaip trejiems metams arba įpareigoti ekonominės veiklos vykdytojus ne rečiau kaip kas trejus metus įrodyti, kad tebesilaikoma sąlygų, kuriomis licencija buvo suteikta.</w:t>
            </w:r>
          </w:p>
          <w:p w14:paraId="0019F626" w14:textId="11394100" w:rsidR="00D6010F" w:rsidRPr="00D6010F" w:rsidRDefault="00D6010F" w:rsidP="00D6010F">
            <w:pPr>
              <w:pStyle w:val="BodyTextIndent2"/>
              <w:tabs>
                <w:tab w:val="left" w:pos="0"/>
              </w:tabs>
              <w:spacing w:after="0" w:line="240" w:lineRule="auto"/>
              <w:ind w:left="0"/>
              <w:jc w:val="both"/>
              <w:outlineLvl w:val="0"/>
              <w:rPr>
                <w:bCs/>
                <w:color w:val="000000"/>
                <w:szCs w:val="24"/>
              </w:rPr>
            </w:pPr>
            <w:r w:rsidRPr="00743860">
              <w:rPr>
                <w:bCs/>
                <w:color w:val="000000"/>
                <w:szCs w:val="24"/>
              </w:rPr>
              <w:t>&lt;...&gt;</w:t>
            </w:r>
          </w:p>
          <w:p w14:paraId="018090C9" w14:textId="6D6FCDFD" w:rsidR="00704675" w:rsidRPr="00743860" w:rsidRDefault="00704675" w:rsidP="00D6010F">
            <w:pPr>
              <w:pStyle w:val="norm"/>
              <w:shd w:val="clear" w:color="auto" w:fill="FFFFFF"/>
              <w:spacing w:before="0" w:beforeAutospacing="0" w:after="0" w:afterAutospacing="0"/>
              <w:jc w:val="both"/>
              <w:rPr>
                <w:rFonts w:eastAsia="Arial Unicode MS"/>
                <w:color w:val="444444"/>
              </w:rPr>
            </w:pPr>
            <w:r w:rsidRPr="00743860">
              <w:rPr>
                <w:rFonts w:eastAsia="Arial Unicode MS"/>
                <w:color w:val="444444"/>
              </w:rPr>
              <w:t>9.  Licencijos savininkas pateikia paraišką naujai licencijai gauti, jeigu numatoma:</w:t>
            </w:r>
          </w:p>
          <w:p w14:paraId="3C3F2A10" w14:textId="77777777" w:rsidR="00704675" w:rsidRPr="00743860" w:rsidRDefault="00704675" w:rsidP="00D6010F">
            <w:pPr>
              <w:pStyle w:val="norm"/>
              <w:numPr>
                <w:ilvl w:val="0"/>
                <w:numId w:val="4"/>
              </w:numPr>
              <w:shd w:val="clear" w:color="auto" w:fill="FFFFFF"/>
              <w:spacing w:before="0" w:beforeAutospacing="0" w:after="0" w:afterAutospacing="0"/>
              <w:jc w:val="both"/>
              <w:rPr>
                <w:rFonts w:eastAsia="Arial Unicode MS"/>
                <w:color w:val="444444"/>
                <w:shd w:val="clear" w:color="auto" w:fill="FFFFFF"/>
              </w:rPr>
            </w:pPr>
            <w:r w:rsidRPr="00743860">
              <w:rPr>
                <w:rFonts w:eastAsia="Arial Unicode MS"/>
                <w:color w:val="444444"/>
                <w:shd w:val="clear" w:color="auto" w:fill="FFFFFF"/>
              </w:rPr>
              <w:t>papildyti ją dar viena į oficialų sąrašą įtraukta medžiaga;</w:t>
            </w:r>
          </w:p>
          <w:p w14:paraId="60518E81" w14:textId="77777777" w:rsidR="00704675" w:rsidRPr="00743860" w:rsidRDefault="00704675" w:rsidP="00D6010F">
            <w:pPr>
              <w:pStyle w:val="norm"/>
              <w:shd w:val="clear" w:color="auto" w:fill="FFFFFF"/>
              <w:spacing w:before="0" w:beforeAutospacing="0" w:after="0" w:afterAutospacing="0"/>
              <w:ind w:left="360"/>
              <w:jc w:val="both"/>
              <w:rPr>
                <w:rFonts w:eastAsia="Arial Unicode MS"/>
                <w:color w:val="444444"/>
              </w:rPr>
            </w:pPr>
            <w:r w:rsidRPr="00743860">
              <w:rPr>
                <w:rFonts w:eastAsia="Arial Unicode MS"/>
                <w:color w:val="444444"/>
                <w:shd w:val="clear" w:color="auto" w:fill="FFFFFF"/>
              </w:rPr>
              <w:t>b) pradėti naują veiklą;</w:t>
            </w:r>
          </w:p>
          <w:p w14:paraId="66D3DAF3" w14:textId="77777777" w:rsidR="00704675" w:rsidRDefault="00704675" w:rsidP="00D6010F">
            <w:pPr>
              <w:pStyle w:val="norm"/>
              <w:shd w:val="clear" w:color="auto" w:fill="FFFFFF"/>
              <w:spacing w:before="0" w:beforeAutospacing="0" w:after="0" w:afterAutospacing="0"/>
              <w:ind w:left="360"/>
              <w:jc w:val="both"/>
              <w:rPr>
                <w:rFonts w:eastAsia="Arial Unicode MS"/>
                <w:color w:val="444444"/>
                <w:shd w:val="clear" w:color="auto" w:fill="FFFFFF"/>
              </w:rPr>
            </w:pPr>
            <w:r w:rsidRPr="00743860">
              <w:rPr>
                <w:rFonts w:eastAsia="Arial Unicode MS"/>
                <w:color w:val="444444"/>
                <w:shd w:val="clear" w:color="auto" w:fill="FFFFFF"/>
              </w:rPr>
              <w:lastRenderedPageBreak/>
              <w:t>c) persikelti į kitas verslo patalpas, kuriose bus vykdoma veikla.</w:t>
            </w:r>
          </w:p>
          <w:p w14:paraId="79673802" w14:textId="5C7F5ABD" w:rsidR="00BB07B2" w:rsidRPr="00D6010F" w:rsidRDefault="00704675" w:rsidP="00D6010F">
            <w:pPr>
              <w:pStyle w:val="norm"/>
              <w:shd w:val="clear" w:color="auto" w:fill="FFFFFF"/>
              <w:spacing w:before="0" w:beforeAutospacing="0" w:after="0" w:afterAutospacing="0"/>
              <w:jc w:val="both"/>
              <w:rPr>
                <w:bCs/>
                <w:color w:val="000000"/>
              </w:rPr>
            </w:pPr>
            <w:r w:rsidRPr="00743860">
              <w:rPr>
                <w:bCs/>
                <w:color w:val="000000"/>
              </w:rPr>
              <w:t xml:space="preserve">&lt;...&gt; </w:t>
            </w:r>
          </w:p>
        </w:tc>
        <w:tc>
          <w:tcPr>
            <w:tcW w:w="6945" w:type="dxa"/>
          </w:tcPr>
          <w:p w14:paraId="7CA78ABD" w14:textId="77777777" w:rsidR="00D6010F" w:rsidRPr="00D6010F" w:rsidRDefault="00D6010F" w:rsidP="00D6010F">
            <w:pPr>
              <w:tabs>
                <w:tab w:val="left" w:pos="1134"/>
              </w:tabs>
              <w:suppressAutoHyphens/>
              <w:autoSpaceDN w:val="0"/>
              <w:jc w:val="both"/>
              <w:textAlignment w:val="baseline"/>
              <w:rPr>
                <w:b/>
                <w:szCs w:val="24"/>
                <w:lang w:eastAsia="lt-LT"/>
              </w:rPr>
            </w:pPr>
            <w:r w:rsidRPr="00D6010F">
              <w:rPr>
                <w:b/>
                <w:szCs w:val="24"/>
                <w:lang w:eastAsia="lt-LT"/>
              </w:rPr>
              <w:lastRenderedPageBreak/>
              <w:t>Projektas</w:t>
            </w:r>
          </w:p>
          <w:p w14:paraId="42827756" w14:textId="77777777" w:rsidR="00D6010F" w:rsidRPr="004F31B4" w:rsidRDefault="00D6010F" w:rsidP="00D6010F">
            <w:pPr>
              <w:tabs>
                <w:tab w:val="left" w:pos="1134"/>
              </w:tabs>
              <w:suppressAutoHyphens/>
              <w:autoSpaceDN w:val="0"/>
              <w:jc w:val="both"/>
              <w:textAlignment w:val="baseline"/>
            </w:pPr>
            <w:r w:rsidRPr="004F31B4">
              <w:rPr>
                <w:szCs w:val="24"/>
                <w:lang w:eastAsia="lt-LT"/>
              </w:rPr>
              <w:t>45. Subjektas, kuriam išduota licencija arba specialioji licencija, ataskaitas Narkotikų, tabako ir alkoholio kontrolės departamentui teikia:</w:t>
            </w:r>
          </w:p>
          <w:p w14:paraId="17801DCA" w14:textId="77777777" w:rsidR="00D6010F" w:rsidRPr="00743860" w:rsidRDefault="00D6010F" w:rsidP="00D6010F">
            <w:pPr>
              <w:tabs>
                <w:tab w:val="left" w:pos="1276"/>
              </w:tabs>
              <w:suppressAutoHyphens/>
              <w:autoSpaceDN w:val="0"/>
              <w:jc w:val="both"/>
              <w:textAlignment w:val="baseline"/>
              <w:rPr>
                <w:szCs w:val="24"/>
              </w:rPr>
            </w:pPr>
            <w:r w:rsidRPr="00743860">
              <w:rPr>
                <w:szCs w:val="24"/>
                <w:lang w:eastAsia="lt-LT"/>
              </w:rPr>
              <w:t>45.1. Reglamento (ES) Nr. 2015/1011 3 straipsnio 7 dalyje nustatytais atvejais – ne rečiau kaip kas 3 metus licencijos arba specialiosios licencijos sąlygų vykdymo ataskaitą pagal Narkotikų, tabako ir alkoholio kontrolės departamento nustatytą formą;</w:t>
            </w:r>
          </w:p>
          <w:p w14:paraId="2F3BA8A2" w14:textId="77777777" w:rsidR="004338A0" w:rsidRDefault="004338A0" w:rsidP="00D6010F">
            <w:pPr>
              <w:jc w:val="both"/>
              <w:rPr>
                <w:b/>
                <w:szCs w:val="24"/>
              </w:rPr>
            </w:pPr>
          </w:p>
          <w:p w14:paraId="07DC90C7" w14:textId="16F0CED6" w:rsidR="00704675" w:rsidRPr="00743860" w:rsidRDefault="00704675" w:rsidP="00D6010F">
            <w:pPr>
              <w:jc w:val="both"/>
              <w:rPr>
                <w:b/>
                <w:szCs w:val="24"/>
              </w:rPr>
            </w:pPr>
            <w:r w:rsidRPr="00743860">
              <w:rPr>
                <w:b/>
                <w:szCs w:val="24"/>
              </w:rPr>
              <w:t>Projektas</w:t>
            </w:r>
          </w:p>
          <w:p w14:paraId="33AAD313" w14:textId="77777777" w:rsidR="00704675" w:rsidRPr="00743860" w:rsidRDefault="00704675" w:rsidP="00D6010F">
            <w:pPr>
              <w:tabs>
                <w:tab w:val="left" w:pos="1134"/>
              </w:tabs>
              <w:suppressAutoHyphens/>
              <w:autoSpaceDN w:val="0"/>
              <w:jc w:val="both"/>
              <w:textAlignment w:val="baseline"/>
              <w:rPr>
                <w:szCs w:val="24"/>
              </w:rPr>
            </w:pPr>
            <w:r w:rsidRPr="00743860">
              <w:rPr>
                <w:szCs w:val="24"/>
                <w:lang w:eastAsia="lt-LT"/>
              </w:rPr>
              <w:t xml:space="preserve">12. Licencija patikslinama Įstatymo 5 straipsnio 5 dalyje numatytais atvejais, išduodant patikslintą licenciją. </w:t>
            </w:r>
            <w:r w:rsidRPr="00743860">
              <w:rPr>
                <w:szCs w:val="24"/>
              </w:rPr>
              <w:t>Subjektas pateikia paraišką išduoti naują licenciją, kai numatoma keisti Reglamento (ES) 2015/1011 3 straipsnio 9 dalyje nurodytą informaciją.</w:t>
            </w:r>
          </w:p>
          <w:p w14:paraId="3B703CE5" w14:textId="77777777" w:rsidR="00704675" w:rsidRPr="00743860" w:rsidRDefault="00704675" w:rsidP="00D6010F">
            <w:pPr>
              <w:jc w:val="both"/>
              <w:rPr>
                <w:b/>
                <w:szCs w:val="24"/>
              </w:rPr>
            </w:pPr>
          </w:p>
          <w:p w14:paraId="43C2BE77" w14:textId="77777777" w:rsidR="00704675" w:rsidRDefault="00704675" w:rsidP="00D6010F">
            <w:pPr>
              <w:jc w:val="both"/>
              <w:rPr>
                <w:b/>
                <w:szCs w:val="24"/>
              </w:rPr>
            </w:pPr>
          </w:p>
          <w:p w14:paraId="5BDCF17C" w14:textId="77777777" w:rsidR="004F31B4" w:rsidRPr="00743860" w:rsidRDefault="004F31B4" w:rsidP="00D6010F">
            <w:pPr>
              <w:tabs>
                <w:tab w:val="left" w:pos="1276"/>
              </w:tabs>
              <w:suppressAutoHyphens/>
              <w:autoSpaceDN w:val="0"/>
              <w:jc w:val="both"/>
              <w:textAlignment w:val="baseline"/>
              <w:rPr>
                <w:b/>
                <w:szCs w:val="24"/>
              </w:rPr>
            </w:pPr>
          </w:p>
        </w:tc>
        <w:tc>
          <w:tcPr>
            <w:tcW w:w="1985" w:type="dxa"/>
          </w:tcPr>
          <w:p w14:paraId="46290926" w14:textId="77777777" w:rsidR="00704675" w:rsidRPr="00743860" w:rsidRDefault="00704675" w:rsidP="00D6010F">
            <w:pPr>
              <w:jc w:val="center"/>
              <w:rPr>
                <w:szCs w:val="24"/>
              </w:rPr>
            </w:pPr>
            <w:r w:rsidRPr="00743860">
              <w:rPr>
                <w:szCs w:val="24"/>
              </w:rPr>
              <w:lastRenderedPageBreak/>
              <w:t>Visiškas</w:t>
            </w:r>
          </w:p>
        </w:tc>
      </w:tr>
      <w:tr w:rsidR="00704675" w:rsidRPr="00743860" w14:paraId="1530813C" w14:textId="77777777" w:rsidTr="004338A0">
        <w:trPr>
          <w:trHeight w:val="5403"/>
        </w:trPr>
        <w:tc>
          <w:tcPr>
            <w:tcW w:w="5954" w:type="dxa"/>
          </w:tcPr>
          <w:p w14:paraId="419FF2EC" w14:textId="77777777" w:rsidR="00704675" w:rsidRPr="00743860" w:rsidRDefault="00704675" w:rsidP="00D6010F">
            <w:pPr>
              <w:pStyle w:val="BodyTextIndent2"/>
              <w:tabs>
                <w:tab w:val="left" w:pos="0"/>
              </w:tabs>
              <w:spacing w:after="0" w:line="240" w:lineRule="auto"/>
              <w:ind w:left="0"/>
              <w:jc w:val="both"/>
              <w:outlineLvl w:val="0"/>
              <w:rPr>
                <w:b/>
                <w:bCs/>
                <w:szCs w:val="24"/>
              </w:rPr>
            </w:pPr>
            <w:r w:rsidRPr="00743860">
              <w:rPr>
                <w:b/>
                <w:bCs/>
                <w:szCs w:val="24"/>
              </w:rPr>
              <w:t>5 straipsnis</w:t>
            </w:r>
          </w:p>
          <w:p w14:paraId="30373056" w14:textId="77777777" w:rsidR="00704675" w:rsidRPr="00743860" w:rsidRDefault="00704675" w:rsidP="00D6010F">
            <w:pPr>
              <w:pStyle w:val="BodyTextIndent2"/>
              <w:tabs>
                <w:tab w:val="left" w:pos="0"/>
              </w:tabs>
              <w:spacing w:after="0" w:line="240" w:lineRule="auto"/>
              <w:ind w:left="0"/>
              <w:jc w:val="both"/>
              <w:outlineLvl w:val="0"/>
              <w:rPr>
                <w:b/>
                <w:bCs/>
                <w:szCs w:val="24"/>
              </w:rPr>
            </w:pPr>
            <w:r w:rsidRPr="00743860">
              <w:rPr>
                <w:b/>
                <w:bCs/>
                <w:szCs w:val="24"/>
              </w:rPr>
              <w:t>Registracijos pažymėjimų išdavimo sąlygos</w:t>
            </w:r>
          </w:p>
          <w:p w14:paraId="5DB71CD0" w14:textId="77777777" w:rsidR="00704675" w:rsidRDefault="00704675" w:rsidP="00D6010F">
            <w:pPr>
              <w:pStyle w:val="norm"/>
              <w:shd w:val="clear" w:color="auto" w:fill="FFFFFF"/>
              <w:spacing w:before="0" w:beforeAutospacing="0" w:after="0" w:afterAutospacing="0"/>
              <w:jc w:val="both"/>
              <w:rPr>
                <w:bCs/>
                <w:color w:val="000000"/>
              </w:rPr>
            </w:pPr>
            <w:r w:rsidRPr="00743860">
              <w:rPr>
                <w:bCs/>
                <w:color w:val="000000"/>
              </w:rPr>
              <w:t xml:space="preserve">&lt;...&gt; </w:t>
            </w:r>
          </w:p>
          <w:p w14:paraId="50461C99" w14:textId="0D890CA7" w:rsidR="00704675" w:rsidRPr="00743860" w:rsidRDefault="00704675" w:rsidP="00D6010F">
            <w:pPr>
              <w:pStyle w:val="norm"/>
              <w:shd w:val="clear" w:color="auto" w:fill="FFFFFF"/>
              <w:spacing w:before="0" w:beforeAutospacing="0" w:after="0" w:afterAutospacing="0"/>
              <w:jc w:val="both"/>
              <w:rPr>
                <w:rFonts w:eastAsia="Arial Unicode MS"/>
                <w:color w:val="444444"/>
              </w:rPr>
            </w:pPr>
            <w:r w:rsidRPr="00743860">
              <w:rPr>
                <w:rFonts w:eastAsia="Arial Unicode MS"/>
                <w:color w:val="444444"/>
              </w:rPr>
              <w:t>2.  Ekonominės veiklos vykdytojas, kurio veikla susijusi su Reglamento (EB) Nr. 111/2005 priede nustatytos 2 kategorijos medžiagomis, įtrauktomis į oficialų sąrašą, pateikia paraišką, o joje nurodo duomenis ir prideda dokumentus, nurodytus 3 straipsnio 2 dalies b punkte, išskyrus 3 straipsnio 2 dalies b punkto vi, x ir xi papunkčius, nebent to pareikalautų kompetentinga institucija.</w:t>
            </w:r>
          </w:p>
          <w:p w14:paraId="2CC3ECC1" w14:textId="77777777" w:rsidR="00704675" w:rsidRPr="00743860" w:rsidRDefault="00704675" w:rsidP="00D6010F">
            <w:pPr>
              <w:pStyle w:val="norm"/>
              <w:shd w:val="clear" w:color="auto" w:fill="FFFFFF"/>
              <w:spacing w:before="0" w:beforeAutospacing="0" w:after="0" w:afterAutospacing="0"/>
              <w:jc w:val="both"/>
              <w:rPr>
                <w:rFonts w:eastAsia="Arial Unicode MS"/>
                <w:color w:val="444444"/>
              </w:rPr>
            </w:pPr>
            <w:r w:rsidRPr="00743860">
              <w:rPr>
                <w:rFonts w:eastAsia="Arial Unicode MS"/>
                <w:color w:val="444444"/>
              </w:rPr>
              <w:t>Ta pati nuostata taikoma ekonominės veiklos vykdytojui, eksportuojančiam Reglamento (EB) Nr. 111/2005 priede nustatytos 3 kategorijos medžiagas, įtrauktas į oficialų sąrašą.</w:t>
            </w:r>
          </w:p>
          <w:p w14:paraId="735E736A" w14:textId="77777777" w:rsidR="00704675" w:rsidRPr="00743860" w:rsidRDefault="00704675" w:rsidP="00D6010F">
            <w:pPr>
              <w:pStyle w:val="BodyTextIndent2"/>
              <w:tabs>
                <w:tab w:val="left" w:pos="0"/>
              </w:tabs>
              <w:spacing w:after="0" w:line="240" w:lineRule="auto"/>
              <w:ind w:left="0"/>
              <w:jc w:val="both"/>
              <w:outlineLvl w:val="0"/>
              <w:rPr>
                <w:bCs/>
                <w:color w:val="000000"/>
                <w:szCs w:val="24"/>
              </w:rPr>
            </w:pPr>
            <w:r w:rsidRPr="00743860">
              <w:rPr>
                <w:bCs/>
                <w:color w:val="000000"/>
                <w:szCs w:val="24"/>
              </w:rPr>
              <w:t>&lt;...&gt;</w:t>
            </w:r>
          </w:p>
          <w:p w14:paraId="097E9868" w14:textId="44F559BD" w:rsidR="00BB07B2" w:rsidRPr="004338A0" w:rsidRDefault="00704675" w:rsidP="00D6010F">
            <w:pPr>
              <w:pStyle w:val="norm"/>
              <w:shd w:val="clear" w:color="auto" w:fill="FFFFFF"/>
              <w:spacing w:before="0" w:beforeAutospacing="0" w:after="0" w:afterAutospacing="0"/>
              <w:jc w:val="both"/>
              <w:rPr>
                <w:rFonts w:eastAsia="Arial Unicode MS"/>
                <w:color w:val="444444"/>
              </w:rPr>
            </w:pPr>
            <w:r w:rsidRPr="00743860">
              <w:rPr>
                <w:rFonts w:eastAsia="Arial Unicode MS"/>
                <w:color w:val="444444"/>
              </w:rPr>
              <w:t>5.  Reglamento (EB) Nr. 273/2004 I priede nustatytos 2A kategorijos medžiagų, įtrauktų į oficialų sąrašą, naudotojai taip pat pateikia informaciją apie medžiagų, įtrauktų į oficialų sąrašą, naudojimą.</w:t>
            </w:r>
          </w:p>
        </w:tc>
        <w:tc>
          <w:tcPr>
            <w:tcW w:w="6945" w:type="dxa"/>
          </w:tcPr>
          <w:p w14:paraId="58A97AAA" w14:textId="77777777" w:rsidR="00704675" w:rsidRDefault="00704675" w:rsidP="00D6010F">
            <w:pPr>
              <w:jc w:val="both"/>
              <w:rPr>
                <w:b/>
                <w:szCs w:val="24"/>
              </w:rPr>
            </w:pPr>
            <w:r w:rsidRPr="00743860">
              <w:rPr>
                <w:b/>
                <w:szCs w:val="24"/>
              </w:rPr>
              <w:t>Projektas</w:t>
            </w:r>
          </w:p>
          <w:p w14:paraId="1AEB6CAE" w14:textId="77777777" w:rsidR="00704675" w:rsidRPr="00704675" w:rsidRDefault="00704675" w:rsidP="00D6010F">
            <w:pPr>
              <w:tabs>
                <w:tab w:val="left" w:pos="1134"/>
                <w:tab w:val="left" w:pos="1418"/>
              </w:tabs>
              <w:suppressAutoHyphens/>
              <w:autoSpaceDN w:val="0"/>
              <w:jc w:val="both"/>
              <w:textAlignment w:val="baseline"/>
            </w:pPr>
            <w:r w:rsidRPr="00704675">
              <w:rPr>
                <w:szCs w:val="24"/>
                <w:lang w:eastAsia="lt-LT"/>
              </w:rPr>
              <w:t>23. Subjektas, norintis gauti veiklos vietos registracijos pažymėjimą ar specialųjį veiklos vietos registracijos pažymėjimą,</w:t>
            </w:r>
            <w:r w:rsidRPr="00704675">
              <w:t xml:space="preserve"> per atstumą, per Lietuvos Respublikos paslaugų įstatyme nurodytą paslaugų ir gaminių kontaktinį centrą, elektroninėmis ryšio priemonėmis arba tiesiogiai </w:t>
            </w:r>
            <w:r w:rsidRPr="00704675">
              <w:rPr>
                <w:szCs w:val="24"/>
                <w:lang w:eastAsia="lt-LT"/>
              </w:rPr>
              <w:t xml:space="preserve">Narkotikų, tabako ir alkoholio kontrolės </w:t>
            </w:r>
            <w:r w:rsidRPr="00704675">
              <w:t>departamentui pateikia:</w:t>
            </w:r>
          </w:p>
          <w:p w14:paraId="78D39E07" w14:textId="77777777" w:rsidR="00704675" w:rsidRDefault="00704675" w:rsidP="00D6010F">
            <w:pPr>
              <w:suppressAutoHyphens/>
              <w:autoSpaceDN w:val="0"/>
              <w:jc w:val="both"/>
              <w:textAlignment w:val="baseline"/>
              <w:rPr>
                <w:szCs w:val="24"/>
              </w:rPr>
            </w:pPr>
            <w:r w:rsidRPr="00743860">
              <w:rPr>
                <w:szCs w:val="24"/>
              </w:rPr>
              <w:t xml:space="preserve">23.1. </w:t>
            </w:r>
            <w:r w:rsidRPr="00743860">
              <w:rPr>
                <w:szCs w:val="24"/>
                <w:lang w:eastAsia="lt-LT"/>
              </w:rPr>
              <w:t xml:space="preserve">Narkotikų, tabako ir alkoholio kontrolės </w:t>
            </w:r>
            <w:r w:rsidRPr="00743860">
              <w:rPr>
                <w:szCs w:val="24"/>
              </w:rPr>
              <w:t>departamento direktoriaus įsakymu patvirtintos formos paraišką, kurioje pateikiama Reglamento (ES) 2015/1011 5 straipsnio 2 ir 5 dalyse nurodyta informacija;</w:t>
            </w:r>
          </w:p>
          <w:p w14:paraId="240ECEB0" w14:textId="77777777" w:rsidR="00406994" w:rsidRDefault="00406994" w:rsidP="00D6010F">
            <w:pPr>
              <w:suppressAutoHyphens/>
              <w:autoSpaceDN w:val="0"/>
              <w:jc w:val="both"/>
              <w:textAlignment w:val="baseline"/>
              <w:rPr>
                <w:szCs w:val="24"/>
              </w:rPr>
            </w:pPr>
          </w:p>
          <w:p w14:paraId="671C037C" w14:textId="77777777" w:rsidR="00406994" w:rsidRDefault="00406994" w:rsidP="00D6010F">
            <w:pPr>
              <w:suppressAutoHyphens/>
              <w:autoSpaceDN w:val="0"/>
              <w:jc w:val="both"/>
              <w:textAlignment w:val="baseline"/>
              <w:rPr>
                <w:szCs w:val="24"/>
              </w:rPr>
            </w:pPr>
          </w:p>
          <w:p w14:paraId="38BEAC2D" w14:textId="77777777" w:rsidR="00406994" w:rsidRDefault="00406994" w:rsidP="00D6010F">
            <w:pPr>
              <w:suppressAutoHyphens/>
              <w:autoSpaceDN w:val="0"/>
              <w:jc w:val="both"/>
              <w:textAlignment w:val="baseline"/>
              <w:rPr>
                <w:szCs w:val="24"/>
              </w:rPr>
            </w:pPr>
          </w:p>
          <w:p w14:paraId="05E0050E" w14:textId="77777777" w:rsidR="00406994" w:rsidRDefault="00406994" w:rsidP="00D6010F">
            <w:pPr>
              <w:suppressAutoHyphens/>
              <w:autoSpaceDN w:val="0"/>
              <w:jc w:val="both"/>
              <w:textAlignment w:val="baseline"/>
              <w:rPr>
                <w:szCs w:val="24"/>
              </w:rPr>
            </w:pPr>
          </w:p>
          <w:p w14:paraId="4EC5D70F" w14:textId="77777777" w:rsidR="00406994" w:rsidRDefault="00406994" w:rsidP="00D6010F">
            <w:pPr>
              <w:suppressAutoHyphens/>
              <w:autoSpaceDN w:val="0"/>
              <w:jc w:val="both"/>
              <w:textAlignment w:val="baseline"/>
              <w:rPr>
                <w:szCs w:val="24"/>
              </w:rPr>
            </w:pPr>
          </w:p>
          <w:p w14:paraId="16D83C15" w14:textId="77777777" w:rsidR="00406994" w:rsidRDefault="00406994" w:rsidP="00D6010F">
            <w:pPr>
              <w:suppressAutoHyphens/>
              <w:autoSpaceDN w:val="0"/>
              <w:jc w:val="both"/>
              <w:textAlignment w:val="baseline"/>
              <w:rPr>
                <w:szCs w:val="24"/>
              </w:rPr>
            </w:pPr>
          </w:p>
          <w:p w14:paraId="2601419B" w14:textId="77777777" w:rsidR="00406994" w:rsidRDefault="00406994" w:rsidP="00D6010F">
            <w:pPr>
              <w:suppressAutoHyphens/>
              <w:autoSpaceDN w:val="0"/>
              <w:jc w:val="both"/>
              <w:textAlignment w:val="baseline"/>
              <w:rPr>
                <w:szCs w:val="24"/>
              </w:rPr>
            </w:pPr>
          </w:p>
          <w:p w14:paraId="69625D50" w14:textId="77777777" w:rsidR="00704675" w:rsidRPr="00743860" w:rsidRDefault="00704675" w:rsidP="00D6010F">
            <w:pPr>
              <w:jc w:val="both"/>
              <w:rPr>
                <w:b/>
                <w:szCs w:val="24"/>
              </w:rPr>
            </w:pPr>
          </w:p>
        </w:tc>
        <w:tc>
          <w:tcPr>
            <w:tcW w:w="1985" w:type="dxa"/>
          </w:tcPr>
          <w:p w14:paraId="1C766E94" w14:textId="77777777" w:rsidR="00704675" w:rsidRDefault="00704675" w:rsidP="00D6010F">
            <w:pPr>
              <w:jc w:val="center"/>
              <w:rPr>
                <w:szCs w:val="24"/>
              </w:rPr>
            </w:pPr>
            <w:r w:rsidRPr="00743860">
              <w:rPr>
                <w:szCs w:val="24"/>
              </w:rPr>
              <w:t>Visiškas</w:t>
            </w:r>
          </w:p>
          <w:p w14:paraId="067CD718" w14:textId="77777777" w:rsidR="00406994" w:rsidRDefault="00406994" w:rsidP="00D6010F">
            <w:pPr>
              <w:jc w:val="center"/>
              <w:rPr>
                <w:szCs w:val="24"/>
              </w:rPr>
            </w:pPr>
          </w:p>
          <w:p w14:paraId="7E547773" w14:textId="77777777" w:rsidR="00406994" w:rsidRDefault="00406994" w:rsidP="00D6010F">
            <w:pPr>
              <w:jc w:val="center"/>
              <w:rPr>
                <w:szCs w:val="24"/>
              </w:rPr>
            </w:pPr>
          </w:p>
          <w:p w14:paraId="09777EC7" w14:textId="77777777" w:rsidR="00406994" w:rsidRDefault="00406994" w:rsidP="00D6010F">
            <w:pPr>
              <w:jc w:val="center"/>
              <w:rPr>
                <w:szCs w:val="24"/>
              </w:rPr>
            </w:pPr>
          </w:p>
          <w:p w14:paraId="48473F7B" w14:textId="77777777" w:rsidR="00406994" w:rsidRDefault="00406994" w:rsidP="00D6010F">
            <w:pPr>
              <w:jc w:val="center"/>
              <w:rPr>
                <w:szCs w:val="24"/>
              </w:rPr>
            </w:pPr>
          </w:p>
          <w:p w14:paraId="705B2B72" w14:textId="77777777" w:rsidR="00406994" w:rsidRDefault="00406994" w:rsidP="00D6010F">
            <w:pPr>
              <w:jc w:val="center"/>
              <w:rPr>
                <w:szCs w:val="24"/>
              </w:rPr>
            </w:pPr>
          </w:p>
          <w:p w14:paraId="749EA57A" w14:textId="77777777" w:rsidR="00406994" w:rsidRDefault="00406994" w:rsidP="00D6010F">
            <w:pPr>
              <w:jc w:val="center"/>
              <w:rPr>
                <w:szCs w:val="24"/>
              </w:rPr>
            </w:pPr>
          </w:p>
          <w:p w14:paraId="053F3D46" w14:textId="77777777" w:rsidR="00406994" w:rsidRDefault="00406994" w:rsidP="00D6010F">
            <w:pPr>
              <w:jc w:val="center"/>
              <w:rPr>
                <w:szCs w:val="24"/>
              </w:rPr>
            </w:pPr>
          </w:p>
          <w:p w14:paraId="661E54F5" w14:textId="77777777" w:rsidR="00406994" w:rsidRDefault="00406994" w:rsidP="00D6010F">
            <w:pPr>
              <w:jc w:val="center"/>
              <w:rPr>
                <w:szCs w:val="24"/>
              </w:rPr>
            </w:pPr>
          </w:p>
          <w:p w14:paraId="34AE337D" w14:textId="77777777" w:rsidR="00406994" w:rsidRDefault="00406994" w:rsidP="00D6010F">
            <w:pPr>
              <w:jc w:val="center"/>
              <w:rPr>
                <w:szCs w:val="24"/>
              </w:rPr>
            </w:pPr>
          </w:p>
          <w:p w14:paraId="19FA1F40" w14:textId="77777777" w:rsidR="00406994" w:rsidRDefault="00406994" w:rsidP="00D6010F">
            <w:pPr>
              <w:jc w:val="center"/>
              <w:rPr>
                <w:szCs w:val="24"/>
              </w:rPr>
            </w:pPr>
          </w:p>
          <w:p w14:paraId="2B8D8FC0" w14:textId="77777777" w:rsidR="00406994" w:rsidRDefault="00406994" w:rsidP="00D6010F">
            <w:pPr>
              <w:jc w:val="center"/>
              <w:rPr>
                <w:szCs w:val="24"/>
              </w:rPr>
            </w:pPr>
          </w:p>
          <w:p w14:paraId="70D086BF" w14:textId="77777777" w:rsidR="00406994" w:rsidRDefault="00406994" w:rsidP="00D6010F">
            <w:pPr>
              <w:jc w:val="center"/>
              <w:rPr>
                <w:szCs w:val="24"/>
              </w:rPr>
            </w:pPr>
          </w:p>
          <w:p w14:paraId="0ACE50F7" w14:textId="77777777" w:rsidR="00406994" w:rsidRDefault="00406994" w:rsidP="00D6010F">
            <w:pPr>
              <w:jc w:val="center"/>
              <w:rPr>
                <w:szCs w:val="24"/>
              </w:rPr>
            </w:pPr>
          </w:p>
          <w:p w14:paraId="2804C5B6" w14:textId="77777777" w:rsidR="00406994" w:rsidRDefault="00406994" w:rsidP="00D6010F">
            <w:pPr>
              <w:jc w:val="center"/>
              <w:rPr>
                <w:szCs w:val="24"/>
              </w:rPr>
            </w:pPr>
          </w:p>
          <w:p w14:paraId="5A219083" w14:textId="77777777" w:rsidR="00406994" w:rsidRDefault="00406994" w:rsidP="00D6010F">
            <w:pPr>
              <w:jc w:val="center"/>
              <w:rPr>
                <w:szCs w:val="24"/>
              </w:rPr>
            </w:pPr>
          </w:p>
          <w:p w14:paraId="54B1D0AC" w14:textId="77777777" w:rsidR="00406994" w:rsidRDefault="00406994" w:rsidP="00D6010F">
            <w:pPr>
              <w:jc w:val="center"/>
              <w:rPr>
                <w:szCs w:val="24"/>
              </w:rPr>
            </w:pPr>
          </w:p>
          <w:p w14:paraId="449F4394" w14:textId="77777777" w:rsidR="00406994" w:rsidRDefault="00406994" w:rsidP="00D6010F">
            <w:pPr>
              <w:jc w:val="center"/>
              <w:rPr>
                <w:szCs w:val="24"/>
              </w:rPr>
            </w:pPr>
          </w:p>
          <w:p w14:paraId="7DA2C01E" w14:textId="44D18BAF" w:rsidR="00406994" w:rsidRPr="00743860" w:rsidRDefault="00406994" w:rsidP="004338A0">
            <w:pPr>
              <w:rPr>
                <w:b/>
                <w:szCs w:val="24"/>
              </w:rPr>
            </w:pPr>
          </w:p>
        </w:tc>
      </w:tr>
      <w:tr w:rsidR="004338A0" w:rsidRPr="00743860" w14:paraId="12F2D169" w14:textId="77777777" w:rsidTr="004338A0">
        <w:tc>
          <w:tcPr>
            <w:tcW w:w="5954" w:type="dxa"/>
          </w:tcPr>
          <w:p w14:paraId="0463C125" w14:textId="77777777" w:rsidR="004338A0" w:rsidRDefault="004338A0" w:rsidP="004338A0">
            <w:pPr>
              <w:jc w:val="both"/>
              <w:rPr>
                <w:b/>
                <w:bCs/>
                <w:color w:val="000000"/>
                <w:szCs w:val="24"/>
                <w:lang w:eastAsia="lt-LT"/>
              </w:rPr>
            </w:pPr>
            <w:r w:rsidRPr="00743860">
              <w:rPr>
                <w:b/>
                <w:bCs/>
                <w:color w:val="000000"/>
                <w:szCs w:val="24"/>
                <w:lang w:eastAsia="lt-LT"/>
              </w:rPr>
              <w:t>9 straipsni</w:t>
            </w:r>
            <w:r>
              <w:rPr>
                <w:b/>
                <w:bCs/>
                <w:color w:val="000000"/>
                <w:szCs w:val="24"/>
                <w:lang w:eastAsia="lt-LT"/>
              </w:rPr>
              <w:t>s</w:t>
            </w:r>
          </w:p>
          <w:p w14:paraId="01F565E3" w14:textId="77777777" w:rsidR="004338A0" w:rsidRPr="00B20E7B" w:rsidRDefault="004338A0" w:rsidP="004338A0">
            <w:pPr>
              <w:jc w:val="both"/>
              <w:rPr>
                <w:b/>
                <w:bCs/>
                <w:color w:val="000000"/>
                <w:szCs w:val="24"/>
                <w:lang w:eastAsia="lt-LT"/>
              </w:rPr>
            </w:pPr>
            <w:r w:rsidRPr="00B20E7B">
              <w:rPr>
                <w:b/>
                <w:bCs/>
              </w:rPr>
              <w:t>Prekybos stebėsenai vykdyti būtina informacija</w:t>
            </w:r>
          </w:p>
          <w:p w14:paraId="3E5266D8" w14:textId="77777777" w:rsidR="004338A0" w:rsidRPr="00743860" w:rsidRDefault="004338A0" w:rsidP="004338A0">
            <w:pPr>
              <w:jc w:val="both"/>
              <w:rPr>
                <w:color w:val="000000"/>
                <w:szCs w:val="24"/>
                <w:lang w:eastAsia="lt-LT"/>
              </w:rPr>
            </w:pPr>
            <w:r>
              <w:rPr>
                <w:color w:val="000000"/>
                <w:szCs w:val="24"/>
                <w:lang w:eastAsia="lt-LT"/>
              </w:rPr>
              <w:t xml:space="preserve">1. </w:t>
            </w:r>
            <w:r w:rsidRPr="00743860">
              <w:rPr>
                <w:color w:val="000000"/>
                <w:szCs w:val="24"/>
                <w:lang w:eastAsia="lt-LT"/>
              </w:rPr>
              <w:t>Vadovaudamiesi Reglamento (EB) Nr. 273/2004 8 straipsnio 2 dalimi, ekonominės veiklos vykdytojai kompetentingoms institucijoms pateikia suvestinę informaciją apie sunaudotų arba pristatytų į oficialų sąrašą įtrauktų medžiagų kiekius ir apie kiekvienai trečiajai šaliai pristatytus kiekius.</w:t>
            </w:r>
          </w:p>
          <w:p w14:paraId="7A403AD8" w14:textId="77777777" w:rsidR="004338A0" w:rsidRDefault="004338A0" w:rsidP="004338A0">
            <w:pPr>
              <w:shd w:val="clear" w:color="auto" w:fill="FFFFFF"/>
              <w:jc w:val="both"/>
              <w:textAlignment w:val="baseline"/>
              <w:rPr>
                <w:color w:val="000000"/>
                <w:szCs w:val="24"/>
                <w:lang w:eastAsia="lt-LT"/>
              </w:rPr>
            </w:pPr>
            <w:r w:rsidRPr="00743860">
              <w:rPr>
                <w:color w:val="000000"/>
                <w:szCs w:val="24"/>
                <w:lang w:eastAsia="lt-LT"/>
              </w:rPr>
              <w:t>Reglamento (EB) Nr. 273/2004 I priede nustatytos 3 kategorijos medžiagoms, įtrauktoms į oficialų sąrašą, pirmoji pastraipa taikoma tik gavus kompetentingų institucijų prašymą.</w:t>
            </w:r>
          </w:p>
          <w:p w14:paraId="22C83594" w14:textId="0D1E612A" w:rsidR="004338A0" w:rsidRPr="00743860" w:rsidRDefault="004338A0" w:rsidP="004338A0">
            <w:pPr>
              <w:pStyle w:val="BodyTextIndent2"/>
              <w:tabs>
                <w:tab w:val="left" w:pos="0"/>
              </w:tabs>
              <w:spacing w:after="0" w:line="240" w:lineRule="auto"/>
              <w:ind w:left="0"/>
              <w:jc w:val="both"/>
              <w:outlineLvl w:val="0"/>
              <w:rPr>
                <w:b/>
                <w:bCs/>
                <w:szCs w:val="24"/>
              </w:rPr>
            </w:pPr>
            <w:r w:rsidRPr="00743860">
              <w:rPr>
                <w:bCs/>
                <w:color w:val="000000"/>
              </w:rPr>
              <w:t>&lt;...&gt;</w:t>
            </w:r>
          </w:p>
        </w:tc>
        <w:tc>
          <w:tcPr>
            <w:tcW w:w="6945" w:type="dxa"/>
          </w:tcPr>
          <w:p w14:paraId="13807A9C" w14:textId="77777777" w:rsidR="004338A0" w:rsidRPr="00743860" w:rsidRDefault="004338A0" w:rsidP="004338A0">
            <w:pPr>
              <w:jc w:val="both"/>
              <w:rPr>
                <w:b/>
                <w:szCs w:val="24"/>
              </w:rPr>
            </w:pPr>
            <w:r w:rsidRPr="00743860">
              <w:rPr>
                <w:b/>
                <w:szCs w:val="24"/>
              </w:rPr>
              <w:t>Projektas</w:t>
            </w:r>
          </w:p>
          <w:p w14:paraId="42EC6912" w14:textId="77777777" w:rsidR="004338A0" w:rsidRPr="00743860" w:rsidRDefault="004338A0" w:rsidP="004338A0">
            <w:pPr>
              <w:tabs>
                <w:tab w:val="left" w:pos="900"/>
                <w:tab w:val="left" w:pos="1134"/>
              </w:tabs>
              <w:suppressAutoHyphens/>
              <w:autoSpaceDN w:val="0"/>
              <w:jc w:val="both"/>
              <w:textAlignment w:val="baseline"/>
              <w:rPr>
                <w:szCs w:val="24"/>
              </w:rPr>
            </w:pPr>
            <w:r w:rsidRPr="00743860">
              <w:rPr>
                <w:szCs w:val="24"/>
                <w:lang w:eastAsia="lt-LT"/>
              </w:rPr>
              <w:t>44. Narkotikų, tabako ir alkoholio kontrolės departamentas</w:t>
            </w:r>
            <w:r w:rsidRPr="00743860">
              <w:rPr>
                <w:b/>
                <w:szCs w:val="24"/>
                <w:lang w:eastAsia="lt-LT"/>
              </w:rPr>
              <w:t xml:space="preserve"> </w:t>
            </w:r>
            <w:r w:rsidRPr="00743860">
              <w:rPr>
                <w:szCs w:val="24"/>
                <w:lang w:eastAsia="lt-LT"/>
              </w:rPr>
              <w:t>tvirtina ataskaitų formas, skirtas informacijai, nurodytai</w:t>
            </w:r>
            <w:r w:rsidRPr="00743860">
              <w:rPr>
                <w:b/>
                <w:szCs w:val="24"/>
                <w:lang w:eastAsia="lt-LT"/>
              </w:rPr>
              <w:t xml:space="preserve"> </w:t>
            </w:r>
            <w:r w:rsidRPr="00743860">
              <w:rPr>
                <w:iCs/>
                <w:szCs w:val="24"/>
                <w:lang w:eastAsia="lt-LT"/>
              </w:rPr>
              <w:t>Reglamente (ES) Nr. 2015/1011, Reglamente (ES) Nr.</w:t>
            </w:r>
            <w:r w:rsidRPr="00743860">
              <w:rPr>
                <w:szCs w:val="24"/>
                <w:lang w:eastAsia="lt-LT"/>
              </w:rPr>
              <w:t> </w:t>
            </w:r>
            <w:r w:rsidRPr="00743860">
              <w:rPr>
                <w:iCs/>
                <w:szCs w:val="24"/>
                <w:lang w:eastAsia="lt-LT"/>
              </w:rPr>
              <w:t xml:space="preserve">2015/1013 ir </w:t>
            </w:r>
            <w:r w:rsidRPr="00743860">
              <w:rPr>
                <w:szCs w:val="24"/>
                <w:lang w:eastAsia="lt-LT"/>
              </w:rPr>
              <w:t>Įstatymo 15 straipsnyje ir 16 straipsnio 1 dalyje, pateikti, ir jų teikimo tvarką.</w:t>
            </w:r>
          </w:p>
          <w:p w14:paraId="75BC3844" w14:textId="77777777" w:rsidR="004338A0" w:rsidRPr="00743860" w:rsidRDefault="004338A0" w:rsidP="00D6010F">
            <w:pPr>
              <w:jc w:val="both"/>
              <w:rPr>
                <w:b/>
                <w:szCs w:val="24"/>
              </w:rPr>
            </w:pPr>
          </w:p>
        </w:tc>
        <w:tc>
          <w:tcPr>
            <w:tcW w:w="1985" w:type="dxa"/>
          </w:tcPr>
          <w:p w14:paraId="50C7902C" w14:textId="35E8963C" w:rsidR="004338A0" w:rsidRPr="00743860" w:rsidRDefault="004338A0" w:rsidP="00D6010F">
            <w:pPr>
              <w:jc w:val="center"/>
              <w:rPr>
                <w:szCs w:val="24"/>
              </w:rPr>
            </w:pPr>
            <w:r>
              <w:rPr>
                <w:szCs w:val="24"/>
              </w:rPr>
              <w:t>Visiškas</w:t>
            </w:r>
          </w:p>
        </w:tc>
      </w:tr>
      <w:tr w:rsidR="00704675" w:rsidRPr="00743860" w14:paraId="7202C7D4" w14:textId="77777777" w:rsidTr="004338A0">
        <w:tc>
          <w:tcPr>
            <w:tcW w:w="5954" w:type="dxa"/>
          </w:tcPr>
          <w:p w14:paraId="00DA8A4E" w14:textId="36C836EE" w:rsidR="00704675" w:rsidRPr="00743860" w:rsidRDefault="00704675" w:rsidP="00D6010F">
            <w:pPr>
              <w:pStyle w:val="BodyTextIndent2"/>
              <w:tabs>
                <w:tab w:val="left" w:pos="0"/>
              </w:tabs>
              <w:spacing w:after="0" w:line="240" w:lineRule="auto"/>
              <w:ind w:left="0"/>
              <w:jc w:val="both"/>
              <w:outlineLvl w:val="0"/>
              <w:rPr>
                <w:b/>
                <w:bCs/>
                <w:szCs w:val="24"/>
              </w:rPr>
            </w:pPr>
            <w:r w:rsidRPr="00743860">
              <w:rPr>
                <w:b/>
                <w:bCs/>
                <w:szCs w:val="24"/>
              </w:rPr>
              <w:lastRenderedPageBreak/>
              <w:t>12 straipsnis</w:t>
            </w:r>
          </w:p>
          <w:p w14:paraId="0C1E03A2" w14:textId="7CEB69DF" w:rsidR="00704675" w:rsidRPr="00743860" w:rsidRDefault="00704675" w:rsidP="00D6010F">
            <w:pPr>
              <w:pStyle w:val="BodyTextIndent2"/>
              <w:tabs>
                <w:tab w:val="left" w:pos="0"/>
              </w:tabs>
              <w:spacing w:after="0" w:line="240" w:lineRule="auto"/>
              <w:ind w:left="0"/>
              <w:jc w:val="both"/>
              <w:outlineLvl w:val="0"/>
              <w:rPr>
                <w:rFonts w:eastAsia="Arial Unicode MS"/>
                <w:b/>
                <w:bCs/>
                <w:color w:val="444444"/>
                <w:szCs w:val="24"/>
                <w:shd w:val="clear" w:color="auto" w:fill="FFFFFF"/>
              </w:rPr>
            </w:pPr>
            <w:r w:rsidRPr="00743860">
              <w:rPr>
                <w:rFonts w:eastAsia="Arial Unicode MS"/>
                <w:b/>
                <w:bCs/>
                <w:color w:val="444444"/>
                <w:szCs w:val="24"/>
                <w:shd w:val="clear" w:color="auto" w:fill="FFFFFF"/>
              </w:rPr>
              <w:t>Kriterijai, kuriais remiantis nustatomos supaprastintos procedūros, taikomos eksporto leidimams</w:t>
            </w:r>
          </w:p>
          <w:p w14:paraId="767E23AF" w14:textId="2BF5991A" w:rsidR="00704675" w:rsidRPr="00743860" w:rsidRDefault="00704675" w:rsidP="00D6010F">
            <w:pPr>
              <w:pStyle w:val="BodyTextIndent2"/>
              <w:tabs>
                <w:tab w:val="left" w:pos="0"/>
              </w:tabs>
              <w:spacing w:after="0" w:line="240" w:lineRule="auto"/>
              <w:ind w:left="0"/>
              <w:jc w:val="both"/>
              <w:outlineLvl w:val="0"/>
              <w:rPr>
                <w:rFonts w:eastAsia="Arial Unicode MS"/>
                <w:color w:val="444444"/>
                <w:szCs w:val="24"/>
                <w:shd w:val="clear" w:color="auto" w:fill="FFFFFF"/>
              </w:rPr>
            </w:pPr>
            <w:r>
              <w:rPr>
                <w:rFonts w:eastAsia="Arial Unicode MS"/>
                <w:color w:val="444444"/>
                <w:szCs w:val="24"/>
                <w:shd w:val="clear" w:color="auto" w:fill="FFFFFF"/>
              </w:rPr>
              <w:t xml:space="preserve">1. </w:t>
            </w:r>
            <w:r w:rsidRPr="00743860">
              <w:rPr>
                <w:rFonts w:eastAsia="Arial Unicode MS"/>
                <w:color w:val="444444"/>
                <w:szCs w:val="24"/>
                <w:shd w:val="clear" w:color="auto" w:fill="FFFFFF"/>
              </w:rPr>
              <w:t>Jeigu konkreti į oficialų sąrašą įtraukta 3 ir 4 kategorijų medžiaga to paties Sąjungoje įsisteigusio eksportuotojo tam pačiam trečiojoje paskirties šalyje esančiam importuotojui per tam tikrą šešių arba dvylikos mėnesių laikotarpį eksportuojama dažnai, atitinkamam ekonominės veiklos vykdytojui pateikus paraišką, remdamasi Reglamento (EB) Nr. 111/2005 19 straipsniu, kompetentinga institucija gali išduoti eksporto leidimą supaprastinta tvarka.</w:t>
            </w:r>
          </w:p>
          <w:p w14:paraId="602BD580" w14:textId="77777777" w:rsidR="00704675" w:rsidRPr="00743860" w:rsidRDefault="00704675" w:rsidP="00D6010F">
            <w:pPr>
              <w:pStyle w:val="BodyTextIndent2"/>
              <w:tabs>
                <w:tab w:val="left" w:pos="0"/>
              </w:tabs>
              <w:spacing w:after="0" w:line="240" w:lineRule="auto"/>
              <w:ind w:left="0"/>
              <w:jc w:val="both"/>
              <w:outlineLvl w:val="0"/>
              <w:rPr>
                <w:bCs/>
                <w:color w:val="000000"/>
                <w:szCs w:val="24"/>
              </w:rPr>
            </w:pPr>
            <w:r w:rsidRPr="00743860">
              <w:rPr>
                <w:bCs/>
                <w:color w:val="000000"/>
                <w:szCs w:val="24"/>
              </w:rPr>
              <w:t>&lt;...&gt;</w:t>
            </w:r>
          </w:p>
          <w:p w14:paraId="0474D3CB" w14:textId="487D0FEA" w:rsidR="00704675" w:rsidRPr="00743860" w:rsidRDefault="00704675" w:rsidP="00D6010F">
            <w:pPr>
              <w:pStyle w:val="BodyTextIndent2"/>
              <w:tabs>
                <w:tab w:val="left" w:pos="0"/>
              </w:tabs>
              <w:spacing w:after="0" w:line="240" w:lineRule="auto"/>
              <w:ind w:left="0"/>
              <w:jc w:val="both"/>
              <w:outlineLvl w:val="0"/>
              <w:rPr>
                <w:rFonts w:eastAsia="Arial Unicode MS"/>
                <w:color w:val="444444"/>
                <w:szCs w:val="24"/>
                <w:shd w:val="clear" w:color="auto" w:fill="FFFFFF"/>
              </w:rPr>
            </w:pPr>
            <w:r w:rsidRPr="00743860">
              <w:rPr>
                <w:rFonts w:eastAsia="Arial Unicode MS"/>
                <w:color w:val="444444"/>
                <w:szCs w:val="24"/>
                <w:shd w:val="clear" w:color="auto" w:fill="FFFFFF"/>
              </w:rPr>
              <w:t>4.  Skubios medicininės pagalbos atveju, jeigu tenkinamos šio straipsnio 1 dalies a ir b punktų sąlygos, kompetentinga institucija nedelsdama, bet ne vėliau kaip per 3 darbo dienas nuo prašymo gavimo dienos priima sprendimą dėl paraiškos supaprastintam Reglamentas (EB) Nr. 111/2005 priede nustatytos 4 kategorijos medžiagų, įtrauktų į oficialų sąrašą, eksporto leidimui gauti.</w:t>
            </w:r>
          </w:p>
        </w:tc>
        <w:tc>
          <w:tcPr>
            <w:tcW w:w="6945" w:type="dxa"/>
          </w:tcPr>
          <w:p w14:paraId="10EDC793" w14:textId="77777777" w:rsidR="00704675" w:rsidRPr="00743860" w:rsidRDefault="00704675" w:rsidP="00D6010F">
            <w:pPr>
              <w:jc w:val="both"/>
              <w:rPr>
                <w:b/>
                <w:szCs w:val="24"/>
              </w:rPr>
            </w:pPr>
            <w:r w:rsidRPr="00743860">
              <w:rPr>
                <w:b/>
                <w:szCs w:val="24"/>
              </w:rPr>
              <w:t>Projektas</w:t>
            </w:r>
          </w:p>
          <w:p w14:paraId="0D0E080E" w14:textId="77777777" w:rsidR="00704675" w:rsidRPr="00743860" w:rsidRDefault="00704675" w:rsidP="00D6010F">
            <w:pPr>
              <w:tabs>
                <w:tab w:val="left" w:pos="1134"/>
              </w:tabs>
              <w:suppressAutoHyphens/>
              <w:autoSpaceDN w:val="0"/>
              <w:jc w:val="both"/>
              <w:textAlignment w:val="baseline"/>
              <w:rPr>
                <w:szCs w:val="24"/>
                <w:lang w:eastAsia="lt-LT"/>
              </w:rPr>
            </w:pPr>
            <w:r w:rsidRPr="00743860">
              <w:rPr>
                <w:szCs w:val="24"/>
                <w:lang w:eastAsia="lt-LT"/>
              </w:rPr>
              <w:t>42.</w:t>
            </w:r>
            <w:r w:rsidRPr="00743860">
              <w:rPr>
                <w:b/>
                <w:szCs w:val="24"/>
                <w:lang w:eastAsia="lt-LT"/>
              </w:rPr>
              <w:t xml:space="preserve"> </w:t>
            </w:r>
            <w:r w:rsidRPr="00743860">
              <w:rPr>
                <w:szCs w:val="24"/>
                <w:lang w:eastAsia="lt-LT"/>
              </w:rPr>
              <w:t>Supaprastinta procedūra, taikoma eksporto leidimų išdavimui, atliekama vadovaujantis Reglamento (ES) Nr. 2015/1011 12 straipsniu.</w:t>
            </w:r>
          </w:p>
          <w:p w14:paraId="6E57B6A8" w14:textId="77777777" w:rsidR="00704675" w:rsidRPr="00743860" w:rsidRDefault="00704675" w:rsidP="00D6010F">
            <w:pPr>
              <w:jc w:val="both"/>
              <w:rPr>
                <w:b/>
                <w:szCs w:val="24"/>
              </w:rPr>
            </w:pPr>
          </w:p>
        </w:tc>
        <w:tc>
          <w:tcPr>
            <w:tcW w:w="1985" w:type="dxa"/>
          </w:tcPr>
          <w:p w14:paraId="3607465D" w14:textId="77777777" w:rsidR="00704675" w:rsidRPr="00743860" w:rsidRDefault="00704675" w:rsidP="00D6010F">
            <w:pPr>
              <w:jc w:val="center"/>
              <w:rPr>
                <w:b/>
                <w:szCs w:val="24"/>
              </w:rPr>
            </w:pPr>
            <w:r w:rsidRPr="00743860">
              <w:rPr>
                <w:szCs w:val="24"/>
              </w:rPr>
              <w:t>Visiškas</w:t>
            </w:r>
          </w:p>
        </w:tc>
      </w:tr>
      <w:tr w:rsidR="00704675" w:rsidRPr="00743860" w14:paraId="45BF7BCE" w14:textId="77777777" w:rsidTr="004338A0">
        <w:tc>
          <w:tcPr>
            <w:tcW w:w="5954" w:type="dxa"/>
          </w:tcPr>
          <w:p w14:paraId="67699379" w14:textId="77777777" w:rsidR="002A1A34" w:rsidRPr="00D6010F" w:rsidRDefault="002A1A34" w:rsidP="00D6010F">
            <w:pPr>
              <w:pStyle w:val="title-article-norm"/>
              <w:shd w:val="clear" w:color="auto" w:fill="FFFFFF"/>
              <w:spacing w:before="0" w:beforeAutospacing="0" w:after="0" w:afterAutospacing="0"/>
              <w:rPr>
                <w:b/>
                <w:iCs/>
                <w:color w:val="000000"/>
              </w:rPr>
            </w:pPr>
            <w:r w:rsidRPr="00D6010F">
              <w:rPr>
                <w:b/>
                <w:iCs/>
                <w:color w:val="000000"/>
              </w:rPr>
              <w:t>13 straipsnis</w:t>
            </w:r>
          </w:p>
          <w:p w14:paraId="584B80C4" w14:textId="77777777" w:rsidR="002A1A34" w:rsidRDefault="002A1A34" w:rsidP="00D6010F">
            <w:pPr>
              <w:pStyle w:val="stitle-article-norm"/>
              <w:shd w:val="clear" w:color="auto" w:fill="FFFFFF"/>
              <w:spacing w:before="0" w:beforeAutospacing="0" w:after="0" w:afterAutospacing="0"/>
              <w:rPr>
                <w:b/>
                <w:bCs/>
                <w:color w:val="000000"/>
              </w:rPr>
            </w:pPr>
            <w:r>
              <w:rPr>
                <w:b/>
                <w:bCs/>
                <w:color w:val="000000"/>
              </w:rPr>
              <w:t>Sąlygos ir reikalavimai dėl informacijos, kuri turi būti teikiama apie stebėsenos priemonių įgyvendinimą</w:t>
            </w:r>
          </w:p>
          <w:p w14:paraId="4219E662" w14:textId="77777777" w:rsidR="00683B44" w:rsidRDefault="00683B44" w:rsidP="00D6010F">
            <w:pPr>
              <w:pStyle w:val="norm"/>
              <w:shd w:val="clear" w:color="auto" w:fill="FFFFFF"/>
              <w:spacing w:before="0" w:beforeAutospacing="0" w:after="0" w:afterAutospacing="0"/>
              <w:jc w:val="both"/>
              <w:rPr>
                <w:color w:val="000000"/>
              </w:rPr>
            </w:pPr>
            <w:r>
              <w:rPr>
                <w:color w:val="000000"/>
              </w:rPr>
              <w:t>1.  Kiekvieną mėnesį po kalendorinio ketvirčio valstybės narės Komisijai pateikia pranešimus, nurodytus Reglamento (EB) Nr. 111/2005 32 straipsnio 1 dalyje ir Reglamento (EB) Nr. 273/2004 13 straipsnio 1 dalyje. Pranešimuose pateikiama informacija apie visus atvejus, kai buvo sustabdytas į oficialų sąrašą įtrauktų ir neįtrauktų medžiagų išleidimas į apyvartą arba tos medžiagos buvo sulaikytos.</w:t>
            </w:r>
          </w:p>
          <w:p w14:paraId="76A8103F" w14:textId="77777777" w:rsidR="00683B44" w:rsidRDefault="00683B44" w:rsidP="00D6010F">
            <w:pPr>
              <w:pStyle w:val="norm"/>
              <w:shd w:val="clear" w:color="auto" w:fill="FFFFFF"/>
              <w:spacing w:before="0" w:beforeAutospacing="0" w:after="0" w:afterAutospacing="0"/>
              <w:jc w:val="both"/>
              <w:rPr>
                <w:color w:val="000000"/>
              </w:rPr>
            </w:pPr>
            <w:r>
              <w:rPr>
                <w:color w:val="000000"/>
              </w:rPr>
              <w:t>2.  Teikiant tą informaciją nurodoma:</w:t>
            </w:r>
          </w:p>
          <w:p w14:paraId="1F733AC8" w14:textId="7BB3C834" w:rsidR="00683B44" w:rsidRDefault="00683B44" w:rsidP="00D6010F">
            <w:pPr>
              <w:pStyle w:val="norm"/>
              <w:shd w:val="clear" w:color="auto" w:fill="FFFFFF"/>
              <w:spacing w:before="0" w:beforeAutospacing="0" w:after="0" w:afterAutospacing="0"/>
              <w:jc w:val="both"/>
              <w:rPr>
                <w:color w:val="000000"/>
                <w:shd w:val="clear" w:color="auto" w:fill="FFFFFF"/>
              </w:rPr>
            </w:pPr>
            <w:r>
              <w:rPr>
                <w:color w:val="000000"/>
                <w:shd w:val="clear" w:color="auto" w:fill="FFFFFF"/>
              </w:rPr>
              <w:t>a) medžiagos pavadinimas;</w:t>
            </w:r>
          </w:p>
          <w:p w14:paraId="3B147664" w14:textId="4652EA41" w:rsidR="00683B44" w:rsidRDefault="00683B44" w:rsidP="00D6010F">
            <w:pPr>
              <w:pStyle w:val="norm"/>
              <w:shd w:val="clear" w:color="auto" w:fill="FFFFFF"/>
              <w:spacing w:before="0" w:beforeAutospacing="0" w:after="0" w:afterAutospacing="0"/>
              <w:jc w:val="both"/>
              <w:rPr>
                <w:color w:val="000000"/>
                <w:shd w:val="clear" w:color="auto" w:fill="FFFFFF"/>
              </w:rPr>
            </w:pPr>
            <w:r>
              <w:rPr>
                <w:color w:val="000000"/>
                <w:shd w:val="clear" w:color="auto" w:fill="FFFFFF"/>
              </w:rPr>
              <w:t>b) jei žinoma, medžiagų kilmė, kilmės ir paskirties vietos;</w:t>
            </w:r>
          </w:p>
          <w:p w14:paraId="5B50A515" w14:textId="57118045" w:rsidR="00683B44" w:rsidRDefault="00683B44" w:rsidP="00D6010F">
            <w:pPr>
              <w:pStyle w:val="norm"/>
              <w:shd w:val="clear" w:color="auto" w:fill="FFFFFF"/>
              <w:spacing w:before="0" w:beforeAutospacing="0" w:after="0" w:afterAutospacing="0"/>
              <w:jc w:val="both"/>
              <w:rPr>
                <w:rFonts w:ascii="inherit" w:hAnsi="inherit"/>
                <w:color w:val="000000"/>
              </w:rPr>
            </w:pPr>
            <w:r>
              <w:rPr>
                <w:color w:val="000000"/>
                <w:shd w:val="clear" w:color="auto" w:fill="FFFFFF"/>
              </w:rPr>
              <w:t>c) į oficialų sąrašą įtrauktų medžiagų kiekis, jų muitinis statusas ir naudotos transporto priemonės.</w:t>
            </w:r>
            <w:r>
              <w:rPr>
                <w:rFonts w:ascii="inherit" w:hAnsi="inherit"/>
                <w:color w:val="000000"/>
              </w:rPr>
              <w:t> </w:t>
            </w:r>
          </w:p>
          <w:p w14:paraId="6F4D8421" w14:textId="734B5BBA" w:rsidR="00704675" w:rsidRPr="00D6010F" w:rsidRDefault="00683B44" w:rsidP="00D6010F">
            <w:pPr>
              <w:pStyle w:val="norm"/>
              <w:shd w:val="clear" w:color="auto" w:fill="FFFFFF"/>
              <w:spacing w:before="0" w:beforeAutospacing="0" w:after="0" w:afterAutospacing="0"/>
              <w:jc w:val="both"/>
              <w:rPr>
                <w:color w:val="000000"/>
              </w:rPr>
            </w:pPr>
            <w:r>
              <w:rPr>
                <w:color w:val="000000"/>
              </w:rPr>
              <w:lastRenderedPageBreak/>
              <w:t>3.  Baigiantis kiekvieniems kalendoriniams metams Komisija valstybėms narėms praneša pagal 1 dalį gautą informaciją.</w:t>
            </w:r>
          </w:p>
        </w:tc>
        <w:tc>
          <w:tcPr>
            <w:tcW w:w="6945" w:type="dxa"/>
          </w:tcPr>
          <w:p w14:paraId="0BD2CFB7" w14:textId="77777777" w:rsidR="00704675" w:rsidRPr="00743860" w:rsidRDefault="00704675" w:rsidP="00D6010F">
            <w:pPr>
              <w:jc w:val="both"/>
              <w:rPr>
                <w:b/>
                <w:szCs w:val="24"/>
              </w:rPr>
            </w:pPr>
            <w:r w:rsidRPr="00743860">
              <w:rPr>
                <w:b/>
                <w:szCs w:val="24"/>
              </w:rPr>
              <w:lastRenderedPageBreak/>
              <w:t>Projektas</w:t>
            </w:r>
          </w:p>
          <w:p w14:paraId="4B6B3F05" w14:textId="36AE6B56" w:rsidR="00704675" w:rsidRPr="00743860" w:rsidRDefault="00704675" w:rsidP="00D6010F">
            <w:pPr>
              <w:tabs>
                <w:tab w:val="left" w:pos="1134"/>
              </w:tabs>
              <w:suppressAutoHyphens/>
              <w:autoSpaceDN w:val="0"/>
              <w:jc w:val="both"/>
              <w:textAlignment w:val="baseline"/>
              <w:rPr>
                <w:szCs w:val="24"/>
              </w:rPr>
            </w:pPr>
            <w:r w:rsidRPr="00743860">
              <w:rPr>
                <w:szCs w:val="24"/>
                <w:lang w:eastAsia="lt-LT"/>
              </w:rPr>
              <w:t>47. Narkotikų, tabako ir alkoholio kontrolės departamentas duomenis apie veiklą, susijusią su narkotinių ir psichotropinių medžiagų pirmtakais (prekursoriais), perduoda į Europos narkotinių ir psichotropinių medžiagų (pirmtakų) prekursorių duomenų bazę Reglamento (ES) Nr. 2015/1013 12 straipsnyje ir Reglamento (ES) Nr. 2015/1011 13 straipsnyje nustatyta tvarka.</w:t>
            </w:r>
          </w:p>
        </w:tc>
        <w:tc>
          <w:tcPr>
            <w:tcW w:w="1985" w:type="dxa"/>
          </w:tcPr>
          <w:p w14:paraId="6C5D6F9E" w14:textId="176C934F" w:rsidR="00704675" w:rsidRPr="00743860" w:rsidRDefault="00D6010F" w:rsidP="00D6010F">
            <w:pPr>
              <w:jc w:val="center"/>
              <w:rPr>
                <w:b/>
                <w:szCs w:val="24"/>
              </w:rPr>
            </w:pPr>
            <w:r w:rsidRPr="00743860">
              <w:rPr>
                <w:szCs w:val="24"/>
              </w:rPr>
              <w:t>Visiškas</w:t>
            </w:r>
          </w:p>
        </w:tc>
      </w:tr>
    </w:tbl>
    <w:p w14:paraId="5DFD6799" w14:textId="77777777" w:rsidR="008A4C36" w:rsidRPr="00743860" w:rsidRDefault="009261D7" w:rsidP="00D6010F">
      <w:pPr>
        <w:jc w:val="center"/>
        <w:rPr>
          <w:szCs w:val="24"/>
        </w:rPr>
      </w:pPr>
      <w:r w:rsidRPr="00743860">
        <w:rPr>
          <w:szCs w:val="24"/>
        </w:rPr>
        <w:t>__________________________________________</w:t>
      </w:r>
    </w:p>
    <w:sectPr w:rsidR="008A4C36" w:rsidRPr="00743860" w:rsidSect="00743860">
      <w:headerReference w:type="default" r:id="rId8"/>
      <w:pgSz w:w="16838" w:h="11906" w:orient="landscape" w:code="9"/>
      <w:pgMar w:top="568" w:right="962"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9C65C" w14:textId="77777777" w:rsidR="006A40A3" w:rsidRDefault="006A40A3">
      <w:r>
        <w:separator/>
      </w:r>
    </w:p>
  </w:endnote>
  <w:endnote w:type="continuationSeparator" w:id="0">
    <w:p w14:paraId="4B7F4589" w14:textId="77777777" w:rsidR="006A40A3" w:rsidRDefault="006A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LT">
    <w:altName w:val="Times New Roman"/>
    <w:panose1 w:val="020B0604020202020204"/>
    <w:charset w:val="BA"/>
    <w:family w:val="roman"/>
    <w:pitch w:val="variable"/>
    <w:sig w:usb0="00007A87" w:usb1="80000000" w:usb2="00000008" w:usb3="00000000" w:csb0="000000FF" w:csb1="00000000"/>
  </w:font>
  <w:font w:name="TimesLT">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20B0604020202020204"/>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99860" w14:textId="77777777" w:rsidR="006A40A3" w:rsidRDefault="006A40A3">
      <w:r>
        <w:separator/>
      </w:r>
    </w:p>
  </w:footnote>
  <w:footnote w:type="continuationSeparator" w:id="0">
    <w:p w14:paraId="3192F896" w14:textId="77777777" w:rsidR="006A40A3" w:rsidRDefault="006A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BF8C" w14:textId="64F05D20" w:rsidR="006E1BFF" w:rsidRDefault="006E1BFF">
    <w:pPr>
      <w:pStyle w:val="Header"/>
      <w:jc w:val="center"/>
    </w:pPr>
    <w:r>
      <w:fldChar w:fldCharType="begin"/>
    </w:r>
    <w:r>
      <w:instrText>PAGE   \* MERGEFORMAT</w:instrText>
    </w:r>
    <w:r>
      <w:fldChar w:fldCharType="separate"/>
    </w:r>
    <w:r w:rsidR="00587688">
      <w:rPr>
        <w:noProof/>
      </w:rPr>
      <w:t>5</w:t>
    </w:r>
    <w:r>
      <w:fldChar w:fldCharType="end"/>
    </w:r>
  </w:p>
  <w:p w14:paraId="73C72FAE" w14:textId="77777777" w:rsidR="006E1BFF" w:rsidRDefault="006E1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40E3C"/>
    <w:multiLevelType w:val="hybridMultilevel"/>
    <w:tmpl w:val="F9E8F436"/>
    <w:lvl w:ilvl="0" w:tplc="E8DA74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317CEA"/>
    <w:multiLevelType w:val="hybridMultilevel"/>
    <w:tmpl w:val="25FA57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994DD0"/>
    <w:multiLevelType w:val="hybridMultilevel"/>
    <w:tmpl w:val="EADA6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32048E"/>
    <w:multiLevelType w:val="hybridMultilevel"/>
    <w:tmpl w:val="0D0E4738"/>
    <w:lvl w:ilvl="0" w:tplc="0427000F">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C596AE3"/>
    <w:multiLevelType w:val="hybridMultilevel"/>
    <w:tmpl w:val="4F526DCC"/>
    <w:lvl w:ilvl="0" w:tplc="959E5EF6">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148"/>
    <w:rsid w:val="00004683"/>
    <w:rsid w:val="00031E24"/>
    <w:rsid w:val="00032E24"/>
    <w:rsid w:val="00033D87"/>
    <w:rsid w:val="000374E9"/>
    <w:rsid w:val="000403B2"/>
    <w:rsid w:val="0004222E"/>
    <w:rsid w:val="000451B7"/>
    <w:rsid w:val="00055DF3"/>
    <w:rsid w:val="00056E28"/>
    <w:rsid w:val="00063BAC"/>
    <w:rsid w:val="000652E3"/>
    <w:rsid w:val="00074FEF"/>
    <w:rsid w:val="00076E4E"/>
    <w:rsid w:val="000802E6"/>
    <w:rsid w:val="00081C53"/>
    <w:rsid w:val="000849EA"/>
    <w:rsid w:val="00097E62"/>
    <w:rsid w:val="000A4391"/>
    <w:rsid w:val="000B1228"/>
    <w:rsid w:val="000B2E9C"/>
    <w:rsid w:val="000B327F"/>
    <w:rsid w:val="000C14D6"/>
    <w:rsid w:val="000C3256"/>
    <w:rsid w:val="000C57C5"/>
    <w:rsid w:val="000F2C1F"/>
    <w:rsid w:val="000F3886"/>
    <w:rsid w:val="00102815"/>
    <w:rsid w:val="001074DB"/>
    <w:rsid w:val="00113663"/>
    <w:rsid w:val="001162C4"/>
    <w:rsid w:val="00131698"/>
    <w:rsid w:val="00133EA1"/>
    <w:rsid w:val="001366CC"/>
    <w:rsid w:val="00141C4C"/>
    <w:rsid w:val="001453CC"/>
    <w:rsid w:val="00150DB0"/>
    <w:rsid w:val="00157CC4"/>
    <w:rsid w:val="00160632"/>
    <w:rsid w:val="001607EB"/>
    <w:rsid w:val="00160A50"/>
    <w:rsid w:val="001611B2"/>
    <w:rsid w:val="00163165"/>
    <w:rsid w:val="00165E7C"/>
    <w:rsid w:val="00166A7D"/>
    <w:rsid w:val="00171DAE"/>
    <w:rsid w:val="00176880"/>
    <w:rsid w:val="001858CD"/>
    <w:rsid w:val="00186690"/>
    <w:rsid w:val="00186824"/>
    <w:rsid w:val="001922D6"/>
    <w:rsid w:val="001B2821"/>
    <w:rsid w:val="001B572A"/>
    <w:rsid w:val="001B6DC8"/>
    <w:rsid w:val="001C6141"/>
    <w:rsid w:val="001C6B47"/>
    <w:rsid w:val="001C7E3C"/>
    <w:rsid w:val="001D5B18"/>
    <w:rsid w:val="001D6375"/>
    <w:rsid w:val="001D698E"/>
    <w:rsid w:val="001E224C"/>
    <w:rsid w:val="001E34D5"/>
    <w:rsid w:val="001E4D4C"/>
    <w:rsid w:val="001E5011"/>
    <w:rsid w:val="001F03D5"/>
    <w:rsid w:val="001F06C0"/>
    <w:rsid w:val="001F182C"/>
    <w:rsid w:val="001F4559"/>
    <w:rsid w:val="001F5684"/>
    <w:rsid w:val="001F5832"/>
    <w:rsid w:val="002022AF"/>
    <w:rsid w:val="00210C8F"/>
    <w:rsid w:val="00210D42"/>
    <w:rsid w:val="00211406"/>
    <w:rsid w:val="002120EA"/>
    <w:rsid w:val="00213E3C"/>
    <w:rsid w:val="00214F52"/>
    <w:rsid w:val="00216BE0"/>
    <w:rsid w:val="00217024"/>
    <w:rsid w:val="0022009B"/>
    <w:rsid w:val="0022242E"/>
    <w:rsid w:val="0022294C"/>
    <w:rsid w:val="0022581D"/>
    <w:rsid w:val="00225F60"/>
    <w:rsid w:val="00226CED"/>
    <w:rsid w:val="00227607"/>
    <w:rsid w:val="00230413"/>
    <w:rsid w:val="00232918"/>
    <w:rsid w:val="00233C97"/>
    <w:rsid w:val="00235332"/>
    <w:rsid w:val="00242317"/>
    <w:rsid w:val="00245956"/>
    <w:rsid w:val="002504B1"/>
    <w:rsid w:val="00254647"/>
    <w:rsid w:val="00262160"/>
    <w:rsid w:val="00263702"/>
    <w:rsid w:val="00267E59"/>
    <w:rsid w:val="00271039"/>
    <w:rsid w:val="002725F9"/>
    <w:rsid w:val="00273298"/>
    <w:rsid w:val="0027376B"/>
    <w:rsid w:val="002803EE"/>
    <w:rsid w:val="002819B8"/>
    <w:rsid w:val="002829F9"/>
    <w:rsid w:val="0028419E"/>
    <w:rsid w:val="00286482"/>
    <w:rsid w:val="002974E1"/>
    <w:rsid w:val="002A02BF"/>
    <w:rsid w:val="002A1154"/>
    <w:rsid w:val="002A1A34"/>
    <w:rsid w:val="002A1F24"/>
    <w:rsid w:val="002B67D6"/>
    <w:rsid w:val="002B7737"/>
    <w:rsid w:val="002C08EE"/>
    <w:rsid w:val="002C143B"/>
    <w:rsid w:val="002C1880"/>
    <w:rsid w:val="002C189B"/>
    <w:rsid w:val="002D0F1E"/>
    <w:rsid w:val="002D1F23"/>
    <w:rsid w:val="002D62A3"/>
    <w:rsid w:val="002D7B3B"/>
    <w:rsid w:val="002E43A4"/>
    <w:rsid w:val="002E6AFE"/>
    <w:rsid w:val="002E702D"/>
    <w:rsid w:val="002E732B"/>
    <w:rsid w:val="002F4E06"/>
    <w:rsid w:val="00310346"/>
    <w:rsid w:val="0031119F"/>
    <w:rsid w:val="00311F5E"/>
    <w:rsid w:val="00316BFB"/>
    <w:rsid w:val="00323E5C"/>
    <w:rsid w:val="0032432C"/>
    <w:rsid w:val="00331A6D"/>
    <w:rsid w:val="003371AA"/>
    <w:rsid w:val="00337E7C"/>
    <w:rsid w:val="003446A9"/>
    <w:rsid w:val="003467E0"/>
    <w:rsid w:val="0035090C"/>
    <w:rsid w:val="00353C91"/>
    <w:rsid w:val="00362A90"/>
    <w:rsid w:val="00366ACB"/>
    <w:rsid w:val="003672AB"/>
    <w:rsid w:val="00370CE5"/>
    <w:rsid w:val="00375107"/>
    <w:rsid w:val="00382D35"/>
    <w:rsid w:val="00384DB2"/>
    <w:rsid w:val="003916A3"/>
    <w:rsid w:val="003933F9"/>
    <w:rsid w:val="003A18E6"/>
    <w:rsid w:val="003A1E13"/>
    <w:rsid w:val="003A4FB7"/>
    <w:rsid w:val="003B1746"/>
    <w:rsid w:val="003B2DCA"/>
    <w:rsid w:val="003B62C3"/>
    <w:rsid w:val="003C17DA"/>
    <w:rsid w:val="003C3993"/>
    <w:rsid w:val="003C4849"/>
    <w:rsid w:val="003D0AE0"/>
    <w:rsid w:val="003D5C71"/>
    <w:rsid w:val="003E2825"/>
    <w:rsid w:val="003F087F"/>
    <w:rsid w:val="003F3C00"/>
    <w:rsid w:val="003F5FB5"/>
    <w:rsid w:val="003F700B"/>
    <w:rsid w:val="00401170"/>
    <w:rsid w:val="00404240"/>
    <w:rsid w:val="004064E0"/>
    <w:rsid w:val="00406994"/>
    <w:rsid w:val="00412233"/>
    <w:rsid w:val="00414B5D"/>
    <w:rsid w:val="00417114"/>
    <w:rsid w:val="00420953"/>
    <w:rsid w:val="0042419D"/>
    <w:rsid w:val="00424ACD"/>
    <w:rsid w:val="0043185D"/>
    <w:rsid w:val="004338A0"/>
    <w:rsid w:val="004352E9"/>
    <w:rsid w:val="0043794E"/>
    <w:rsid w:val="00440337"/>
    <w:rsid w:val="0045426B"/>
    <w:rsid w:val="0045535A"/>
    <w:rsid w:val="00455BF2"/>
    <w:rsid w:val="00457063"/>
    <w:rsid w:val="00476150"/>
    <w:rsid w:val="00477F8F"/>
    <w:rsid w:val="00481E72"/>
    <w:rsid w:val="00486D2A"/>
    <w:rsid w:val="0049098D"/>
    <w:rsid w:val="00492DBA"/>
    <w:rsid w:val="004C2C46"/>
    <w:rsid w:val="004C31B0"/>
    <w:rsid w:val="004C364C"/>
    <w:rsid w:val="004D1E99"/>
    <w:rsid w:val="004D2A07"/>
    <w:rsid w:val="004E1679"/>
    <w:rsid w:val="004E22F5"/>
    <w:rsid w:val="004E4D29"/>
    <w:rsid w:val="004E541B"/>
    <w:rsid w:val="004F0D69"/>
    <w:rsid w:val="004F22CA"/>
    <w:rsid w:val="004F31B4"/>
    <w:rsid w:val="004F31E3"/>
    <w:rsid w:val="004F41DE"/>
    <w:rsid w:val="004F573A"/>
    <w:rsid w:val="00500C75"/>
    <w:rsid w:val="00506231"/>
    <w:rsid w:val="0050695B"/>
    <w:rsid w:val="0050741E"/>
    <w:rsid w:val="00512B84"/>
    <w:rsid w:val="005219BE"/>
    <w:rsid w:val="00531B5F"/>
    <w:rsid w:val="005340DB"/>
    <w:rsid w:val="005367B6"/>
    <w:rsid w:val="00537DB4"/>
    <w:rsid w:val="005432F2"/>
    <w:rsid w:val="00550BDE"/>
    <w:rsid w:val="00556485"/>
    <w:rsid w:val="00561E21"/>
    <w:rsid w:val="005621E5"/>
    <w:rsid w:val="005661ED"/>
    <w:rsid w:val="00567943"/>
    <w:rsid w:val="00567F4F"/>
    <w:rsid w:val="00570EF6"/>
    <w:rsid w:val="00571291"/>
    <w:rsid w:val="00571F9C"/>
    <w:rsid w:val="00580DC4"/>
    <w:rsid w:val="005833EC"/>
    <w:rsid w:val="00585B39"/>
    <w:rsid w:val="00587688"/>
    <w:rsid w:val="00590A91"/>
    <w:rsid w:val="005940DD"/>
    <w:rsid w:val="00595425"/>
    <w:rsid w:val="005A1C50"/>
    <w:rsid w:val="005A6ACF"/>
    <w:rsid w:val="005B3665"/>
    <w:rsid w:val="005C0591"/>
    <w:rsid w:val="005C2D6E"/>
    <w:rsid w:val="005D0CC5"/>
    <w:rsid w:val="005D4D45"/>
    <w:rsid w:val="005D52AB"/>
    <w:rsid w:val="005F1D91"/>
    <w:rsid w:val="006046AD"/>
    <w:rsid w:val="006063E4"/>
    <w:rsid w:val="00613295"/>
    <w:rsid w:val="006144E1"/>
    <w:rsid w:val="006169EF"/>
    <w:rsid w:val="00620E68"/>
    <w:rsid w:val="006212CB"/>
    <w:rsid w:val="00621771"/>
    <w:rsid w:val="00622277"/>
    <w:rsid w:val="00626416"/>
    <w:rsid w:val="006267CB"/>
    <w:rsid w:val="00631F70"/>
    <w:rsid w:val="0063321E"/>
    <w:rsid w:val="00641835"/>
    <w:rsid w:val="00647C6E"/>
    <w:rsid w:val="0065033D"/>
    <w:rsid w:val="00653104"/>
    <w:rsid w:val="00663A1E"/>
    <w:rsid w:val="00667BF0"/>
    <w:rsid w:val="00667C84"/>
    <w:rsid w:val="00683B44"/>
    <w:rsid w:val="006920BB"/>
    <w:rsid w:val="00697E44"/>
    <w:rsid w:val="006A0213"/>
    <w:rsid w:val="006A142C"/>
    <w:rsid w:val="006A3E36"/>
    <w:rsid w:val="006A40A3"/>
    <w:rsid w:val="006A7328"/>
    <w:rsid w:val="006B067D"/>
    <w:rsid w:val="006B230E"/>
    <w:rsid w:val="006B3090"/>
    <w:rsid w:val="006B6E2D"/>
    <w:rsid w:val="006C55D7"/>
    <w:rsid w:val="006D2E45"/>
    <w:rsid w:val="006D5338"/>
    <w:rsid w:val="006D560D"/>
    <w:rsid w:val="006D59DA"/>
    <w:rsid w:val="006E1BFF"/>
    <w:rsid w:val="006E20B6"/>
    <w:rsid w:val="006F2CF9"/>
    <w:rsid w:val="006F410A"/>
    <w:rsid w:val="006F50B7"/>
    <w:rsid w:val="006F6FBE"/>
    <w:rsid w:val="006F74FA"/>
    <w:rsid w:val="00702686"/>
    <w:rsid w:val="00704675"/>
    <w:rsid w:val="0071177C"/>
    <w:rsid w:val="007133F0"/>
    <w:rsid w:val="00714E31"/>
    <w:rsid w:val="007224C6"/>
    <w:rsid w:val="00732024"/>
    <w:rsid w:val="00732D7E"/>
    <w:rsid w:val="00735A1F"/>
    <w:rsid w:val="00736456"/>
    <w:rsid w:val="00737148"/>
    <w:rsid w:val="00737221"/>
    <w:rsid w:val="00740E3A"/>
    <w:rsid w:val="00741561"/>
    <w:rsid w:val="00743082"/>
    <w:rsid w:val="00743860"/>
    <w:rsid w:val="00747780"/>
    <w:rsid w:val="00753662"/>
    <w:rsid w:val="007550B9"/>
    <w:rsid w:val="007648CE"/>
    <w:rsid w:val="00767D17"/>
    <w:rsid w:val="00773789"/>
    <w:rsid w:val="0077463E"/>
    <w:rsid w:val="007914AC"/>
    <w:rsid w:val="00791C83"/>
    <w:rsid w:val="0079209A"/>
    <w:rsid w:val="00793968"/>
    <w:rsid w:val="00794C82"/>
    <w:rsid w:val="00796409"/>
    <w:rsid w:val="00797259"/>
    <w:rsid w:val="007A0A40"/>
    <w:rsid w:val="007A4F8F"/>
    <w:rsid w:val="007A5129"/>
    <w:rsid w:val="007A7072"/>
    <w:rsid w:val="007A7636"/>
    <w:rsid w:val="007B0423"/>
    <w:rsid w:val="007B2F72"/>
    <w:rsid w:val="007B603A"/>
    <w:rsid w:val="007C083F"/>
    <w:rsid w:val="007C5080"/>
    <w:rsid w:val="007C6AD9"/>
    <w:rsid w:val="007C6E97"/>
    <w:rsid w:val="007C7703"/>
    <w:rsid w:val="007C7899"/>
    <w:rsid w:val="007D7500"/>
    <w:rsid w:val="007E4813"/>
    <w:rsid w:val="007E6AB1"/>
    <w:rsid w:val="007F2DA1"/>
    <w:rsid w:val="007F5B10"/>
    <w:rsid w:val="007F69BB"/>
    <w:rsid w:val="007F6DA4"/>
    <w:rsid w:val="0080059E"/>
    <w:rsid w:val="00804F1C"/>
    <w:rsid w:val="00805C20"/>
    <w:rsid w:val="00810753"/>
    <w:rsid w:val="00811463"/>
    <w:rsid w:val="008144E8"/>
    <w:rsid w:val="00815F04"/>
    <w:rsid w:val="0081674D"/>
    <w:rsid w:val="00820484"/>
    <w:rsid w:val="00820E4B"/>
    <w:rsid w:val="00825D7E"/>
    <w:rsid w:val="00830E55"/>
    <w:rsid w:val="00834D81"/>
    <w:rsid w:val="0083599C"/>
    <w:rsid w:val="00837D24"/>
    <w:rsid w:val="00840998"/>
    <w:rsid w:val="0084347F"/>
    <w:rsid w:val="00844BA0"/>
    <w:rsid w:val="00850FAF"/>
    <w:rsid w:val="00853527"/>
    <w:rsid w:val="00856114"/>
    <w:rsid w:val="0085768C"/>
    <w:rsid w:val="00863574"/>
    <w:rsid w:val="00863713"/>
    <w:rsid w:val="00865C10"/>
    <w:rsid w:val="008710D4"/>
    <w:rsid w:val="008744E5"/>
    <w:rsid w:val="0088315B"/>
    <w:rsid w:val="00891E16"/>
    <w:rsid w:val="00891F25"/>
    <w:rsid w:val="00897353"/>
    <w:rsid w:val="008A0D2C"/>
    <w:rsid w:val="008A1551"/>
    <w:rsid w:val="008A37D8"/>
    <w:rsid w:val="008A4C36"/>
    <w:rsid w:val="008A5485"/>
    <w:rsid w:val="008A5D5B"/>
    <w:rsid w:val="008A7037"/>
    <w:rsid w:val="008B299E"/>
    <w:rsid w:val="008B4200"/>
    <w:rsid w:val="008B6FA2"/>
    <w:rsid w:val="008B7ABE"/>
    <w:rsid w:val="008B7DDC"/>
    <w:rsid w:val="008C0A24"/>
    <w:rsid w:val="008C2D32"/>
    <w:rsid w:val="008C7D3A"/>
    <w:rsid w:val="008D1DC0"/>
    <w:rsid w:val="008D4776"/>
    <w:rsid w:val="008D4C91"/>
    <w:rsid w:val="008E486C"/>
    <w:rsid w:val="008E6264"/>
    <w:rsid w:val="008F16F0"/>
    <w:rsid w:val="008F4FA4"/>
    <w:rsid w:val="008F540C"/>
    <w:rsid w:val="008F6A2A"/>
    <w:rsid w:val="008F7305"/>
    <w:rsid w:val="009015C1"/>
    <w:rsid w:val="00904B81"/>
    <w:rsid w:val="00906B51"/>
    <w:rsid w:val="00911173"/>
    <w:rsid w:val="00916EB3"/>
    <w:rsid w:val="009261D7"/>
    <w:rsid w:val="009323BA"/>
    <w:rsid w:val="00935E17"/>
    <w:rsid w:val="0094076C"/>
    <w:rsid w:val="009425A1"/>
    <w:rsid w:val="00952CD9"/>
    <w:rsid w:val="009579C4"/>
    <w:rsid w:val="00960E14"/>
    <w:rsid w:val="009610DE"/>
    <w:rsid w:val="009634BA"/>
    <w:rsid w:val="00963EB1"/>
    <w:rsid w:val="009666BF"/>
    <w:rsid w:val="00972D44"/>
    <w:rsid w:val="009740FE"/>
    <w:rsid w:val="00974BF0"/>
    <w:rsid w:val="009825F7"/>
    <w:rsid w:val="009870FC"/>
    <w:rsid w:val="00987798"/>
    <w:rsid w:val="009923B5"/>
    <w:rsid w:val="009A68EE"/>
    <w:rsid w:val="009A777B"/>
    <w:rsid w:val="009B0B35"/>
    <w:rsid w:val="009C0C20"/>
    <w:rsid w:val="009C1ED7"/>
    <w:rsid w:val="009D3463"/>
    <w:rsid w:val="009D7608"/>
    <w:rsid w:val="009E0B7C"/>
    <w:rsid w:val="009E2B30"/>
    <w:rsid w:val="009E2B7B"/>
    <w:rsid w:val="009F14C0"/>
    <w:rsid w:val="009F317D"/>
    <w:rsid w:val="009F4C59"/>
    <w:rsid w:val="009F608A"/>
    <w:rsid w:val="00A006EC"/>
    <w:rsid w:val="00A0089C"/>
    <w:rsid w:val="00A0123F"/>
    <w:rsid w:val="00A04075"/>
    <w:rsid w:val="00A06016"/>
    <w:rsid w:val="00A10D87"/>
    <w:rsid w:val="00A12254"/>
    <w:rsid w:val="00A15090"/>
    <w:rsid w:val="00A26652"/>
    <w:rsid w:val="00A3059E"/>
    <w:rsid w:val="00A36AB4"/>
    <w:rsid w:val="00A40C47"/>
    <w:rsid w:val="00A419C0"/>
    <w:rsid w:val="00A539D4"/>
    <w:rsid w:val="00A625B7"/>
    <w:rsid w:val="00A66473"/>
    <w:rsid w:val="00A7410D"/>
    <w:rsid w:val="00A7458E"/>
    <w:rsid w:val="00A75BDA"/>
    <w:rsid w:val="00A76F18"/>
    <w:rsid w:val="00A80147"/>
    <w:rsid w:val="00A82451"/>
    <w:rsid w:val="00A828C2"/>
    <w:rsid w:val="00A847D8"/>
    <w:rsid w:val="00A87DEF"/>
    <w:rsid w:val="00A904D0"/>
    <w:rsid w:val="00A944A4"/>
    <w:rsid w:val="00A96A96"/>
    <w:rsid w:val="00A977D0"/>
    <w:rsid w:val="00AA1DBE"/>
    <w:rsid w:val="00AA2C61"/>
    <w:rsid w:val="00AB379C"/>
    <w:rsid w:val="00AB6C7B"/>
    <w:rsid w:val="00AB7161"/>
    <w:rsid w:val="00AC28AC"/>
    <w:rsid w:val="00AC2DD6"/>
    <w:rsid w:val="00AC2FFC"/>
    <w:rsid w:val="00AC383E"/>
    <w:rsid w:val="00AC5DC1"/>
    <w:rsid w:val="00AC63F8"/>
    <w:rsid w:val="00AD0DB4"/>
    <w:rsid w:val="00AD1603"/>
    <w:rsid w:val="00AD17D4"/>
    <w:rsid w:val="00AD4A55"/>
    <w:rsid w:val="00AE1DE1"/>
    <w:rsid w:val="00AE5381"/>
    <w:rsid w:val="00AF446D"/>
    <w:rsid w:val="00AF5754"/>
    <w:rsid w:val="00B0144F"/>
    <w:rsid w:val="00B056D3"/>
    <w:rsid w:val="00B1414C"/>
    <w:rsid w:val="00B1523C"/>
    <w:rsid w:val="00B20600"/>
    <w:rsid w:val="00B20E7B"/>
    <w:rsid w:val="00B24810"/>
    <w:rsid w:val="00B24854"/>
    <w:rsid w:val="00B24A9C"/>
    <w:rsid w:val="00B26146"/>
    <w:rsid w:val="00B2714F"/>
    <w:rsid w:val="00B34BD1"/>
    <w:rsid w:val="00B52585"/>
    <w:rsid w:val="00B52A76"/>
    <w:rsid w:val="00B53093"/>
    <w:rsid w:val="00B54164"/>
    <w:rsid w:val="00B54D66"/>
    <w:rsid w:val="00B61A7E"/>
    <w:rsid w:val="00B636BD"/>
    <w:rsid w:val="00B674AD"/>
    <w:rsid w:val="00B6758B"/>
    <w:rsid w:val="00B715CB"/>
    <w:rsid w:val="00B7231F"/>
    <w:rsid w:val="00B72808"/>
    <w:rsid w:val="00B728E3"/>
    <w:rsid w:val="00B751EE"/>
    <w:rsid w:val="00B76E9C"/>
    <w:rsid w:val="00B80AD1"/>
    <w:rsid w:val="00B813DD"/>
    <w:rsid w:val="00B87C30"/>
    <w:rsid w:val="00B94671"/>
    <w:rsid w:val="00BA0DD9"/>
    <w:rsid w:val="00BA204B"/>
    <w:rsid w:val="00BA70FE"/>
    <w:rsid w:val="00BB07B2"/>
    <w:rsid w:val="00BB0BD9"/>
    <w:rsid w:val="00BB4A53"/>
    <w:rsid w:val="00BB7523"/>
    <w:rsid w:val="00BC6F4E"/>
    <w:rsid w:val="00BD45B8"/>
    <w:rsid w:val="00BD497F"/>
    <w:rsid w:val="00BD4CBD"/>
    <w:rsid w:val="00BE2C92"/>
    <w:rsid w:val="00BE3BEB"/>
    <w:rsid w:val="00BE6165"/>
    <w:rsid w:val="00BE6F35"/>
    <w:rsid w:val="00BF11C2"/>
    <w:rsid w:val="00BF5C1F"/>
    <w:rsid w:val="00BF7393"/>
    <w:rsid w:val="00C115B5"/>
    <w:rsid w:val="00C12232"/>
    <w:rsid w:val="00C243D9"/>
    <w:rsid w:val="00C26A3F"/>
    <w:rsid w:val="00C26F72"/>
    <w:rsid w:val="00C31020"/>
    <w:rsid w:val="00C33134"/>
    <w:rsid w:val="00C35653"/>
    <w:rsid w:val="00C36C89"/>
    <w:rsid w:val="00C43A75"/>
    <w:rsid w:val="00C471DA"/>
    <w:rsid w:val="00C475DC"/>
    <w:rsid w:val="00C5454E"/>
    <w:rsid w:val="00C54FF5"/>
    <w:rsid w:val="00C625EF"/>
    <w:rsid w:val="00C6494A"/>
    <w:rsid w:val="00C728FB"/>
    <w:rsid w:val="00C72C84"/>
    <w:rsid w:val="00C75DE3"/>
    <w:rsid w:val="00C75FA1"/>
    <w:rsid w:val="00C77226"/>
    <w:rsid w:val="00C7722A"/>
    <w:rsid w:val="00C77C15"/>
    <w:rsid w:val="00C82CE6"/>
    <w:rsid w:val="00C83B67"/>
    <w:rsid w:val="00C850BF"/>
    <w:rsid w:val="00C85285"/>
    <w:rsid w:val="00C87784"/>
    <w:rsid w:val="00C90E56"/>
    <w:rsid w:val="00C967E4"/>
    <w:rsid w:val="00CA264D"/>
    <w:rsid w:val="00CA35D7"/>
    <w:rsid w:val="00CB5FDB"/>
    <w:rsid w:val="00CB750C"/>
    <w:rsid w:val="00CC4054"/>
    <w:rsid w:val="00CC73D4"/>
    <w:rsid w:val="00CD41D4"/>
    <w:rsid w:val="00CD5BBA"/>
    <w:rsid w:val="00CE33B6"/>
    <w:rsid w:val="00CE56B9"/>
    <w:rsid w:val="00CE6C7E"/>
    <w:rsid w:val="00CE772E"/>
    <w:rsid w:val="00CF0DBE"/>
    <w:rsid w:val="00CF3222"/>
    <w:rsid w:val="00CF34AD"/>
    <w:rsid w:val="00CF683E"/>
    <w:rsid w:val="00D05123"/>
    <w:rsid w:val="00D05C55"/>
    <w:rsid w:val="00D06EE8"/>
    <w:rsid w:val="00D117CC"/>
    <w:rsid w:val="00D13890"/>
    <w:rsid w:val="00D13E55"/>
    <w:rsid w:val="00D15A04"/>
    <w:rsid w:val="00D17E07"/>
    <w:rsid w:val="00D21266"/>
    <w:rsid w:val="00D249CD"/>
    <w:rsid w:val="00D32504"/>
    <w:rsid w:val="00D36BD7"/>
    <w:rsid w:val="00D4110F"/>
    <w:rsid w:val="00D41F8E"/>
    <w:rsid w:val="00D46B8B"/>
    <w:rsid w:val="00D50F9B"/>
    <w:rsid w:val="00D51CF7"/>
    <w:rsid w:val="00D56885"/>
    <w:rsid w:val="00D6010F"/>
    <w:rsid w:val="00D63F10"/>
    <w:rsid w:val="00D67337"/>
    <w:rsid w:val="00D76487"/>
    <w:rsid w:val="00D87183"/>
    <w:rsid w:val="00D87A7A"/>
    <w:rsid w:val="00D93E94"/>
    <w:rsid w:val="00D9616C"/>
    <w:rsid w:val="00D97601"/>
    <w:rsid w:val="00DA5B1E"/>
    <w:rsid w:val="00DA6742"/>
    <w:rsid w:val="00DA7893"/>
    <w:rsid w:val="00DA7D0C"/>
    <w:rsid w:val="00DC0AC7"/>
    <w:rsid w:val="00DC4E9C"/>
    <w:rsid w:val="00DC5A31"/>
    <w:rsid w:val="00DC7685"/>
    <w:rsid w:val="00DC783D"/>
    <w:rsid w:val="00DC7DD4"/>
    <w:rsid w:val="00DE1D02"/>
    <w:rsid w:val="00DE69D4"/>
    <w:rsid w:val="00DE73D6"/>
    <w:rsid w:val="00DE7D19"/>
    <w:rsid w:val="00DF1D7B"/>
    <w:rsid w:val="00DF2F60"/>
    <w:rsid w:val="00DF4ACC"/>
    <w:rsid w:val="00E01014"/>
    <w:rsid w:val="00E02A5E"/>
    <w:rsid w:val="00E03109"/>
    <w:rsid w:val="00E07802"/>
    <w:rsid w:val="00E07D63"/>
    <w:rsid w:val="00E14EDB"/>
    <w:rsid w:val="00E26BB0"/>
    <w:rsid w:val="00E32A8D"/>
    <w:rsid w:val="00E3567A"/>
    <w:rsid w:val="00E403BB"/>
    <w:rsid w:val="00E4240F"/>
    <w:rsid w:val="00E46034"/>
    <w:rsid w:val="00E47DD0"/>
    <w:rsid w:val="00E5037B"/>
    <w:rsid w:val="00E54566"/>
    <w:rsid w:val="00E561D9"/>
    <w:rsid w:val="00E56675"/>
    <w:rsid w:val="00E5685B"/>
    <w:rsid w:val="00E60758"/>
    <w:rsid w:val="00E628E4"/>
    <w:rsid w:val="00E64954"/>
    <w:rsid w:val="00E670DB"/>
    <w:rsid w:val="00E72346"/>
    <w:rsid w:val="00E72FB8"/>
    <w:rsid w:val="00E744E4"/>
    <w:rsid w:val="00E7591D"/>
    <w:rsid w:val="00E765E8"/>
    <w:rsid w:val="00E77E4D"/>
    <w:rsid w:val="00E82ED7"/>
    <w:rsid w:val="00E841C1"/>
    <w:rsid w:val="00E90DCC"/>
    <w:rsid w:val="00E91262"/>
    <w:rsid w:val="00E94A98"/>
    <w:rsid w:val="00E971C5"/>
    <w:rsid w:val="00EA529E"/>
    <w:rsid w:val="00EA70FE"/>
    <w:rsid w:val="00EB0DA9"/>
    <w:rsid w:val="00EB0FB7"/>
    <w:rsid w:val="00EB104F"/>
    <w:rsid w:val="00EB7AB0"/>
    <w:rsid w:val="00EC0036"/>
    <w:rsid w:val="00EC1677"/>
    <w:rsid w:val="00EC5B15"/>
    <w:rsid w:val="00ED3629"/>
    <w:rsid w:val="00ED44EE"/>
    <w:rsid w:val="00EE3D92"/>
    <w:rsid w:val="00EE5F0C"/>
    <w:rsid w:val="00EE5F97"/>
    <w:rsid w:val="00EE74AD"/>
    <w:rsid w:val="00F01CC9"/>
    <w:rsid w:val="00F02B83"/>
    <w:rsid w:val="00F02F90"/>
    <w:rsid w:val="00F04BFA"/>
    <w:rsid w:val="00F11536"/>
    <w:rsid w:val="00F20778"/>
    <w:rsid w:val="00F2480E"/>
    <w:rsid w:val="00F357E0"/>
    <w:rsid w:val="00F43B70"/>
    <w:rsid w:val="00F51869"/>
    <w:rsid w:val="00F545C4"/>
    <w:rsid w:val="00F61EFC"/>
    <w:rsid w:val="00F6264E"/>
    <w:rsid w:val="00F63431"/>
    <w:rsid w:val="00F65063"/>
    <w:rsid w:val="00F807D8"/>
    <w:rsid w:val="00F91E0E"/>
    <w:rsid w:val="00FA1C3C"/>
    <w:rsid w:val="00FA3921"/>
    <w:rsid w:val="00FA4319"/>
    <w:rsid w:val="00FA5B44"/>
    <w:rsid w:val="00FB01F3"/>
    <w:rsid w:val="00FB1C32"/>
    <w:rsid w:val="00FB2642"/>
    <w:rsid w:val="00FB5C65"/>
    <w:rsid w:val="00FC032D"/>
    <w:rsid w:val="00FC0798"/>
    <w:rsid w:val="00FC1D9B"/>
    <w:rsid w:val="00FC220E"/>
    <w:rsid w:val="00FC2328"/>
    <w:rsid w:val="00FD6FF9"/>
    <w:rsid w:val="00FE1902"/>
    <w:rsid w:val="00FE3797"/>
    <w:rsid w:val="00FE425C"/>
    <w:rsid w:val="00FF0280"/>
    <w:rsid w:val="00FF4A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E323F"/>
  <w15:chartTrackingRefBased/>
  <w15:docId w15:val="{3ECFB8B3-EB41-4157-BD9D-992B7C6E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148"/>
    <w:rPr>
      <w:sz w:val="24"/>
      <w:lang w:eastAsia="en-US"/>
    </w:rPr>
  </w:style>
  <w:style w:type="paragraph" w:styleId="Heading6">
    <w:name w:val="heading 6"/>
    <w:basedOn w:val="Normal"/>
    <w:link w:val="Heading6Char"/>
    <w:uiPriority w:val="9"/>
    <w:qFormat/>
    <w:rsid w:val="00891F25"/>
    <w:pPr>
      <w:spacing w:before="100" w:beforeAutospacing="1" w:after="100" w:afterAutospacing="1"/>
      <w:outlineLvl w:val="5"/>
    </w:pPr>
    <w:rPr>
      <w:b/>
      <w:bCs/>
      <w:sz w:val="15"/>
      <w:szCs w:val="15"/>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dadoption">
    <w:name w:val="Date d'adoption"/>
    <w:basedOn w:val="Normal"/>
    <w:next w:val="Normal"/>
    <w:rsid w:val="00737148"/>
    <w:pPr>
      <w:spacing w:before="360"/>
      <w:jc w:val="center"/>
    </w:pPr>
    <w:rPr>
      <w:b/>
      <w:lang w:val="en-GB"/>
    </w:rPr>
  </w:style>
  <w:style w:type="paragraph" w:customStyle="1" w:styleId="Emission">
    <w:name w:val="Emission"/>
    <w:basedOn w:val="Normal"/>
    <w:next w:val="Normal"/>
    <w:rsid w:val="00737148"/>
    <w:pPr>
      <w:ind w:left="5103"/>
    </w:pPr>
    <w:rPr>
      <w:lang w:val="en-GB"/>
    </w:rPr>
  </w:style>
  <w:style w:type="paragraph" w:customStyle="1" w:styleId="Fait">
    <w:name w:val="Fait ?"/>
    <w:basedOn w:val="Normal"/>
    <w:next w:val="Normal"/>
    <w:rsid w:val="00737148"/>
    <w:pPr>
      <w:spacing w:before="120"/>
      <w:jc w:val="both"/>
    </w:pPr>
    <w:rPr>
      <w:lang w:val="en-GB"/>
    </w:rPr>
  </w:style>
  <w:style w:type="paragraph" w:styleId="BodyText">
    <w:name w:val="Body Text"/>
    <w:basedOn w:val="Normal"/>
    <w:rsid w:val="00737148"/>
    <w:pPr>
      <w:jc w:val="center"/>
    </w:pPr>
    <w:rPr>
      <w:b/>
    </w:rPr>
  </w:style>
  <w:style w:type="paragraph" w:customStyle="1" w:styleId="NormalText">
    <w:name w:val="Normal Text"/>
    <w:basedOn w:val="Normal"/>
    <w:rsid w:val="00737148"/>
    <w:pPr>
      <w:ind w:firstLine="567"/>
      <w:jc w:val="both"/>
    </w:pPr>
    <w:rPr>
      <w:rFonts w:ascii="TIMES NEW ROMAN LT" w:hAnsi="TIMES NEW ROMAN LT"/>
      <w:sz w:val="20"/>
    </w:rPr>
  </w:style>
  <w:style w:type="paragraph" w:styleId="NormalWeb">
    <w:name w:val="Normal (Web)"/>
    <w:basedOn w:val="Normal"/>
    <w:rsid w:val="00737148"/>
    <w:pPr>
      <w:spacing w:before="176" w:after="176"/>
      <w:ind w:left="790" w:right="615"/>
    </w:pPr>
    <w:rPr>
      <w:sz w:val="19"/>
      <w:szCs w:val="19"/>
      <w:lang w:val="en-US"/>
    </w:rPr>
  </w:style>
  <w:style w:type="paragraph" w:customStyle="1" w:styleId="bodytext0">
    <w:name w:val="bodytext"/>
    <w:basedOn w:val="Normal"/>
    <w:rsid w:val="0083599C"/>
    <w:pPr>
      <w:spacing w:before="100" w:beforeAutospacing="1" w:after="100" w:afterAutospacing="1"/>
    </w:pPr>
    <w:rPr>
      <w:szCs w:val="24"/>
      <w:lang w:val="en-US"/>
    </w:rPr>
  </w:style>
  <w:style w:type="paragraph" w:customStyle="1" w:styleId="CentrBold">
    <w:name w:val="CentrBold"/>
    <w:rsid w:val="0045535A"/>
    <w:pPr>
      <w:jc w:val="center"/>
    </w:pPr>
    <w:rPr>
      <w:rFonts w:ascii="TimesLT" w:hAnsi="TimesLT"/>
      <w:b/>
      <w:caps/>
      <w:snapToGrid w:val="0"/>
      <w:lang w:val="en-US" w:eastAsia="en-US"/>
    </w:rPr>
  </w:style>
  <w:style w:type="paragraph" w:customStyle="1" w:styleId="Patvirtinta">
    <w:name w:val="Patvirtinta"/>
    <w:rsid w:val="0045535A"/>
    <w:pPr>
      <w:tabs>
        <w:tab w:val="left" w:pos="1304"/>
        <w:tab w:val="left" w:pos="1457"/>
        <w:tab w:val="left" w:pos="1604"/>
        <w:tab w:val="left" w:pos="1757"/>
      </w:tabs>
      <w:ind w:left="5953"/>
    </w:pPr>
    <w:rPr>
      <w:rFonts w:ascii="TimesLT" w:hAnsi="TimesLT"/>
      <w:snapToGrid w:val="0"/>
      <w:lang w:val="en-US" w:eastAsia="en-US"/>
    </w:rPr>
  </w:style>
  <w:style w:type="paragraph" w:customStyle="1" w:styleId="Pagrindinistekstas1">
    <w:name w:val="Pagrindinis tekstas1"/>
    <w:rsid w:val="0045535A"/>
    <w:pPr>
      <w:ind w:firstLine="312"/>
      <w:jc w:val="both"/>
    </w:pPr>
    <w:rPr>
      <w:rFonts w:ascii="TimesLT" w:hAnsi="TimesLT"/>
      <w:snapToGrid w:val="0"/>
      <w:lang w:val="en-US" w:eastAsia="en-US"/>
    </w:rPr>
  </w:style>
  <w:style w:type="paragraph" w:customStyle="1" w:styleId="ISTATYMAS">
    <w:name w:val="ISTATYMAS"/>
    <w:rsid w:val="003F3C00"/>
    <w:pPr>
      <w:autoSpaceDE w:val="0"/>
      <w:autoSpaceDN w:val="0"/>
      <w:adjustRightInd w:val="0"/>
      <w:jc w:val="center"/>
    </w:pPr>
    <w:rPr>
      <w:rFonts w:ascii="TimesLT" w:hAnsi="TimesLT"/>
      <w:lang w:val="en-US" w:eastAsia="en-US"/>
    </w:rPr>
  </w:style>
  <w:style w:type="paragraph" w:styleId="BalloonText">
    <w:name w:val="Balloon Text"/>
    <w:basedOn w:val="Normal"/>
    <w:semiHidden/>
    <w:rsid w:val="00C6494A"/>
    <w:rPr>
      <w:rFonts w:ascii="Tahoma" w:hAnsi="Tahoma" w:cs="Tahoma"/>
      <w:sz w:val="16"/>
      <w:szCs w:val="16"/>
    </w:rPr>
  </w:style>
  <w:style w:type="paragraph" w:styleId="BodyTextIndent2">
    <w:name w:val="Body Text Indent 2"/>
    <w:basedOn w:val="Normal"/>
    <w:link w:val="BodyTextIndent2Char"/>
    <w:uiPriority w:val="99"/>
    <w:unhideWhenUsed/>
    <w:rsid w:val="00891F25"/>
    <w:pPr>
      <w:spacing w:after="120" w:line="480" w:lineRule="auto"/>
      <w:ind w:left="283"/>
    </w:pPr>
  </w:style>
  <w:style w:type="character" w:customStyle="1" w:styleId="BodyTextIndent2Char">
    <w:name w:val="Body Text Indent 2 Char"/>
    <w:link w:val="BodyTextIndent2"/>
    <w:uiPriority w:val="99"/>
    <w:rsid w:val="00891F25"/>
    <w:rPr>
      <w:sz w:val="24"/>
      <w:lang w:eastAsia="en-US"/>
    </w:rPr>
  </w:style>
  <w:style w:type="character" w:customStyle="1" w:styleId="Heading6Char">
    <w:name w:val="Heading 6 Char"/>
    <w:link w:val="Heading6"/>
    <w:uiPriority w:val="9"/>
    <w:rsid w:val="00891F25"/>
    <w:rPr>
      <w:b/>
      <w:bCs/>
      <w:sz w:val="15"/>
      <w:szCs w:val="15"/>
      <w:lang w:val="x-none"/>
    </w:rPr>
  </w:style>
  <w:style w:type="paragraph" w:customStyle="1" w:styleId="CM1">
    <w:name w:val="CM1"/>
    <w:basedOn w:val="Normal"/>
    <w:next w:val="Normal"/>
    <w:uiPriority w:val="99"/>
    <w:rsid w:val="005432F2"/>
    <w:pPr>
      <w:autoSpaceDE w:val="0"/>
      <w:autoSpaceDN w:val="0"/>
      <w:adjustRightInd w:val="0"/>
    </w:pPr>
    <w:rPr>
      <w:rFonts w:ascii="EUAlbertina" w:hAnsi="EUAlbertina"/>
      <w:szCs w:val="24"/>
      <w:lang w:eastAsia="lt-LT"/>
    </w:rPr>
  </w:style>
  <w:style w:type="paragraph" w:customStyle="1" w:styleId="CM3">
    <w:name w:val="CM3"/>
    <w:basedOn w:val="Normal"/>
    <w:next w:val="Normal"/>
    <w:uiPriority w:val="99"/>
    <w:rsid w:val="005432F2"/>
    <w:pPr>
      <w:autoSpaceDE w:val="0"/>
      <w:autoSpaceDN w:val="0"/>
      <w:adjustRightInd w:val="0"/>
    </w:pPr>
    <w:rPr>
      <w:rFonts w:ascii="EUAlbertina" w:hAnsi="EUAlbertina"/>
      <w:szCs w:val="24"/>
      <w:lang w:eastAsia="lt-LT"/>
    </w:rPr>
  </w:style>
  <w:style w:type="paragraph" w:customStyle="1" w:styleId="CM4">
    <w:name w:val="CM4"/>
    <w:basedOn w:val="Normal"/>
    <w:next w:val="Normal"/>
    <w:uiPriority w:val="99"/>
    <w:rsid w:val="00DF2F60"/>
    <w:pPr>
      <w:autoSpaceDE w:val="0"/>
      <w:autoSpaceDN w:val="0"/>
      <w:adjustRightInd w:val="0"/>
    </w:pPr>
    <w:rPr>
      <w:rFonts w:ascii="EUAlbertina" w:hAnsi="EUAlbertina"/>
      <w:szCs w:val="24"/>
      <w:lang w:eastAsia="lt-LT"/>
    </w:rPr>
  </w:style>
  <w:style w:type="paragraph" w:styleId="HTMLPreformatted">
    <w:name w:val="HTML Preformatted"/>
    <w:basedOn w:val="Normal"/>
    <w:link w:val="HTMLPreformattedChar"/>
    <w:uiPriority w:val="99"/>
    <w:unhideWhenUsed/>
    <w:rsid w:val="008B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lt-LT"/>
    </w:rPr>
  </w:style>
  <w:style w:type="character" w:customStyle="1" w:styleId="HTMLPreformattedChar">
    <w:name w:val="HTML Preformatted Char"/>
    <w:link w:val="HTMLPreformatted"/>
    <w:uiPriority w:val="99"/>
    <w:rsid w:val="008B4200"/>
    <w:rPr>
      <w:rFonts w:ascii="Courier New" w:hAnsi="Courier New"/>
      <w:lang w:val="x-none"/>
    </w:rPr>
  </w:style>
  <w:style w:type="paragraph" w:styleId="Revision">
    <w:name w:val="Revision"/>
    <w:hidden/>
    <w:uiPriority w:val="99"/>
    <w:semiHidden/>
    <w:rsid w:val="00737221"/>
    <w:rPr>
      <w:sz w:val="24"/>
      <w:lang w:eastAsia="en-US"/>
    </w:rPr>
  </w:style>
  <w:style w:type="character" w:styleId="CommentReference">
    <w:name w:val="annotation reference"/>
    <w:semiHidden/>
    <w:unhideWhenUsed/>
    <w:rsid w:val="00FE425C"/>
    <w:rPr>
      <w:sz w:val="16"/>
      <w:szCs w:val="16"/>
    </w:rPr>
  </w:style>
  <w:style w:type="paragraph" w:styleId="CommentText">
    <w:name w:val="annotation text"/>
    <w:basedOn w:val="Normal"/>
    <w:link w:val="CommentTextChar"/>
    <w:semiHidden/>
    <w:unhideWhenUsed/>
    <w:rsid w:val="00FE425C"/>
    <w:rPr>
      <w:sz w:val="20"/>
    </w:rPr>
  </w:style>
  <w:style w:type="character" w:customStyle="1" w:styleId="CommentTextChar">
    <w:name w:val="Comment Text Char"/>
    <w:link w:val="CommentText"/>
    <w:semiHidden/>
    <w:rsid w:val="00FE425C"/>
    <w:rPr>
      <w:lang w:eastAsia="en-US"/>
    </w:rPr>
  </w:style>
  <w:style w:type="paragraph" w:customStyle="1" w:styleId="prastasis1">
    <w:name w:val="Įprastasis1"/>
    <w:basedOn w:val="Normal"/>
    <w:rsid w:val="00AD17D4"/>
    <w:pPr>
      <w:spacing w:before="120"/>
      <w:jc w:val="both"/>
    </w:pPr>
    <w:rPr>
      <w:szCs w:val="24"/>
      <w:lang w:eastAsia="lt-LT"/>
    </w:rPr>
  </w:style>
  <w:style w:type="paragraph" w:customStyle="1" w:styleId="sti-art">
    <w:name w:val="sti-art"/>
    <w:basedOn w:val="Normal"/>
    <w:rsid w:val="00AD17D4"/>
    <w:pPr>
      <w:spacing w:before="60" w:after="120"/>
      <w:jc w:val="center"/>
    </w:pPr>
    <w:rPr>
      <w:b/>
      <w:bCs/>
      <w:szCs w:val="24"/>
      <w:lang w:eastAsia="lt-LT"/>
    </w:rPr>
  </w:style>
  <w:style w:type="paragraph" w:styleId="ListParagraph">
    <w:name w:val="List Paragraph"/>
    <w:basedOn w:val="Normal"/>
    <w:qFormat/>
    <w:rsid w:val="009261D7"/>
    <w:pPr>
      <w:ind w:left="720"/>
      <w:contextualSpacing/>
    </w:pPr>
  </w:style>
  <w:style w:type="paragraph" w:styleId="CommentSubject">
    <w:name w:val="annotation subject"/>
    <w:basedOn w:val="CommentText"/>
    <w:next w:val="CommentText"/>
    <w:link w:val="CommentSubjectChar"/>
    <w:uiPriority w:val="99"/>
    <w:semiHidden/>
    <w:unhideWhenUsed/>
    <w:rsid w:val="00A7410D"/>
    <w:rPr>
      <w:b/>
      <w:bCs/>
    </w:rPr>
  </w:style>
  <w:style w:type="character" w:customStyle="1" w:styleId="CommentSubjectChar">
    <w:name w:val="Comment Subject Char"/>
    <w:link w:val="CommentSubject"/>
    <w:uiPriority w:val="99"/>
    <w:semiHidden/>
    <w:rsid w:val="00A7410D"/>
    <w:rPr>
      <w:b/>
      <w:bCs/>
      <w:lang w:eastAsia="en-US"/>
    </w:rPr>
  </w:style>
  <w:style w:type="paragraph" w:styleId="Header">
    <w:name w:val="header"/>
    <w:basedOn w:val="Normal"/>
    <w:link w:val="HeaderChar"/>
    <w:uiPriority w:val="99"/>
    <w:unhideWhenUsed/>
    <w:rsid w:val="00C728FB"/>
    <w:pPr>
      <w:tabs>
        <w:tab w:val="center" w:pos="4819"/>
        <w:tab w:val="right" w:pos="9638"/>
      </w:tabs>
    </w:pPr>
  </w:style>
  <w:style w:type="character" w:customStyle="1" w:styleId="HeaderChar">
    <w:name w:val="Header Char"/>
    <w:link w:val="Header"/>
    <w:uiPriority w:val="99"/>
    <w:rsid w:val="00C728FB"/>
    <w:rPr>
      <w:sz w:val="24"/>
      <w:lang w:eastAsia="en-US"/>
    </w:rPr>
  </w:style>
  <w:style w:type="paragraph" w:styleId="Footer">
    <w:name w:val="footer"/>
    <w:basedOn w:val="Normal"/>
    <w:link w:val="FooterChar"/>
    <w:uiPriority w:val="99"/>
    <w:unhideWhenUsed/>
    <w:rsid w:val="00C728FB"/>
    <w:pPr>
      <w:tabs>
        <w:tab w:val="center" w:pos="4819"/>
        <w:tab w:val="right" w:pos="9638"/>
      </w:tabs>
    </w:pPr>
  </w:style>
  <w:style w:type="character" w:customStyle="1" w:styleId="FooterChar">
    <w:name w:val="Footer Char"/>
    <w:link w:val="Footer"/>
    <w:uiPriority w:val="99"/>
    <w:rsid w:val="00C728FB"/>
    <w:rPr>
      <w:sz w:val="24"/>
      <w:lang w:eastAsia="en-US"/>
    </w:rPr>
  </w:style>
  <w:style w:type="paragraph" w:customStyle="1" w:styleId="norm">
    <w:name w:val="norm"/>
    <w:basedOn w:val="Normal"/>
    <w:rsid w:val="002A1154"/>
    <w:pPr>
      <w:spacing w:before="100" w:beforeAutospacing="1" w:after="100" w:afterAutospacing="1"/>
    </w:pPr>
    <w:rPr>
      <w:szCs w:val="24"/>
      <w:lang w:eastAsia="lt-LT"/>
    </w:rPr>
  </w:style>
  <w:style w:type="paragraph" w:customStyle="1" w:styleId="title-article-norm">
    <w:name w:val="title-article-norm"/>
    <w:basedOn w:val="Normal"/>
    <w:rsid w:val="006F50B7"/>
    <w:pPr>
      <w:spacing w:before="100" w:beforeAutospacing="1" w:after="100" w:afterAutospacing="1"/>
    </w:pPr>
    <w:rPr>
      <w:szCs w:val="24"/>
      <w:lang w:eastAsia="lt-LT"/>
    </w:rPr>
  </w:style>
  <w:style w:type="paragraph" w:customStyle="1" w:styleId="stitle-article-norm">
    <w:name w:val="stitle-article-norm"/>
    <w:basedOn w:val="Normal"/>
    <w:rsid w:val="002A1A3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0485">
      <w:bodyDiv w:val="1"/>
      <w:marLeft w:val="0"/>
      <w:marRight w:val="0"/>
      <w:marTop w:val="0"/>
      <w:marBottom w:val="0"/>
      <w:divBdr>
        <w:top w:val="none" w:sz="0" w:space="0" w:color="auto"/>
        <w:left w:val="none" w:sz="0" w:space="0" w:color="auto"/>
        <w:bottom w:val="none" w:sz="0" w:space="0" w:color="auto"/>
        <w:right w:val="none" w:sz="0" w:space="0" w:color="auto"/>
      </w:divBdr>
      <w:divsChild>
        <w:div w:id="2014528120">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28264531">
      <w:bodyDiv w:val="1"/>
      <w:marLeft w:val="0"/>
      <w:marRight w:val="0"/>
      <w:marTop w:val="0"/>
      <w:marBottom w:val="0"/>
      <w:divBdr>
        <w:top w:val="none" w:sz="0" w:space="0" w:color="auto"/>
        <w:left w:val="none" w:sz="0" w:space="0" w:color="auto"/>
        <w:bottom w:val="none" w:sz="0" w:space="0" w:color="auto"/>
        <w:right w:val="none" w:sz="0" w:space="0" w:color="auto"/>
      </w:divBdr>
      <w:divsChild>
        <w:div w:id="1202136073">
          <w:marLeft w:val="0"/>
          <w:marRight w:val="0"/>
          <w:marTop w:val="0"/>
          <w:marBottom w:val="0"/>
          <w:divBdr>
            <w:top w:val="none" w:sz="0" w:space="0" w:color="auto"/>
            <w:left w:val="none" w:sz="0" w:space="0" w:color="auto"/>
            <w:bottom w:val="none" w:sz="0" w:space="0" w:color="auto"/>
            <w:right w:val="none" w:sz="0" w:space="0" w:color="auto"/>
          </w:divBdr>
        </w:div>
      </w:divsChild>
    </w:div>
    <w:div w:id="32195921">
      <w:bodyDiv w:val="1"/>
      <w:marLeft w:val="0"/>
      <w:marRight w:val="0"/>
      <w:marTop w:val="0"/>
      <w:marBottom w:val="0"/>
      <w:divBdr>
        <w:top w:val="none" w:sz="0" w:space="0" w:color="auto"/>
        <w:left w:val="none" w:sz="0" w:space="0" w:color="auto"/>
        <w:bottom w:val="none" w:sz="0" w:space="0" w:color="auto"/>
        <w:right w:val="none" w:sz="0" w:space="0" w:color="auto"/>
      </w:divBdr>
      <w:divsChild>
        <w:div w:id="1488861111">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234362909">
      <w:bodyDiv w:val="1"/>
      <w:marLeft w:val="0"/>
      <w:marRight w:val="0"/>
      <w:marTop w:val="0"/>
      <w:marBottom w:val="0"/>
      <w:divBdr>
        <w:top w:val="none" w:sz="0" w:space="0" w:color="auto"/>
        <w:left w:val="none" w:sz="0" w:space="0" w:color="auto"/>
        <w:bottom w:val="none" w:sz="0" w:space="0" w:color="auto"/>
        <w:right w:val="none" w:sz="0" w:space="0" w:color="auto"/>
      </w:divBdr>
      <w:divsChild>
        <w:div w:id="196044177">
          <w:marLeft w:val="480"/>
          <w:marRight w:val="0"/>
          <w:marTop w:val="0"/>
          <w:marBottom w:val="0"/>
          <w:divBdr>
            <w:top w:val="none" w:sz="0" w:space="0" w:color="auto"/>
            <w:left w:val="none" w:sz="0" w:space="0" w:color="auto"/>
            <w:bottom w:val="none" w:sz="0" w:space="0" w:color="auto"/>
            <w:right w:val="none" w:sz="0" w:space="0" w:color="auto"/>
          </w:divBdr>
        </w:div>
        <w:div w:id="97607879">
          <w:marLeft w:val="480"/>
          <w:marRight w:val="0"/>
          <w:marTop w:val="0"/>
          <w:marBottom w:val="0"/>
          <w:divBdr>
            <w:top w:val="none" w:sz="0" w:space="0" w:color="auto"/>
            <w:left w:val="none" w:sz="0" w:space="0" w:color="auto"/>
            <w:bottom w:val="none" w:sz="0" w:space="0" w:color="auto"/>
            <w:right w:val="none" w:sz="0" w:space="0" w:color="auto"/>
          </w:divBdr>
        </w:div>
        <w:div w:id="1670210080">
          <w:marLeft w:val="480"/>
          <w:marRight w:val="0"/>
          <w:marTop w:val="0"/>
          <w:marBottom w:val="0"/>
          <w:divBdr>
            <w:top w:val="none" w:sz="0" w:space="0" w:color="auto"/>
            <w:left w:val="none" w:sz="0" w:space="0" w:color="auto"/>
            <w:bottom w:val="none" w:sz="0" w:space="0" w:color="auto"/>
            <w:right w:val="none" w:sz="0" w:space="0" w:color="auto"/>
          </w:divBdr>
        </w:div>
      </w:divsChild>
    </w:div>
    <w:div w:id="294872571">
      <w:bodyDiv w:val="1"/>
      <w:marLeft w:val="0"/>
      <w:marRight w:val="0"/>
      <w:marTop w:val="0"/>
      <w:marBottom w:val="0"/>
      <w:divBdr>
        <w:top w:val="none" w:sz="0" w:space="0" w:color="auto"/>
        <w:left w:val="none" w:sz="0" w:space="0" w:color="auto"/>
        <w:bottom w:val="none" w:sz="0" w:space="0" w:color="auto"/>
        <w:right w:val="none" w:sz="0" w:space="0" w:color="auto"/>
      </w:divBdr>
      <w:divsChild>
        <w:div w:id="1444113036">
          <w:marLeft w:val="480"/>
          <w:marRight w:val="0"/>
          <w:marTop w:val="0"/>
          <w:marBottom w:val="0"/>
          <w:divBdr>
            <w:top w:val="none" w:sz="0" w:space="0" w:color="auto"/>
            <w:left w:val="none" w:sz="0" w:space="0" w:color="auto"/>
            <w:bottom w:val="none" w:sz="0" w:space="0" w:color="auto"/>
            <w:right w:val="none" w:sz="0" w:space="0" w:color="auto"/>
          </w:divBdr>
        </w:div>
        <w:div w:id="709040617">
          <w:marLeft w:val="480"/>
          <w:marRight w:val="0"/>
          <w:marTop w:val="0"/>
          <w:marBottom w:val="0"/>
          <w:divBdr>
            <w:top w:val="none" w:sz="0" w:space="0" w:color="auto"/>
            <w:left w:val="none" w:sz="0" w:space="0" w:color="auto"/>
            <w:bottom w:val="none" w:sz="0" w:space="0" w:color="auto"/>
            <w:right w:val="none" w:sz="0" w:space="0" w:color="auto"/>
          </w:divBdr>
        </w:div>
        <w:div w:id="440730658">
          <w:marLeft w:val="480"/>
          <w:marRight w:val="0"/>
          <w:marTop w:val="0"/>
          <w:marBottom w:val="0"/>
          <w:divBdr>
            <w:top w:val="none" w:sz="0" w:space="0" w:color="auto"/>
            <w:left w:val="none" w:sz="0" w:space="0" w:color="auto"/>
            <w:bottom w:val="none" w:sz="0" w:space="0" w:color="auto"/>
            <w:right w:val="none" w:sz="0" w:space="0" w:color="auto"/>
          </w:divBdr>
        </w:div>
      </w:divsChild>
    </w:div>
    <w:div w:id="448160931">
      <w:bodyDiv w:val="1"/>
      <w:marLeft w:val="0"/>
      <w:marRight w:val="0"/>
      <w:marTop w:val="0"/>
      <w:marBottom w:val="0"/>
      <w:divBdr>
        <w:top w:val="none" w:sz="0" w:space="0" w:color="auto"/>
        <w:left w:val="none" w:sz="0" w:space="0" w:color="auto"/>
        <w:bottom w:val="none" w:sz="0" w:space="0" w:color="auto"/>
        <w:right w:val="none" w:sz="0" w:space="0" w:color="auto"/>
      </w:divBdr>
      <w:divsChild>
        <w:div w:id="1222714064">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661661836">
      <w:bodyDiv w:val="1"/>
      <w:marLeft w:val="0"/>
      <w:marRight w:val="0"/>
      <w:marTop w:val="0"/>
      <w:marBottom w:val="0"/>
      <w:divBdr>
        <w:top w:val="none" w:sz="0" w:space="0" w:color="auto"/>
        <w:left w:val="none" w:sz="0" w:space="0" w:color="auto"/>
        <w:bottom w:val="none" w:sz="0" w:space="0" w:color="auto"/>
        <w:right w:val="none" w:sz="0" w:space="0" w:color="auto"/>
      </w:divBdr>
    </w:div>
    <w:div w:id="703529068">
      <w:bodyDiv w:val="1"/>
      <w:marLeft w:val="0"/>
      <w:marRight w:val="0"/>
      <w:marTop w:val="0"/>
      <w:marBottom w:val="0"/>
      <w:divBdr>
        <w:top w:val="none" w:sz="0" w:space="0" w:color="auto"/>
        <w:left w:val="none" w:sz="0" w:space="0" w:color="auto"/>
        <w:bottom w:val="none" w:sz="0" w:space="0" w:color="auto"/>
        <w:right w:val="none" w:sz="0" w:space="0" w:color="auto"/>
      </w:divBdr>
    </w:div>
    <w:div w:id="969868013">
      <w:bodyDiv w:val="1"/>
      <w:marLeft w:val="390"/>
      <w:marRight w:val="390"/>
      <w:marTop w:val="0"/>
      <w:marBottom w:val="0"/>
      <w:divBdr>
        <w:top w:val="none" w:sz="0" w:space="0" w:color="auto"/>
        <w:left w:val="none" w:sz="0" w:space="0" w:color="auto"/>
        <w:bottom w:val="none" w:sz="0" w:space="0" w:color="auto"/>
        <w:right w:val="none" w:sz="0" w:space="0" w:color="auto"/>
      </w:divBdr>
      <w:divsChild>
        <w:div w:id="1105348574">
          <w:marLeft w:val="0"/>
          <w:marRight w:val="0"/>
          <w:marTop w:val="0"/>
          <w:marBottom w:val="0"/>
          <w:divBdr>
            <w:top w:val="none" w:sz="0" w:space="0" w:color="auto"/>
            <w:left w:val="none" w:sz="0" w:space="0" w:color="auto"/>
            <w:bottom w:val="none" w:sz="0" w:space="0" w:color="auto"/>
            <w:right w:val="none" w:sz="0" w:space="0" w:color="auto"/>
          </w:divBdr>
          <w:divsChild>
            <w:div w:id="309292962">
              <w:marLeft w:val="0"/>
              <w:marRight w:val="0"/>
              <w:marTop w:val="0"/>
              <w:marBottom w:val="0"/>
              <w:divBdr>
                <w:top w:val="none" w:sz="0" w:space="0" w:color="auto"/>
                <w:left w:val="none" w:sz="0" w:space="0" w:color="auto"/>
                <w:bottom w:val="none" w:sz="0" w:space="0" w:color="auto"/>
                <w:right w:val="none" w:sz="0" w:space="0" w:color="auto"/>
              </w:divBdr>
              <w:divsChild>
                <w:div w:id="780035750">
                  <w:marLeft w:val="-150"/>
                  <w:marRight w:val="-150"/>
                  <w:marTop w:val="0"/>
                  <w:marBottom w:val="0"/>
                  <w:divBdr>
                    <w:top w:val="none" w:sz="0" w:space="0" w:color="auto"/>
                    <w:left w:val="none" w:sz="0" w:space="0" w:color="auto"/>
                    <w:bottom w:val="none" w:sz="0" w:space="0" w:color="auto"/>
                    <w:right w:val="none" w:sz="0" w:space="0" w:color="auto"/>
                  </w:divBdr>
                  <w:divsChild>
                    <w:div w:id="20998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10279">
      <w:bodyDiv w:val="1"/>
      <w:marLeft w:val="0"/>
      <w:marRight w:val="0"/>
      <w:marTop w:val="0"/>
      <w:marBottom w:val="0"/>
      <w:divBdr>
        <w:top w:val="none" w:sz="0" w:space="0" w:color="auto"/>
        <w:left w:val="none" w:sz="0" w:space="0" w:color="auto"/>
        <w:bottom w:val="none" w:sz="0" w:space="0" w:color="auto"/>
        <w:right w:val="none" w:sz="0" w:space="0" w:color="auto"/>
      </w:divBdr>
      <w:divsChild>
        <w:div w:id="1354964135">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24927852">
      <w:bodyDiv w:val="1"/>
      <w:marLeft w:val="0"/>
      <w:marRight w:val="0"/>
      <w:marTop w:val="0"/>
      <w:marBottom w:val="0"/>
      <w:divBdr>
        <w:top w:val="none" w:sz="0" w:space="0" w:color="auto"/>
        <w:left w:val="none" w:sz="0" w:space="0" w:color="auto"/>
        <w:bottom w:val="none" w:sz="0" w:space="0" w:color="auto"/>
        <w:right w:val="none" w:sz="0" w:space="0" w:color="auto"/>
      </w:divBdr>
      <w:divsChild>
        <w:div w:id="1069037473">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25465856">
      <w:bodyDiv w:val="1"/>
      <w:marLeft w:val="0"/>
      <w:marRight w:val="0"/>
      <w:marTop w:val="0"/>
      <w:marBottom w:val="0"/>
      <w:divBdr>
        <w:top w:val="none" w:sz="0" w:space="0" w:color="auto"/>
        <w:left w:val="none" w:sz="0" w:space="0" w:color="auto"/>
        <w:bottom w:val="none" w:sz="0" w:space="0" w:color="auto"/>
        <w:right w:val="none" w:sz="0" w:space="0" w:color="auto"/>
      </w:divBdr>
      <w:divsChild>
        <w:div w:id="1004169398">
          <w:marLeft w:val="480"/>
          <w:marRight w:val="0"/>
          <w:marTop w:val="0"/>
          <w:marBottom w:val="0"/>
          <w:divBdr>
            <w:top w:val="none" w:sz="0" w:space="0" w:color="auto"/>
            <w:left w:val="none" w:sz="0" w:space="0" w:color="auto"/>
            <w:bottom w:val="none" w:sz="0" w:space="0" w:color="auto"/>
            <w:right w:val="none" w:sz="0" w:space="0" w:color="auto"/>
          </w:divBdr>
        </w:div>
        <w:div w:id="1033533399">
          <w:marLeft w:val="480"/>
          <w:marRight w:val="0"/>
          <w:marTop w:val="0"/>
          <w:marBottom w:val="0"/>
          <w:divBdr>
            <w:top w:val="none" w:sz="0" w:space="0" w:color="auto"/>
            <w:left w:val="none" w:sz="0" w:space="0" w:color="auto"/>
            <w:bottom w:val="none" w:sz="0" w:space="0" w:color="auto"/>
            <w:right w:val="none" w:sz="0" w:space="0" w:color="auto"/>
          </w:divBdr>
        </w:div>
        <w:div w:id="719284710">
          <w:marLeft w:val="480"/>
          <w:marRight w:val="0"/>
          <w:marTop w:val="0"/>
          <w:marBottom w:val="0"/>
          <w:divBdr>
            <w:top w:val="none" w:sz="0" w:space="0" w:color="auto"/>
            <w:left w:val="none" w:sz="0" w:space="0" w:color="auto"/>
            <w:bottom w:val="none" w:sz="0" w:space="0" w:color="auto"/>
            <w:right w:val="none" w:sz="0" w:space="0" w:color="auto"/>
          </w:divBdr>
        </w:div>
      </w:divsChild>
    </w:div>
    <w:div w:id="1158570676">
      <w:bodyDiv w:val="1"/>
      <w:marLeft w:val="0"/>
      <w:marRight w:val="0"/>
      <w:marTop w:val="0"/>
      <w:marBottom w:val="0"/>
      <w:divBdr>
        <w:top w:val="none" w:sz="0" w:space="0" w:color="auto"/>
        <w:left w:val="none" w:sz="0" w:space="0" w:color="auto"/>
        <w:bottom w:val="none" w:sz="0" w:space="0" w:color="auto"/>
        <w:right w:val="none" w:sz="0" w:space="0" w:color="auto"/>
      </w:divBdr>
      <w:divsChild>
        <w:div w:id="2121802836">
          <w:marLeft w:val="3"/>
          <w:marRight w:val="3"/>
          <w:marTop w:val="0"/>
          <w:marBottom w:val="0"/>
          <w:divBdr>
            <w:top w:val="single" w:sz="6" w:space="0" w:color="112449"/>
            <w:left w:val="single" w:sz="6" w:space="0" w:color="112449"/>
            <w:bottom w:val="single" w:sz="6" w:space="0" w:color="112449"/>
            <w:right w:val="single" w:sz="6" w:space="0" w:color="112449"/>
          </w:divBdr>
          <w:divsChild>
            <w:div w:id="1931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40172">
      <w:bodyDiv w:val="1"/>
      <w:marLeft w:val="0"/>
      <w:marRight w:val="0"/>
      <w:marTop w:val="0"/>
      <w:marBottom w:val="0"/>
      <w:divBdr>
        <w:top w:val="none" w:sz="0" w:space="0" w:color="auto"/>
        <w:left w:val="none" w:sz="0" w:space="0" w:color="auto"/>
        <w:bottom w:val="none" w:sz="0" w:space="0" w:color="auto"/>
        <w:right w:val="none" w:sz="0" w:space="0" w:color="auto"/>
      </w:divBdr>
    </w:div>
    <w:div w:id="1641688687">
      <w:bodyDiv w:val="1"/>
      <w:marLeft w:val="0"/>
      <w:marRight w:val="0"/>
      <w:marTop w:val="0"/>
      <w:marBottom w:val="0"/>
      <w:divBdr>
        <w:top w:val="none" w:sz="0" w:space="0" w:color="auto"/>
        <w:left w:val="none" w:sz="0" w:space="0" w:color="auto"/>
        <w:bottom w:val="none" w:sz="0" w:space="0" w:color="auto"/>
        <w:right w:val="none" w:sz="0" w:space="0" w:color="auto"/>
      </w:divBdr>
      <w:divsChild>
        <w:div w:id="208691397">
          <w:marLeft w:val="0"/>
          <w:marRight w:val="0"/>
          <w:marTop w:val="0"/>
          <w:marBottom w:val="0"/>
          <w:divBdr>
            <w:top w:val="none" w:sz="0" w:space="0" w:color="auto"/>
            <w:left w:val="none" w:sz="0" w:space="0" w:color="auto"/>
            <w:bottom w:val="none" w:sz="0" w:space="0" w:color="auto"/>
            <w:right w:val="none" w:sz="0" w:space="0" w:color="auto"/>
          </w:divBdr>
        </w:div>
        <w:div w:id="215047163">
          <w:marLeft w:val="0"/>
          <w:marRight w:val="0"/>
          <w:marTop w:val="0"/>
          <w:marBottom w:val="0"/>
          <w:divBdr>
            <w:top w:val="none" w:sz="0" w:space="0" w:color="auto"/>
            <w:left w:val="none" w:sz="0" w:space="0" w:color="auto"/>
            <w:bottom w:val="none" w:sz="0" w:space="0" w:color="auto"/>
            <w:right w:val="none" w:sz="0" w:space="0" w:color="auto"/>
          </w:divBdr>
        </w:div>
        <w:div w:id="292752396">
          <w:marLeft w:val="0"/>
          <w:marRight w:val="0"/>
          <w:marTop w:val="0"/>
          <w:marBottom w:val="0"/>
          <w:divBdr>
            <w:top w:val="none" w:sz="0" w:space="0" w:color="auto"/>
            <w:left w:val="none" w:sz="0" w:space="0" w:color="auto"/>
            <w:bottom w:val="none" w:sz="0" w:space="0" w:color="auto"/>
            <w:right w:val="none" w:sz="0" w:space="0" w:color="auto"/>
          </w:divBdr>
        </w:div>
        <w:div w:id="763652899">
          <w:marLeft w:val="0"/>
          <w:marRight w:val="0"/>
          <w:marTop w:val="0"/>
          <w:marBottom w:val="0"/>
          <w:divBdr>
            <w:top w:val="none" w:sz="0" w:space="0" w:color="auto"/>
            <w:left w:val="none" w:sz="0" w:space="0" w:color="auto"/>
            <w:bottom w:val="none" w:sz="0" w:space="0" w:color="auto"/>
            <w:right w:val="none" w:sz="0" w:space="0" w:color="auto"/>
          </w:divBdr>
        </w:div>
        <w:div w:id="917635429">
          <w:marLeft w:val="0"/>
          <w:marRight w:val="0"/>
          <w:marTop w:val="0"/>
          <w:marBottom w:val="0"/>
          <w:divBdr>
            <w:top w:val="none" w:sz="0" w:space="0" w:color="auto"/>
            <w:left w:val="none" w:sz="0" w:space="0" w:color="auto"/>
            <w:bottom w:val="none" w:sz="0" w:space="0" w:color="auto"/>
            <w:right w:val="none" w:sz="0" w:space="0" w:color="auto"/>
          </w:divBdr>
        </w:div>
        <w:div w:id="1298684995">
          <w:marLeft w:val="0"/>
          <w:marRight w:val="0"/>
          <w:marTop w:val="0"/>
          <w:marBottom w:val="0"/>
          <w:divBdr>
            <w:top w:val="none" w:sz="0" w:space="0" w:color="auto"/>
            <w:left w:val="none" w:sz="0" w:space="0" w:color="auto"/>
            <w:bottom w:val="none" w:sz="0" w:space="0" w:color="auto"/>
            <w:right w:val="none" w:sz="0" w:space="0" w:color="auto"/>
          </w:divBdr>
        </w:div>
        <w:div w:id="1572544270">
          <w:marLeft w:val="0"/>
          <w:marRight w:val="0"/>
          <w:marTop w:val="0"/>
          <w:marBottom w:val="0"/>
          <w:divBdr>
            <w:top w:val="none" w:sz="0" w:space="0" w:color="auto"/>
            <w:left w:val="none" w:sz="0" w:space="0" w:color="auto"/>
            <w:bottom w:val="none" w:sz="0" w:space="0" w:color="auto"/>
            <w:right w:val="none" w:sz="0" w:space="0" w:color="auto"/>
          </w:divBdr>
        </w:div>
        <w:div w:id="1602881447">
          <w:marLeft w:val="0"/>
          <w:marRight w:val="0"/>
          <w:marTop w:val="0"/>
          <w:marBottom w:val="0"/>
          <w:divBdr>
            <w:top w:val="none" w:sz="0" w:space="0" w:color="auto"/>
            <w:left w:val="none" w:sz="0" w:space="0" w:color="auto"/>
            <w:bottom w:val="none" w:sz="0" w:space="0" w:color="auto"/>
            <w:right w:val="none" w:sz="0" w:space="0" w:color="auto"/>
          </w:divBdr>
        </w:div>
        <w:div w:id="1736931439">
          <w:marLeft w:val="0"/>
          <w:marRight w:val="0"/>
          <w:marTop w:val="0"/>
          <w:marBottom w:val="0"/>
          <w:divBdr>
            <w:top w:val="none" w:sz="0" w:space="0" w:color="auto"/>
            <w:left w:val="none" w:sz="0" w:space="0" w:color="auto"/>
            <w:bottom w:val="none" w:sz="0" w:space="0" w:color="auto"/>
            <w:right w:val="none" w:sz="0" w:space="0" w:color="auto"/>
          </w:divBdr>
        </w:div>
        <w:div w:id="1958950564">
          <w:marLeft w:val="0"/>
          <w:marRight w:val="0"/>
          <w:marTop w:val="0"/>
          <w:marBottom w:val="0"/>
          <w:divBdr>
            <w:top w:val="none" w:sz="0" w:space="0" w:color="auto"/>
            <w:left w:val="none" w:sz="0" w:space="0" w:color="auto"/>
            <w:bottom w:val="none" w:sz="0" w:space="0" w:color="auto"/>
            <w:right w:val="none" w:sz="0" w:space="0" w:color="auto"/>
          </w:divBdr>
        </w:div>
        <w:div w:id="2046129283">
          <w:marLeft w:val="0"/>
          <w:marRight w:val="0"/>
          <w:marTop w:val="0"/>
          <w:marBottom w:val="0"/>
          <w:divBdr>
            <w:top w:val="none" w:sz="0" w:space="0" w:color="auto"/>
            <w:left w:val="none" w:sz="0" w:space="0" w:color="auto"/>
            <w:bottom w:val="none" w:sz="0" w:space="0" w:color="auto"/>
            <w:right w:val="none" w:sz="0" w:space="0" w:color="auto"/>
          </w:divBdr>
        </w:div>
      </w:divsChild>
    </w:div>
    <w:div w:id="1851290463">
      <w:bodyDiv w:val="1"/>
      <w:marLeft w:val="0"/>
      <w:marRight w:val="0"/>
      <w:marTop w:val="0"/>
      <w:marBottom w:val="0"/>
      <w:divBdr>
        <w:top w:val="none" w:sz="0" w:space="0" w:color="auto"/>
        <w:left w:val="none" w:sz="0" w:space="0" w:color="auto"/>
        <w:bottom w:val="none" w:sz="0" w:space="0" w:color="auto"/>
        <w:right w:val="none" w:sz="0" w:space="0" w:color="auto"/>
      </w:divBdr>
      <w:divsChild>
        <w:div w:id="72899440">
          <w:marLeft w:val="480"/>
          <w:marRight w:val="0"/>
          <w:marTop w:val="0"/>
          <w:marBottom w:val="0"/>
          <w:divBdr>
            <w:top w:val="none" w:sz="0" w:space="0" w:color="auto"/>
            <w:left w:val="none" w:sz="0" w:space="0" w:color="auto"/>
            <w:bottom w:val="none" w:sz="0" w:space="0" w:color="auto"/>
            <w:right w:val="none" w:sz="0" w:space="0" w:color="auto"/>
          </w:divBdr>
        </w:div>
        <w:div w:id="2066024959">
          <w:marLeft w:val="480"/>
          <w:marRight w:val="0"/>
          <w:marTop w:val="0"/>
          <w:marBottom w:val="0"/>
          <w:divBdr>
            <w:top w:val="none" w:sz="0" w:space="0" w:color="auto"/>
            <w:left w:val="none" w:sz="0" w:space="0" w:color="auto"/>
            <w:bottom w:val="none" w:sz="0" w:space="0" w:color="auto"/>
            <w:right w:val="none" w:sz="0" w:space="0" w:color="auto"/>
          </w:divBdr>
        </w:div>
        <w:div w:id="2067140985">
          <w:marLeft w:val="480"/>
          <w:marRight w:val="0"/>
          <w:marTop w:val="0"/>
          <w:marBottom w:val="0"/>
          <w:divBdr>
            <w:top w:val="none" w:sz="0" w:space="0" w:color="auto"/>
            <w:left w:val="none" w:sz="0" w:space="0" w:color="auto"/>
            <w:bottom w:val="none" w:sz="0" w:space="0" w:color="auto"/>
            <w:right w:val="none" w:sz="0" w:space="0" w:color="auto"/>
          </w:divBdr>
        </w:div>
      </w:divsChild>
    </w:div>
    <w:div w:id="1923951975">
      <w:bodyDiv w:val="1"/>
      <w:marLeft w:val="0"/>
      <w:marRight w:val="0"/>
      <w:marTop w:val="0"/>
      <w:marBottom w:val="0"/>
      <w:divBdr>
        <w:top w:val="none" w:sz="0" w:space="0" w:color="auto"/>
        <w:left w:val="none" w:sz="0" w:space="0" w:color="auto"/>
        <w:bottom w:val="none" w:sz="0" w:space="0" w:color="auto"/>
        <w:right w:val="none" w:sz="0" w:space="0" w:color="auto"/>
      </w:divBdr>
    </w:div>
    <w:div w:id="2107722303">
      <w:bodyDiv w:val="1"/>
      <w:marLeft w:val="0"/>
      <w:marRight w:val="0"/>
      <w:marTop w:val="0"/>
      <w:marBottom w:val="0"/>
      <w:divBdr>
        <w:top w:val="none" w:sz="0" w:space="0" w:color="auto"/>
        <w:left w:val="none" w:sz="0" w:space="0" w:color="auto"/>
        <w:bottom w:val="none" w:sz="0" w:space="0" w:color="auto"/>
        <w:right w:val="none" w:sz="0" w:space="0" w:color="auto"/>
      </w:divBdr>
      <w:divsChild>
        <w:div w:id="1807430066">
          <w:marLeft w:val="480"/>
          <w:marRight w:val="0"/>
          <w:marTop w:val="0"/>
          <w:marBottom w:val="0"/>
          <w:divBdr>
            <w:top w:val="none" w:sz="0" w:space="0" w:color="auto"/>
            <w:left w:val="none" w:sz="0" w:space="0" w:color="auto"/>
            <w:bottom w:val="none" w:sz="0" w:space="0" w:color="auto"/>
            <w:right w:val="none" w:sz="0" w:space="0" w:color="auto"/>
          </w:divBdr>
        </w:div>
        <w:div w:id="34931144">
          <w:marLeft w:val="480"/>
          <w:marRight w:val="0"/>
          <w:marTop w:val="0"/>
          <w:marBottom w:val="0"/>
          <w:divBdr>
            <w:top w:val="none" w:sz="0" w:space="0" w:color="auto"/>
            <w:left w:val="none" w:sz="0" w:space="0" w:color="auto"/>
            <w:bottom w:val="none" w:sz="0" w:space="0" w:color="auto"/>
            <w:right w:val="none" w:sz="0" w:space="0" w:color="auto"/>
          </w:divBdr>
        </w:div>
        <w:div w:id="1595478944">
          <w:marLeft w:val="480"/>
          <w:marRight w:val="0"/>
          <w:marTop w:val="0"/>
          <w:marBottom w:val="0"/>
          <w:divBdr>
            <w:top w:val="none" w:sz="0" w:space="0" w:color="auto"/>
            <w:left w:val="none" w:sz="0" w:space="0" w:color="auto"/>
            <w:bottom w:val="none" w:sz="0" w:space="0" w:color="auto"/>
            <w:right w:val="none" w:sz="0" w:space="0" w:color="auto"/>
          </w:divBdr>
        </w:div>
      </w:divsChild>
    </w:div>
    <w:div w:id="2108036923">
      <w:bodyDiv w:val="1"/>
      <w:marLeft w:val="0"/>
      <w:marRight w:val="0"/>
      <w:marTop w:val="0"/>
      <w:marBottom w:val="0"/>
      <w:divBdr>
        <w:top w:val="none" w:sz="0" w:space="0" w:color="auto"/>
        <w:left w:val="none" w:sz="0" w:space="0" w:color="auto"/>
        <w:bottom w:val="none" w:sz="0" w:space="0" w:color="auto"/>
        <w:right w:val="none" w:sz="0" w:space="0" w:color="auto"/>
      </w:divBdr>
      <w:divsChild>
        <w:div w:id="1030447470">
          <w:marLeft w:val="480"/>
          <w:marRight w:val="0"/>
          <w:marTop w:val="0"/>
          <w:marBottom w:val="0"/>
          <w:divBdr>
            <w:top w:val="none" w:sz="0" w:space="0" w:color="auto"/>
            <w:left w:val="none" w:sz="0" w:space="0" w:color="auto"/>
            <w:bottom w:val="none" w:sz="0" w:space="0" w:color="auto"/>
            <w:right w:val="none" w:sz="0" w:space="0" w:color="auto"/>
          </w:divBdr>
        </w:div>
        <w:div w:id="1383627714">
          <w:marLeft w:val="480"/>
          <w:marRight w:val="0"/>
          <w:marTop w:val="0"/>
          <w:marBottom w:val="0"/>
          <w:divBdr>
            <w:top w:val="none" w:sz="0" w:space="0" w:color="auto"/>
            <w:left w:val="none" w:sz="0" w:space="0" w:color="auto"/>
            <w:bottom w:val="none" w:sz="0" w:space="0" w:color="auto"/>
            <w:right w:val="none" w:sz="0" w:space="0" w:color="auto"/>
          </w:divBdr>
        </w:div>
        <w:div w:id="1736467443">
          <w:marLeft w:val="480"/>
          <w:marRight w:val="0"/>
          <w:marTop w:val="0"/>
          <w:marBottom w:val="0"/>
          <w:divBdr>
            <w:top w:val="none" w:sz="0" w:space="0" w:color="auto"/>
            <w:left w:val="none" w:sz="0" w:space="0" w:color="auto"/>
            <w:bottom w:val="none" w:sz="0" w:space="0" w:color="auto"/>
            <w:right w:val="none" w:sz="0" w:space="0" w:color="auto"/>
          </w:divBdr>
        </w:div>
      </w:divsChild>
    </w:div>
    <w:div w:id="2110465848">
      <w:bodyDiv w:val="1"/>
      <w:marLeft w:val="0"/>
      <w:marRight w:val="0"/>
      <w:marTop w:val="0"/>
      <w:marBottom w:val="0"/>
      <w:divBdr>
        <w:top w:val="none" w:sz="0" w:space="0" w:color="auto"/>
        <w:left w:val="none" w:sz="0" w:space="0" w:color="auto"/>
        <w:bottom w:val="none" w:sz="0" w:space="0" w:color="auto"/>
        <w:right w:val="none" w:sz="0" w:space="0" w:color="auto"/>
      </w:divBdr>
      <w:divsChild>
        <w:div w:id="1823934808">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C913B-CE64-4C91-B96A-8C1E18CCB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1139</Words>
  <Characters>6497</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KOMISIJOS DIREKTYVOS 2006/82/EB</vt:lpstr>
      <vt:lpstr>KOMISIJOS DIREKTYVOS 2006/82/EB</vt:lpstr>
    </vt:vector>
  </TitlesOfParts>
  <Company>RMC</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2021-10-08T14:18:00Z</dcterms:created>
  <dc:creator>Ramune</dc:creator>
  <cp:lastModifiedBy>Justė Pečeliūnaitė</cp:lastModifiedBy>
  <cp:lastPrinted>2021-09-28T06:33:00Z</cp:lastPrinted>
  <dcterms:modified xsi:type="dcterms:W3CDTF">2021-10-08T14:18:00Z</dcterms:modified>
  <cp:revision>2</cp:revision>
  <dc:title>KOMISIJOS DIREKTYVOS 2006/82/EB</dc:title>
</cp:coreProperties>
</file>