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B7" w:rsidRDefault="00E87AB7">
      <w:pPr>
        <w:tabs>
          <w:tab w:val="center" w:pos="4819"/>
          <w:tab w:val="right" w:pos="9638"/>
        </w:tabs>
        <w:rPr>
          <w:sz w:val="22"/>
          <w:szCs w:val="22"/>
          <w:lang w:eastAsia="lt-LT"/>
        </w:rPr>
      </w:pPr>
      <w:bookmarkStart w:id="0" w:name="_GoBack"/>
      <w:bookmarkEnd w:id="0"/>
    </w:p>
    <w:p w:rsidR="00E87AB7" w:rsidRDefault="0057617C">
      <w:pPr>
        <w:jc w:val="center"/>
        <w:rPr>
          <w:szCs w:val="24"/>
          <w:lang w:eastAsia="lt-LT"/>
        </w:rPr>
      </w:pPr>
      <w:r>
        <w:rPr>
          <w:b/>
          <w:bCs/>
          <w:color w:val="000000"/>
          <w:szCs w:val="24"/>
          <w:lang w:eastAsia="lt-LT"/>
        </w:rPr>
        <w:t>NUMATOMO TEISINIO REGULIAVIMO POVEIKIO VERTINIMO PAŽYMA</w:t>
      </w:r>
    </w:p>
    <w:p w:rsidR="00E87AB7" w:rsidRDefault="00E87AB7">
      <w:pPr>
        <w:ind w:firstLine="62"/>
        <w:rPr>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E87AB7">
        <w:tc>
          <w:tcPr>
            <w:tcW w:w="2235" w:type="dxa"/>
            <w:shd w:val="clear" w:color="auto" w:fill="DBE5F1"/>
            <w:tcMar>
              <w:top w:w="0" w:type="dxa"/>
              <w:left w:w="108" w:type="dxa"/>
              <w:bottom w:w="0" w:type="dxa"/>
              <w:right w:w="108" w:type="dxa"/>
            </w:tcMar>
            <w:hideMark/>
          </w:tcPr>
          <w:p w:rsidR="00E87AB7" w:rsidRDefault="0057617C">
            <w:pPr>
              <w:rPr>
                <w:szCs w:val="24"/>
                <w:lang w:eastAsia="lt-LT"/>
              </w:rPr>
            </w:pPr>
            <w:r>
              <w:rPr>
                <w:b/>
                <w:bCs/>
                <w:szCs w:val="24"/>
                <w:shd w:val="clear" w:color="auto" w:fill="DBE5F1"/>
                <w:lang w:eastAsia="lt-LT"/>
              </w:rPr>
              <w:t>Projekto pavadinimas</w:t>
            </w:r>
          </w:p>
        </w:tc>
        <w:tc>
          <w:tcPr>
            <w:tcW w:w="7337" w:type="dxa"/>
            <w:shd w:val="clear" w:color="auto" w:fill="DBE5F1"/>
            <w:tcMar>
              <w:top w:w="0" w:type="dxa"/>
              <w:left w:w="108" w:type="dxa"/>
              <w:bottom w:w="0" w:type="dxa"/>
              <w:right w:w="108" w:type="dxa"/>
            </w:tcMar>
            <w:hideMark/>
          </w:tcPr>
          <w:p w:rsidR="00E87AB7" w:rsidRDefault="008D40C6">
            <w:pPr>
              <w:jc w:val="both"/>
              <w:rPr>
                <w:szCs w:val="24"/>
                <w:lang w:eastAsia="lt-LT"/>
              </w:rPr>
            </w:pPr>
            <w:bookmarkStart w:id="1" w:name="OLE_LINK1"/>
            <w:bookmarkStart w:id="2" w:name="OLE_LINK2"/>
            <w:r w:rsidRPr="007D5C6E">
              <w:rPr>
                <w:szCs w:val="24"/>
              </w:rPr>
              <w:t>Lietuvos Respublikos 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projektas (toliau – Projektas).</w:t>
            </w:r>
            <w:bookmarkEnd w:id="1"/>
            <w:bookmarkEnd w:id="2"/>
          </w:p>
        </w:tc>
      </w:tr>
    </w:tbl>
    <w:p w:rsidR="00E87AB7" w:rsidRDefault="00E87AB7">
      <w:pPr>
        <w:spacing w:line="120" w:lineRule="auto"/>
        <w:ind w:firstLine="62"/>
        <w:rPr>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E87AB7">
        <w:tc>
          <w:tcPr>
            <w:tcW w:w="2235" w:type="dxa"/>
            <w:shd w:val="clear" w:color="auto" w:fill="DBE5F1"/>
            <w:tcMar>
              <w:top w:w="0" w:type="dxa"/>
              <w:left w:w="108" w:type="dxa"/>
              <w:bottom w:w="0" w:type="dxa"/>
              <w:right w:w="108" w:type="dxa"/>
            </w:tcMar>
            <w:hideMark/>
          </w:tcPr>
          <w:p w:rsidR="00E87AB7" w:rsidRDefault="0057617C">
            <w:pPr>
              <w:rPr>
                <w:szCs w:val="24"/>
                <w:lang w:eastAsia="lt-LT"/>
              </w:rPr>
            </w:pPr>
            <w:r>
              <w:rPr>
                <w:b/>
                <w:bCs/>
                <w:szCs w:val="24"/>
                <w:shd w:val="clear" w:color="auto" w:fill="DBE5F1"/>
                <w:lang w:eastAsia="lt-LT"/>
              </w:rPr>
              <w:t>Projekto rengėjas</w:t>
            </w:r>
          </w:p>
        </w:tc>
        <w:tc>
          <w:tcPr>
            <w:tcW w:w="7337" w:type="dxa"/>
            <w:shd w:val="clear" w:color="auto" w:fill="DBE5F1"/>
            <w:tcMar>
              <w:top w:w="0" w:type="dxa"/>
              <w:left w:w="108" w:type="dxa"/>
              <w:bottom w:w="0" w:type="dxa"/>
              <w:right w:w="108" w:type="dxa"/>
            </w:tcMar>
            <w:hideMark/>
          </w:tcPr>
          <w:p w:rsidR="00E87AB7" w:rsidRDefault="0057617C">
            <w:pPr>
              <w:jc w:val="both"/>
              <w:rPr>
                <w:szCs w:val="24"/>
                <w:lang w:eastAsia="lt-LT"/>
              </w:rPr>
            </w:pPr>
            <w:r>
              <w:rPr>
                <w:szCs w:val="24"/>
                <w:lang w:eastAsia="lt-LT"/>
              </w:rPr>
              <w:t>Lietuvos Respublikos aplinkos ministerija</w:t>
            </w:r>
          </w:p>
        </w:tc>
      </w:tr>
    </w:tbl>
    <w:p w:rsidR="00E87AB7" w:rsidRDefault="00E87AB7">
      <w:pPr>
        <w:spacing w:line="120" w:lineRule="auto"/>
        <w:rPr>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E87AB7">
        <w:tc>
          <w:tcPr>
            <w:tcW w:w="2235" w:type="dxa"/>
            <w:shd w:val="clear" w:color="auto" w:fill="DBE5F1" w:themeFill="accent1" w:themeFillTint="33"/>
            <w:tcMar>
              <w:top w:w="0" w:type="dxa"/>
              <w:left w:w="108" w:type="dxa"/>
              <w:bottom w:w="0" w:type="dxa"/>
              <w:right w:w="108" w:type="dxa"/>
            </w:tcMar>
            <w:hideMark/>
          </w:tcPr>
          <w:p w:rsidR="00E87AB7" w:rsidRDefault="0057617C">
            <w:pPr>
              <w:rPr>
                <w:szCs w:val="24"/>
                <w:lang w:eastAsia="lt-LT"/>
              </w:rPr>
            </w:pPr>
            <w:r>
              <w:rPr>
                <w:b/>
                <w:bCs/>
                <w:szCs w:val="24"/>
                <w:lang w:eastAsia="lt-LT"/>
              </w:rPr>
              <w:t>Projekto tikslas</w:t>
            </w:r>
          </w:p>
        </w:tc>
        <w:tc>
          <w:tcPr>
            <w:tcW w:w="7337" w:type="dxa"/>
            <w:shd w:val="clear" w:color="auto" w:fill="DBE5F1" w:themeFill="accent1" w:themeFillTint="33"/>
            <w:tcMar>
              <w:top w:w="0" w:type="dxa"/>
              <w:left w:w="108" w:type="dxa"/>
              <w:bottom w:w="0" w:type="dxa"/>
              <w:right w:w="108" w:type="dxa"/>
            </w:tcMar>
            <w:hideMark/>
          </w:tcPr>
          <w:p w:rsidR="007F1A49" w:rsidRDefault="008D40C6" w:rsidP="007F1A49">
            <w:pPr>
              <w:jc w:val="both"/>
            </w:pPr>
            <w:r w:rsidRPr="008D40C6">
              <w:rPr>
                <w:i/>
                <w:szCs w:val="22"/>
                <w:lang w:eastAsia="lt-LT"/>
              </w:rPr>
              <w:t>Projekto tikslas</w:t>
            </w:r>
            <w:r w:rsidRPr="008D40C6">
              <w:rPr>
                <w:szCs w:val="22"/>
                <w:lang w:eastAsia="lt-LT"/>
              </w:rPr>
              <w:t xml:space="preserve"> –</w:t>
            </w:r>
            <w:r w:rsidR="007F1A49">
              <w:t xml:space="preserve"> siekiama paspartinti daugiabučių namų atnaujinimo (modernizavimo) projektų įgyvendinimą.</w:t>
            </w:r>
          </w:p>
          <w:p w:rsidR="007F1A49" w:rsidRPr="00964CCB" w:rsidRDefault="007F1A49" w:rsidP="007F1A49">
            <w:pPr>
              <w:spacing w:line="252" w:lineRule="auto"/>
              <w:ind w:firstLine="567"/>
              <w:jc w:val="both"/>
              <w:rPr>
                <w:lang w:eastAsia="en-GB"/>
              </w:rPr>
            </w:pPr>
            <w:r w:rsidRPr="00964CCB">
              <w:rPr>
                <w:lang w:eastAsia="en-GB"/>
              </w:rPr>
              <w:t>Projekt</w:t>
            </w:r>
            <w:r>
              <w:rPr>
                <w:lang w:eastAsia="en-GB"/>
              </w:rPr>
              <w:t>u</w:t>
            </w:r>
            <w:r w:rsidRPr="00964CCB">
              <w:rPr>
                <w:lang w:eastAsia="en-GB"/>
              </w:rPr>
              <w:t xml:space="preserve"> siūloma:</w:t>
            </w:r>
          </w:p>
          <w:p w:rsidR="007F1A49" w:rsidRDefault="007F1A49" w:rsidP="007F1A49">
            <w:pPr>
              <w:spacing w:line="252" w:lineRule="auto"/>
              <w:ind w:firstLine="567"/>
              <w:jc w:val="both"/>
              <w:rPr>
                <w:lang w:eastAsia="en-GB"/>
              </w:rPr>
            </w:pPr>
            <w:r w:rsidRPr="00964CCB">
              <w:rPr>
                <w:lang w:eastAsia="en-GB"/>
              </w:rPr>
              <w:t xml:space="preserve">1) </w:t>
            </w:r>
            <w:r w:rsidR="00E0050F">
              <w:rPr>
                <w:lang w:eastAsia="en-GB"/>
              </w:rPr>
              <w:t>p</w:t>
            </w:r>
            <w:r w:rsidR="00E0050F" w:rsidRPr="00000287">
              <w:rPr>
                <w:lang w:eastAsia="en-GB"/>
              </w:rPr>
              <w:t xml:space="preserve">adidinti mažiems daugiabučiams namams </w:t>
            </w:r>
            <w:r w:rsidR="00E0050F" w:rsidRPr="00000287">
              <w:t>(iki 1500 kv. m)</w:t>
            </w:r>
            <w:r w:rsidR="00E0050F" w:rsidRPr="00000287">
              <w:rPr>
                <w:lang w:eastAsia="en-GB"/>
              </w:rPr>
              <w:t xml:space="preserve"> </w:t>
            </w:r>
            <w:r w:rsidR="00E0050F" w:rsidRPr="00000287">
              <w:t xml:space="preserve">apmokamą arba kompensuojamą išlaidų </w:t>
            </w:r>
            <w:r w:rsidR="00E0050F">
              <w:t xml:space="preserve">už </w:t>
            </w:r>
            <w:r w:rsidR="00E0050F">
              <w:rPr>
                <w:color w:val="000000"/>
              </w:rPr>
              <w:t>projekto ar jo dalies parengimo, projekto vykdymo priežiūros ir projekto ekspertizės paslaugas</w:t>
            </w:r>
            <w:r w:rsidR="00E0050F" w:rsidRPr="00A63E60">
              <w:t xml:space="preserve"> </w:t>
            </w:r>
            <w:r w:rsidR="00DF3BA2">
              <w:t>sumą</w:t>
            </w:r>
            <w:r>
              <w:rPr>
                <w:lang w:eastAsia="en-GB"/>
              </w:rPr>
              <w:t>;</w:t>
            </w:r>
          </w:p>
          <w:p w:rsidR="007F1A49" w:rsidRDefault="007F1A49" w:rsidP="007F1A49">
            <w:pPr>
              <w:ind w:firstLine="567"/>
              <w:jc w:val="both"/>
            </w:pPr>
            <w:r>
              <w:rPr>
                <w:lang w:val="en-GB" w:eastAsia="en-GB"/>
              </w:rPr>
              <w:t xml:space="preserve">2) </w:t>
            </w:r>
            <w:r>
              <w:t xml:space="preserve">padidinti šiuo metu </w:t>
            </w:r>
            <w:r w:rsidR="00E0050F">
              <w:t xml:space="preserve">Vyriausybės nustatytą </w:t>
            </w:r>
            <w:r w:rsidR="00E0050F" w:rsidRPr="00000287">
              <w:t>projekto įgyvendinimo administravimo dydį</w:t>
            </w:r>
            <w:r>
              <w:t xml:space="preserve">, </w:t>
            </w:r>
            <w:r w:rsidR="00E0050F">
              <w:t xml:space="preserve">taip pat </w:t>
            </w:r>
            <w:r w:rsidR="00E0050F" w:rsidRPr="007A1A1B">
              <w:t>pakeisti valstybės paramos projekto įgyvendinimui administruoti mokėjimo tvarką</w:t>
            </w:r>
            <w:r>
              <w:t>;</w:t>
            </w:r>
            <w:r w:rsidRPr="007A1A1B">
              <w:t xml:space="preserve"> </w:t>
            </w:r>
          </w:p>
          <w:p w:rsidR="007F1A49" w:rsidRDefault="007F1A49" w:rsidP="007F1A49">
            <w:pPr>
              <w:spacing w:line="252" w:lineRule="auto"/>
              <w:ind w:firstLine="567"/>
              <w:jc w:val="both"/>
            </w:pPr>
            <w:r>
              <w:rPr>
                <w:lang w:eastAsia="en-GB"/>
              </w:rPr>
              <w:t xml:space="preserve">3) </w:t>
            </w:r>
            <w:r w:rsidRPr="00321AA1">
              <w:t>sudaryti galimybę statybos rangos darbus pirkti kartu su projektavim</w:t>
            </w:r>
            <w:r>
              <w:t>o paslaugomis</w:t>
            </w:r>
            <w:r w:rsidRPr="00321AA1">
              <w:t xml:space="preserve"> nepriklausomai nuo pastato dydžio</w:t>
            </w:r>
            <w:r>
              <w:t>;</w:t>
            </w:r>
          </w:p>
          <w:p w:rsidR="007F1A49" w:rsidRDefault="007F1A49" w:rsidP="007F1A49">
            <w:pPr>
              <w:spacing w:line="252" w:lineRule="auto"/>
              <w:ind w:firstLine="567"/>
              <w:jc w:val="both"/>
              <w:rPr>
                <w:lang w:eastAsia="en-GB"/>
              </w:rPr>
            </w:pPr>
            <w:r>
              <w:t xml:space="preserve">4) nustatyti, kad projekto </w:t>
            </w:r>
            <w:r w:rsidRPr="00321AA1">
              <w:t xml:space="preserve">biudžetą galima keisti </w:t>
            </w:r>
            <w:r>
              <w:t xml:space="preserve">butų ir kitų patalpų </w:t>
            </w:r>
            <w:r w:rsidRPr="00321AA1">
              <w:t>savininkų protokoliniu sprendimu, kurio pagrindu keiči</w:t>
            </w:r>
            <w:r>
              <w:t>ama valstybės paramos sutartis;</w:t>
            </w:r>
          </w:p>
          <w:p w:rsidR="007F1A49" w:rsidRDefault="007F1A49" w:rsidP="007F1A49">
            <w:pPr>
              <w:spacing w:line="252" w:lineRule="auto"/>
              <w:ind w:firstLine="567"/>
              <w:jc w:val="both"/>
              <w:rPr>
                <w:lang w:eastAsia="en-GB"/>
              </w:rPr>
            </w:pPr>
            <w:r>
              <w:rPr>
                <w:lang w:val="en-GB" w:eastAsia="en-GB"/>
              </w:rPr>
              <w:t xml:space="preserve">5) </w:t>
            </w:r>
            <w:proofErr w:type="gramStart"/>
            <w:r w:rsidR="0063321A" w:rsidRPr="00D50C81">
              <w:rPr>
                <w:lang w:eastAsia="en-GB"/>
              </w:rPr>
              <w:t>numatyti</w:t>
            </w:r>
            <w:proofErr w:type="gramEnd"/>
            <w:r w:rsidR="0063321A" w:rsidRPr="00D50C81">
              <w:rPr>
                <w:lang w:eastAsia="en-GB"/>
              </w:rPr>
              <w:t>, kad</w:t>
            </w:r>
            <w:r w:rsidR="0063321A">
              <w:rPr>
                <w:lang w:eastAsia="en-GB"/>
              </w:rPr>
              <w:t xml:space="preserve"> </w:t>
            </w:r>
            <w:r w:rsidR="0063321A" w:rsidRPr="00554648">
              <w:rPr>
                <w:color w:val="000000"/>
              </w:rPr>
              <w:t>Daugiabučių namų atnaujinimo (modernizavimo) projektų įgyvendinimo priežiūros tvarkos apraš</w:t>
            </w:r>
            <w:r w:rsidR="0063321A">
              <w:rPr>
                <w:color w:val="000000"/>
              </w:rPr>
              <w:t>ą tvirtina ir</w:t>
            </w:r>
            <w:r w:rsidR="0063321A" w:rsidRPr="00A050D1">
              <w:rPr>
                <w:lang w:eastAsia="en-GB"/>
              </w:rPr>
              <w:t xml:space="preserve"> </w:t>
            </w:r>
            <w:r w:rsidR="0063321A">
              <w:rPr>
                <w:color w:val="000000"/>
              </w:rPr>
              <w:t>valstybės paramos daugiabučiams namams atnaujinti (modernizuoti) teikimo sutarties formą</w:t>
            </w:r>
            <w:r w:rsidR="0063321A" w:rsidRPr="00A050D1">
              <w:rPr>
                <w:lang w:eastAsia="en-GB"/>
              </w:rPr>
              <w:t xml:space="preserve"> nustato </w:t>
            </w:r>
            <w:r w:rsidR="0063321A" w:rsidRPr="00D50C81">
              <w:rPr>
                <w:lang w:eastAsia="en-GB"/>
              </w:rPr>
              <w:t>Lietuvos Respublikos aplinkos ministerijos Aplinkos projektų valdymo agentūr</w:t>
            </w:r>
            <w:r w:rsidR="0063321A">
              <w:rPr>
                <w:lang w:eastAsia="en-GB"/>
              </w:rPr>
              <w:t>a</w:t>
            </w:r>
            <w:r w:rsidR="00F400AC">
              <w:rPr>
                <w:lang w:eastAsia="en-GB"/>
              </w:rPr>
              <w:t xml:space="preserve"> (toliau </w:t>
            </w:r>
            <w:r w:rsidR="00F400AC" w:rsidRPr="007D5C6E">
              <w:rPr>
                <w:szCs w:val="24"/>
              </w:rPr>
              <w:t xml:space="preserve">– </w:t>
            </w:r>
            <w:r w:rsidR="00F400AC">
              <w:rPr>
                <w:lang w:eastAsia="en-GB"/>
              </w:rPr>
              <w:t xml:space="preserve"> Agentūra)</w:t>
            </w:r>
            <w:r w:rsidR="0063321A">
              <w:rPr>
                <w:lang w:eastAsia="en-GB"/>
              </w:rPr>
              <w:t>. Taip pat, kad valstybės paramos sutartį sudaro bendroji ir specialioji dalis</w:t>
            </w:r>
            <w:r>
              <w:rPr>
                <w:lang w:eastAsia="en-GB"/>
              </w:rPr>
              <w:t>;</w:t>
            </w:r>
          </w:p>
          <w:p w:rsidR="0057617C" w:rsidRDefault="007F1A49" w:rsidP="0057617C">
            <w:pPr>
              <w:spacing w:line="252" w:lineRule="auto"/>
              <w:ind w:firstLine="567"/>
              <w:jc w:val="both"/>
              <w:rPr>
                <w:lang w:eastAsia="en-GB"/>
              </w:rPr>
            </w:pPr>
            <w:r>
              <w:rPr>
                <w:lang w:val="en-GB" w:eastAsia="en-GB"/>
              </w:rPr>
              <w:t>6)</w:t>
            </w:r>
            <w:r>
              <w:rPr>
                <w:lang w:eastAsia="en-GB"/>
              </w:rPr>
              <w:t xml:space="preserve"> atsisakyti reikalavimo mokėjimo prašymuose nurodyti informaciją</w:t>
            </w:r>
            <w:r w:rsidR="00F400AC">
              <w:rPr>
                <w:lang w:eastAsia="en-GB"/>
              </w:rPr>
              <w:t>, kurią Agentūra jau turi</w:t>
            </w:r>
            <w:r>
              <w:rPr>
                <w:lang w:eastAsia="en-GB"/>
              </w:rPr>
              <w:t>;</w:t>
            </w:r>
            <w:r w:rsidR="0057617C">
              <w:rPr>
                <w:lang w:eastAsia="en-GB"/>
              </w:rPr>
              <w:t xml:space="preserve"> </w:t>
            </w:r>
          </w:p>
          <w:p w:rsidR="0063321A" w:rsidRPr="00F731E6" w:rsidRDefault="0063321A" w:rsidP="0057617C">
            <w:pPr>
              <w:spacing w:line="252" w:lineRule="auto"/>
              <w:ind w:firstLine="567"/>
              <w:jc w:val="both"/>
              <w:rPr>
                <w:lang w:eastAsia="en-GB"/>
              </w:rPr>
            </w:pPr>
            <w:r>
              <w:rPr>
                <w:lang w:val="en-GB" w:eastAsia="en-GB"/>
              </w:rPr>
              <w:t>7)</w:t>
            </w:r>
            <w:r w:rsidR="00F731E6">
              <w:rPr>
                <w:lang w:val="en-GB" w:eastAsia="en-GB"/>
              </w:rPr>
              <w:t xml:space="preserve"> </w:t>
            </w:r>
            <w:proofErr w:type="spellStart"/>
            <w:r w:rsidR="00F731E6">
              <w:rPr>
                <w:lang w:val="en-GB" w:eastAsia="en-GB"/>
              </w:rPr>
              <w:t>atsi</w:t>
            </w:r>
            <w:proofErr w:type="spellEnd"/>
            <w:r w:rsidR="00F731E6">
              <w:rPr>
                <w:lang w:eastAsia="en-GB"/>
              </w:rPr>
              <w:t>žvelgiant į tai, kad v</w:t>
            </w:r>
            <w:r w:rsidR="00F731E6" w:rsidRPr="0051594A">
              <w:rPr>
                <w:color w:val="000000"/>
              </w:rPr>
              <w:t>alstybės paramos daugiabučiams namams atnaujinti (modernizuoti) teikimo</w:t>
            </w:r>
            <w:r w:rsidR="00F731E6" w:rsidRPr="0051594A">
              <w:rPr>
                <w:lang w:eastAsia="en-GB"/>
              </w:rPr>
              <w:t xml:space="preserve"> sutartyje nustatomos šalių teisės ir pareigos, pakeisti </w:t>
            </w:r>
            <w:r w:rsidR="00F731E6" w:rsidRPr="00964CCB">
              <w:t>taisyklių</w:t>
            </w:r>
            <w:r w:rsidR="00F731E6" w:rsidRPr="0051594A">
              <w:rPr>
                <w:lang w:eastAsia="en-GB"/>
              </w:rPr>
              <w:t xml:space="preserve"> 9 punkto nuostatas dėl valstybės paramos sutarties nutraukimo</w:t>
            </w:r>
            <w:r w:rsidR="00F731E6">
              <w:rPr>
                <w:lang w:eastAsia="en-GB"/>
              </w:rPr>
              <w:t>;</w:t>
            </w:r>
          </w:p>
          <w:p w:rsidR="007F1A49" w:rsidRPr="007F1A49" w:rsidRDefault="0063321A" w:rsidP="0057617C">
            <w:pPr>
              <w:spacing w:line="252" w:lineRule="auto"/>
              <w:ind w:firstLine="567"/>
              <w:jc w:val="both"/>
              <w:rPr>
                <w:lang w:eastAsia="en-GB"/>
              </w:rPr>
            </w:pPr>
            <w:r>
              <w:rPr>
                <w:lang w:val="en-GB" w:eastAsia="en-GB"/>
              </w:rPr>
              <w:t>8</w:t>
            </w:r>
            <w:r w:rsidR="007F1A49">
              <w:rPr>
                <w:lang w:val="en-GB" w:eastAsia="en-GB"/>
              </w:rPr>
              <w:t xml:space="preserve">) </w:t>
            </w:r>
            <w:r w:rsidR="007F1A49">
              <w:rPr>
                <w:bCs/>
              </w:rPr>
              <w:t>pratęsti daugiabučio namo atnaujinimo (modernizavimo) projektų, parengtų pagal iki 2017 m. lapkričio 1 d. galiojusią Lietuvos Respublikos valstybės paramos daugiabučiams namams atnaujinti (modernizuoti) įstatymo redakciją, terminą</w:t>
            </w:r>
            <w:r w:rsidR="007F1A49" w:rsidRPr="005B1121">
              <w:rPr>
                <w:bCs/>
              </w:rPr>
              <w:t xml:space="preserve"> </w:t>
            </w:r>
            <w:r w:rsidR="007F1A49">
              <w:t>iki 2023 m. liepos 31 d.</w:t>
            </w:r>
          </w:p>
        </w:tc>
      </w:tr>
    </w:tbl>
    <w:p w:rsidR="00E87AB7" w:rsidRDefault="00E87AB7">
      <w:pPr>
        <w:rPr>
          <w:sz w:val="16"/>
          <w:szCs w:val="16"/>
          <w:lang w:eastAsia="lt-LT"/>
        </w:rPr>
      </w:pPr>
    </w:p>
    <w:tbl>
      <w:tblPr>
        <w:tblW w:w="0" w:type="auto"/>
        <w:tblCellMar>
          <w:left w:w="0" w:type="dxa"/>
          <w:right w:w="0" w:type="dxa"/>
        </w:tblCellMar>
        <w:tblLook w:val="04A0" w:firstRow="1" w:lastRow="0" w:firstColumn="1" w:lastColumn="0" w:noHBand="0" w:noVBand="1"/>
      </w:tblPr>
      <w:tblGrid>
        <w:gridCol w:w="2164"/>
        <w:gridCol w:w="7442"/>
      </w:tblGrid>
      <w:tr w:rsidR="00E87AB7">
        <w:trPr>
          <w:trHeight w:val="415"/>
        </w:trPr>
        <w:tc>
          <w:tcPr>
            <w:tcW w:w="2164" w:type="dxa"/>
            <w:shd w:val="clear" w:color="auto" w:fill="DBE5F1"/>
            <w:tcMar>
              <w:top w:w="0" w:type="dxa"/>
              <w:left w:w="108" w:type="dxa"/>
              <w:bottom w:w="0" w:type="dxa"/>
              <w:right w:w="108" w:type="dxa"/>
            </w:tcMar>
            <w:hideMark/>
          </w:tcPr>
          <w:p w:rsidR="00E87AB7" w:rsidRDefault="00E87AB7">
            <w:pPr>
              <w:ind w:firstLine="62"/>
              <w:rPr>
                <w:szCs w:val="24"/>
                <w:lang w:eastAsia="lt-LT"/>
              </w:rPr>
            </w:pPr>
          </w:p>
        </w:tc>
        <w:tc>
          <w:tcPr>
            <w:tcW w:w="7442" w:type="dxa"/>
            <w:shd w:val="clear" w:color="auto" w:fill="DBE5F1"/>
            <w:tcMar>
              <w:top w:w="0" w:type="dxa"/>
              <w:left w:w="108" w:type="dxa"/>
              <w:bottom w:w="0" w:type="dxa"/>
              <w:right w:w="108" w:type="dxa"/>
            </w:tcMar>
            <w:hideMark/>
          </w:tcPr>
          <w:p w:rsidR="00E87AB7" w:rsidRDefault="0057617C">
            <w:pPr>
              <w:jc w:val="center"/>
              <w:rPr>
                <w:szCs w:val="24"/>
                <w:lang w:eastAsia="lt-LT"/>
              </w:rPr>
            </w:pPr>
            <w:r>
              <w:rPr>
                <w:b/>
                <w:bCs/>
                <w:szCs w:val="24"/>
                <w:lang w:eastAsia="lt-LT"/>
              </w:rPr>
              <w:t xml:space="preserve">Siūlomo projekto poveikio įvertinimas </w:t>
            </w:r>
          </w:p>
          <w:p w:rsidR="00E87AB7" w:rsidRDefault="0057617C">
            <w:pPr>
              <w:jc w:val="center"/>
              <w:rPr>
                <w:szCs w:val="24"/>
                <w:lang w:eastAsia="lt-LT"/>
              </w:rPr>
            </w:pPr>
            <w:r>
              <w:rPr>
                <w:b/>
                <w:bCs/>
                <w:szCs w:val="24"/>
                <w:lang w:eastAsia="lt-LT"/>
              </w:rPr>
              <w:t>(teigiamos ir (ar) neigiamos pasekmės)</w:t>
            </w:r>
          </w:p>
        </w:tc>
      </w:tr>
    </w:tbl>
    <w:p w:rsidR="00E87AB7" w:rsidRDefault="00E87AB7">
      <w:pPr>
        <w:spacing w:line="120" w:lineRule="auto"/>
        <w:rPr>
          <w:szCs w:val="24"/>
          <w:lang w:eastAsia="lt-LT"/>
        </w:rPr>
      </w:pPr>
    </w:p>
    <w:tbl>
      <w:tblPr>
        <w:tblW w:w="0" w:type="auto"/>
        <w:tblCellMar>
          <w:left w:w="0" w:type="dxa"/>
          <w:right w:w="0" w:type="dxa"/>
        </w:tblCellMar>
        <w:tblLook w:val="04A0" w:firstRow="1" w:lastRow="0" w:firstColumn="1" w:lastColumn="0" w:noHBand="0" w:noVBand="1"/>
      </w:tblPr>
      <w:tblGrid>
        <w:gridCol w:w="2835"/>
        <w:gridCol w:w="6771"/>
      </w:tblGrid>
      <w:tr w:rsidR="00E87AB7">
        <w:tc>
          <w:tcPr>
            <w:tcW w:w="2835" w:type="dxa"/>
            <w:shd w:val="clear" w:color="auto" w:fill="DBE5F1"/>
            <w:tcMar>
              <w:top w:w="0" w:type="dxa"/>
              <w:left w:w="108" w:type="dxa"/>
              <w:bottom w:w="0" w:type="dxa"/>
              <w:right w:w="108" w:type="dxa"/>
            </w:tcMar>
            <w:hideMark/>
          </w:tcPr>
          <w:p w:rsidR="00E87AB7" w:rsidRDefault="0057617C" w:rsidP="003F2B9D">
            <w:pPr>
              <w:rPr>
                <w:szCs w:val="24"/>
                <w:lang w:eastAsia="lt-LT"/>
              </w:rPr>
            </w:pPr>
            <w:r>
              <w:rPr>
                <w:b/>
                <w:bCs/>
                <w:szCs w:val="24"/>
                <w:lang w:eastAsia="lt-LT"/>
              </w:rPr>
              <w:t xml:space="preserve">Poveikis </w:t>
            </w:r>
            <w:r w:rsidR="003F2B9D">
              <w:rPr>
                <w:b/>
                <w:color w:val="000000"/>
                <w:szCs w:val="24"/>
                <w:lang w:eastAsia="lt-LT"/>
              </w:rPr>
              <w:t>atitinkamai</w:t>
            </w:r>
            <w:r>
              <w:rPr>
                <w:b/>
                <w:color w:val="000000"/>
                <w:szCs w:val="24"/>
                <w:lang w:eastAsia="lt-LT"/>
              </w:rPr>
              <w:t xml:space="preserve"> teisinio reguliavimo sričiai</w:t>
            </w:r>
          </w:p>
        </w:tc>
        <w:tc>
          <w:tcPr>
            <w:tcW w:w="6771" w:type="dxa"/>
            <w:tcMar>
              <w:top w:w="0" w:type="dxa"/>
              <w:left w:w="108" w:type="dxa"/>
              <w:bottom w:w="0" w:type="dxa"/>
              <w:right w:w="108" w:type="dxa"/>
            </w:tcMar>
            <w:hideMark/>
          </w:tcPr>
          <w:p w:rsidR="00E87AB7" w:rsidRDefault="007F1A49">
            <w:pPr>
              <w:jc w:val="both"/>
              <w:rPr>
                <w:szCs w:val="24"/>
                <w:lang w:eastAsia="lt-LT"/>
              </w:rPr>
            </w:pPr>
            <w:r w:rsidRPr="00146D74">
              <w:rPr>
                <w:lang w:eastAsia="en-GB"/>
              </w:rPr>
              <w:t>Priėmus teikiamą projektą, būtų sudaromos sąlygos efektyvesniam ir greitesniam pastatų renovacijos proceso įgyvendinimui, teisingesniam apmokėjimui už projekto administravim</w:t>
            </w:r>
            <w:r>
              <w:rPr>
                <w:lang w:eastAsia="en-GB"/>
              </w:rPr>
              <w:t xml:space="preserve">o paslaugas, </w:t>
            </w:r>
            <w:r>
              <w:rPr>
                <w:color w:val="000000"/>
              </w:rPr>
              <w:t>projekto ar jo dalies parengimo, projekto vykdymo priežiūros ir projekto ekspertizės paslaugas</w:t>
            </w:r>
            <w:r w:rsidRPr="00146D74">
              <w:rPr>
                <w:lang w:eastAsia="en-GB"/>
              </w:rPr>
              <w:t>.</w:t>
            </w:r>
          </w:p>
        </w:tc>
      </w:tr>
    </w:tbl>
    <w:p w:rsidR="00E87AB7" w:rsidRDefault="00E87AB7">
      <w:pPr>
        <w:spacing w:line="120" w:lineRule="auto"/>
        <w:rPr>
          <w:szCs w:val="24"/>
          <w:lang w:eastAsia="lt-LT"/>
        </w:rPr>
      </w:pPr>
    </w:p>
    <w:tbl>
      <w:tblPr>
        <w:tblW w:w="9464" w:type="dxa"/>
        <w:tblCellMar>
          <w:left w:w="0" w:type="dxa"/>
          <w:right w:w="0" w:type="dxa"/>
        </w:tblCellMar>
        <w:tblLook w:val="04A0" w:firstRow="1" w:lastRow="0" w:firstColumn="1" w:lastColumn="0" w:noHBand="0" w:noVBand="1"/>
      </w:tblPr>
      <w:tblGrid>
        <w:gridCol w:w="2835"/>
        <w:gridCol w:w="6629"/>
      </w:tblGrid>
      <w:tr w:rsidR="00E87AB7">
        <w:trPr>
          <w:trHeight w:val="782"/>
        </w:trPr>
        <w:tc>
          <w:tcPr>
            <w:tcW w:w="2835" w:type="dxa"/>
            <w:shd w:val="clear" w:color="auto" w:fill="DBE5F1"/>
            <w:tcMar>
              <w:top w:w="0" w:type="dxa"/>
              <w:left w:w="108" w:type="dxa"/>
              <w:bottom w:w="0" w:type="dxa"/>
              <w:right w:w="108" w:type="dxa"/>
            </w:tcMar>
            <w:hideMark/>
          </w:tcPr>
          <w:p w:rsidR="00E87AB7" w:rsidRDefault="0057617C">
            <w:pPr>
              <w:rPr>
                <w:szCs w:val="24"/>
                <w:lang w:eastAsia="lt-LT"/>
              </w:rPr>
            </w:pPr>
            <w:r>
              <w:rPr>
                <w:b/>
                <w:bCs/>
                <w:szCs w:val="24"/>
                <w:lang w:eastAsia="lt-LT"/>
              </w:rPr>
              <w:lastRenderedPageBreak/>
              <w:t xml:space="preserve">Poveikis </w:t>
            </w:r>
          </w:p>
          <w:p w:rsidR="00E87AB7" w:rsidRDefault="0057617C">
            <w:pPr>
              <w:rPr>
                <w:b/>
                <w:bCs/>
                <w:szCs w:val="24"/>
                <w:lang w:eastAsia="lt-LT"/>
              </w:rPr>
            </w:pPr>
            <w:r>
              <w:rPr>
                <w:b/>
                <w:bCs/>
                <w:szCs w:val="24"/>
                <w:lang w:eastAsia="lt-LT"/>
              </w:rPr>
              <w:t>valstybės finansams</w:t>
            </w:r>
          </w:p>
        </w:tc>
        <w:tc>
          <w:tcPr>
            <w:tcW w:w="6629" w:type="dxa"/>
            <w:tcMar>
              <w:top w:w="0" w:type="dxa"/>
              <w:left w:w="108" w:type="dxa"/>
              <w:bottom w:w="0" w:type="dxa"/>
              <w:right w:w="108" w:type="dxa"/>
            </w:tcMar>
            <w:hideMark/>
          </w:tcPr>
          <w:p w:rsidR="00E87AB7" w:rsidRDefault="003F2B9D" w:rsidP="008D40C6">
            <w:pPr>
              <w:jc w:val="both"/>
              <w:rPr>
                <w:szCs w:val="24"/>
                <w:lang w:eastAsia="lt-LT"/>
              </w:rPr>
            </w:pPr>
            <w:r>
              <w:rPr>
                <w:szCs w:val="24"/>
                <w:lang w:eastAsia="lt-LT"/>
              </w:rPr>
              <w:t>Poveikis valstybės finansams nenumatomas</w:t>
            </w:r>
            <w:r w:rsidR="0057617C">
              <w:rPr>
                <w:szCs w:val="24"/>
                <w:lang w:eastAsia="lt-LT"/>
              </w:rPr>
              <w:t>.</w:t>
            </w:r>
          </w:p>
        </w:tc>
      </w:tr>
    </w:tbl>
    <w:p w:rsidR="00E87AB7" w:rsidRDefault="00E87AB7">
      <w:pPr>
        <w:rPr>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52"/>
      </w:tblGrid>
      <w:tr w:rsidR="00E87AB7">
        <w:tc>
          <w:tcPr>
            <w:tcW w:w="2835" w:type="dxa"/>
            <w:tcBorders>
              <w:top w:val="nil"/>
              <w:left w:val="nil"/>
              <w:bottom w:val="nil"/>
              <w:right w:val="nil"/>
            </w:tcBorders>
            <w:shd w:val="clear" w:color="auto" w:fill="DBE5F1"/>
          </w:tcPr>
          <w:p w:rsidR="00E87AB7" w:rsidRDefault="0057617C">
            <w:pPr>
              <w:shd w:val="clear" w:color="auto" w:fill="DBE5F1"/>
              <w:rPr>
                <w:b/>
                <w:szCs w:val="24"/>
                <w:lang w:eastAsia="lt-LT"/>
              </w:rPr>
            </w:pPr>
            <w:r>
              <w:rPr>
                <w:b/>
                <w:szCs w:val="24"/>
                <w:lang w:eastAsia="lt-LT"/>
              </w:rPr>
              <w:t>Poveikis administracinei naštai</w:t>
            </w:r>
          </w:p>
        </w:tc>
        <w:tc>
          <w:tcPr>
            <w:tcW w:w="6452" w:type="dxa"/>
            <w:tcBorders>
              <w:top w:val="nil"/>
              <w:left w:val="nil"/>
              <w:bottom w:val="nil"/>
              <w:right w:val="nil"/>
            </w:tcBorders>
            <w:hideMark/>
          </w:tcPr>
          <w:p w:rsidR="00E87AB7" w:rsidRDefault="003F2B9D">
            <w:pPr>
              <w:jc w:val="both"/>
              <w:rPr>
                <w:szCs w:val="24"/>
                <w:lang w:eastAsia="lt-LT"/>
              </w:rPr>
            </w:pPr>
            <w:r>
              <w:rPr>
                <w:szCs w:val="24"/>
                <w:lang w:eastAsia="lt-LT"/>
              </w:rPr>
              <w:t>P</w:t>
            </w:r>
            <w:r w:rsidR="0057617C">
              <w:rPr>
                <w:szCs w:val="24"/>
                <w:lang w:eastAsia="lt-LT"/>
              </w:rPr>
              <w:t>oveikis nenumatomas.</w:t>
            </w:r>
          </w:p>
          <w:p w:rsidR="00E87AB7" w:rsidRDefault="00E87AB7">
            <w:pPr>
              <w:jc w:val="both"/>
              <w:rPr>
                <w:sz w:val="22"/>
                <w:szCs w:val="22"/>
                <w:lang w:eastAsia="lt-LT"/>
              </w:rPr>
            </w:pPr>
          </w:p>
        </w:tc>
      </w:tr>
    </w:tbl>
    <w:p w:rsidR="00E87AB7" w:rsidRDefault="00E87AB7">
      <w:pPr>
        <w:rPr>
          <w:sz w:val="16"/>
          <w:szCs w:val="16"/>
          <w:lang w:eastAsia="lt-LT"/>
        </w:rPr>
      </w:pPr>
    </w:p>
    <w:p w:rsidR="00E87AB7" w:rsidRDefault="00E87AB7">
      <w:pPr>
        <w:rPr>
          <w:sz w:val="16"/>
          <w:szCs w:val="16"/>
          <w:lang w:eastAsia="lt-LT"/>
        </w:rPr>
      </w:pPr>
    </w:p>
    <w:tbl>
      <w:tblPr>
        <w:tblW w:w="0" w:type="auto"/>
        <w:tblCellMar>
          <w:left w:w="0" w:type="dxa"/>
          <w:right w:w="0" w:type="dxa"/>
        </w:tblCellMar>
        <w:tblLook w:val="04A0" w:firstRow="1" w:lastRow="0" w:firstColumn="1" w:lastColumn="0" w:noHBand="0" w:noVBand="1"/>
      </w:tblPr>
      <w:tblGrid>
        <w:gridCol w:w="2835"/>
        <w:gridCol w:w="6771"/>
      </w:tblGrid>
      <w:tr w:rsidR="00E87AB7">
        <w:tc>
          <w:tcPr>
            <w:tcW w:w="2835" w:type="dxa"/>
            <w:shd w:val="clear" w:color="auto" w:fill="DBE5F1"/>
            <w:tcMar>
              <w:top w:w="0" w:type="dxa"/>
              <w:left w:w="108" w:type="dxa"/>
              <w:bottom w:w="0" w:type="dxa"/>
              <w:right w:w="108" w:type="dxa"/>
            </w:tcMar>
            <w:hideMark/>
          </w:tcPr>
          <w:p w:rsidR="00E87AB7" w:rsidRDefault="0057617C">
            <w:pPr>
              <w:rPr>
                <w:szCs w:val="24"/>
                <w:lang w:eastAsia="lt-LT"/>
              </w:rPr>
            </w:pPr>
            <w:r>
              <w:rPr>
                <w:b/>
                <w:bCs/>
                <w:szCs w:val="24"/>
                <w:lang w:eastAsia="lt-LT"/>
              </w:rPr>
              <w:t xml:space="preserve">Poveikis </w:t>
            </w:r>
            <w:r>
              <w:rPr>
                <w:b/>
                <w:color w:val="000000"/>
                <w:szCs w:val="24"/>
                <w:lang w:eastAsia="lt-LT"/>
              </w:rPr>
              <w:t>aplinkai ir klimato kaitai</w:t>
            </w:r>
          </w:p>
        </w:tc>
        <w:tc>
          <w:tcPr>
            <w:tcW w:w="6771" w:type="dxa"/>
            <w:tcMar>
              <w:top w:w="0" w:type="dxa"/>
              <w:left w:w="108" w:type="dxa"/>
              <w:bottom w:w="0" w:type="dxa"/>
              <w:right w:w="108" w:type="dxa"/>
            </w:tcMar>
            <w:hideMark/>
          </w:tcPr>
          <w:p w:rsidR="00E87AB7" w:rsidRDefault="007F1A49" w:rsidP="00580EA2">
            <w:pPr>
              <w:jc w:val="both"/>
              <w:rPr>
                <w:szCs w:val="24"/>
                <w:lang w:eastAsia="lt-LT"/>
              </w:rPr>
            </w:pPr>
            <w:r w:rsidRPr="00964CCB">
              <w:rPr>
                <w:lang w:eastAsia="en-GB"/>
              </w:rPr>
              <w:t>Šie siūlymai prisidėtų prie Lietuvos ilgalaikės</w:t>
            </w:r>
            <w:r w:rsidR="00580EA2">
              <w:rPr>
                <w:lang w:eastAsia="en-GB"/>
              </w:rPr>
              <w:t xml:space="preserve"> renovacijos strategijos, kuria</w:t>
            </w:r>
            <w:r w:rsidRPr="00964CCB">
              <w:rPr>
                <w:lang w:eastAsia="en-GB"/>
              </w:rPr>
              <w:t xml:space="preserve"> </w:t>
            </w:r>
            <w:r w:rsidR="00580EA2" w:rsidRPr="000677C3">
              <w:rPr>
                <w:szCs w:val="24"/>
              </w:rPr>
              <w:t xml:space="preserve">siekiama iki 2050 metų sumažinti metinį pastatų fondo pirminės energijos vartojimas 60 proc. (iki 16,2 </w:t>
            </w:r>
            <w:proofErr w:type="spellStart"/>
            <w:r w:rsidR="00580EA2" w:rsidRPr="000677C3">
              <w:rPr>
                <w:szCs w:val="24"/>
              </w:rPr>
              <w:t>TWh</w:t>
            </w:r>
            <w:proofErr w:type="spellEnd"/>
            <w:r w:rsidR="00580EA2" w:rsidRPr="000677C3">
              <w:rPr>
                <w:szCs w:val="24"/>
              </w:rPr>
              <w:t>), taip pat panaikinti CO</w:t>
            </w:r>
            <w:r w:rsidR="00580EA2" w:rsidRPr="00580EA2">
              <w:rPr>
                <w:szCs w:val="24"/>
                <w:vertAlign w:val="subscript"/>
              </w:rPr>
              <w:t>2</w:t>
            </w:r>
            <w:r w:rsidR="00580EA2">
              <w:rPr>
                <w:szCs w:val="24"/>
              </w:rPr>
              <w:t xml:space="preserve"> pėdsaką pastatų sektoriuje - </w:t>
            </w:r>
            <w:r w:rsidR="00580EA2" w:rsidRPr="000677C3">
              <w:rPr>
                <w:szCs w:val="24"/>
              </w:rPr>
              <w:t>sumažinti metinį pastatų fondo CO</w:t>
            </w:r>
            <w:r w:rsidR="00580EA2" w:rsidRPr="00580EA2">
              <w:rPr>
                <w:szCs w:val="24"/>
                <w:vertAlign w:val="subscript"/>
              </w:rPr>
              <w:t>2</w:t>
            </w:r>
            <w:r w:rsidR="00580EA2" w:rsidRPr="000677C3">
              <w:rPr>
                <w:szCs w:val="24"/>
              </w:rPr>
              <w:t xml:space="preserve"> emisijų kiekį iki 0 mtCO</w:t>
            </w:r>
            <w:r w:rsidR="00580EA2" w:rsidRPr="00580EA2">
              <w:rPr>
                <w:szCs w:val="24"/>
                <w:vertAlign w:val="subscript"/>
              </w:rPr>
              <w:t>2</w:t>
            </w:r>
            <w:r w:rsidRPr="00964CCB">
              <w:rPr>
                <w:lang w:eastAsia="en-GB"/>
              </w:rPr>
              <w:t>, įgyvendinimo</w:t>
            </w:r>
            <w:r>
              <w:rPr>
                <w:lang w:eastAsia="en-GB"/>
              </w:rPr>
              <w:t>.</w:t>
            </w:r>
          </w:p>
        </w:tc>
      </w:tr>
    </w:tbl>
    <w:p w:rsidR="00E87AB7" w:rsidRDefault="00E87AB7">
      <w:pPr>
        <w:rPr>
          <w:sz w:val="16"/>
          <w:szCs w:val="16"/>
          <w:lang w:eastAsia="lt-LT"/>
        </w:rPr>
      </w:pPr>
    </w:p>
    <w:tbl>
      <w:tblPr>
        <w:tblW w:w="9656" w:type="dxa"/>
        <w:tblLook w:val="00A0" w:firstRow="1" w:lastRow="0" w:firstColumn="1" w:lastColumn="0" w:noHBand="0" w:noVBand="0"/>
      </w:tblPr>
      <w:tblGrid>
        <w:gridCol w:w="9656"/>
      </w:tblGrid>
      <w:tr w:rsidR="00E87AB7">
        <w:trPr>
          <w:trHeight w:val="421"/>
        </w:trPr>
        <w:tc>
          <w:tcPr>
            <w:tcW w:w="9656" w:type="dxa"/>
            <w:shd w:val="clear" w:color="auto" w:fill="DBE5F1"/>
            <w:hideMark/>
          </w:tcPr>
          <w:p w:rsidR="00E87AB7" w:rsidRDefault="0057617C">
            <w:pPr>
              <w:spacing w:line="276" w:lineRule="auto"/>
              <w:rPr>
                <w:b/>
                <w:szCs w:val="24"/>
                <w:lang w:eastAsia="lt-LT"/>
              </w:rPr>
            </w:pPr>
            <w:r>
              <w:rPr>
                <w:b/>
                <w:szCs w:val="24"/>
                <w:lang w:eastAsia="lt-LT"/>
              </w:rPr>
              <w:t>Kita svarbi informacija</w:t>
            </w:r>
          </w:p>
          <w:p w:rsidR="00E87AB7" w:rsidRDefault="00E87AB7">
            <w:pPr>
              <w:rPr>
                <w:sz w:val="6"/>
                <w:szCs w:val="6"/>
              </w:rPr>
            </w:pPr>
          </w:p>
          <w:p w:rsidR="00E87AB7" w:rsidRDefault="0057617C">
            <w:pPr>
              <w:spacing w:line="120" w:lineRule="auto"/>
              <w:jc w:val="both"/>
              <w:rPr>
                <w:rFonts w:eastAsia="Lucida Sans Unicode"/>
                <w:color w:val="000000"/>
                <w:szCs w:val="24"/>
                <w:lang w:eastAsia="lt-LT"/>
              </w:rPr>
            </w:pPr>
            <w:r>
              <w:rPr>
                <w:rFonts w:eastAsia="Lucida Sans Unicode"/>
                <w:color w:val="000000"/>
                <w:szCs w:val="24"/>
                <w:lang w:eastAsia="lt-LT"/>
              </w:rPr>
              <w:t>̶</w:t>
            </w:r>
          </w:p>
        </w:tc>
      </w:tr>
    </w:tbl>
    <w:p w:rsidR="00E87AB7" w:rsidRDefault="00E87AB7">
      <w:pPr>
        <w:spacing w:line="120" w:lineRule="auto"/>
        <w:jc w:val="both"/>
        <w:rPr>
          <w:b/>
          <w:bCs/>
          <w:szCs w:val="24"/>
          <w:lang w:eastAsia="lt-LT"/>
        </w:rPr>
      </w:pPr>
    </w:p>
    <w:p w:rsidR="00E87AB7" w:rsidRDefault="0057617C">
      <w:pPr>
        <w:jc w:val="both"/>
        <w:rPr>
          <w:b/>
          <w:bCs/>
          <w:szCs w:val="24"/>
          <w:lang w:eastAsia="lt-LT"/>
        </w:rPr>
      </w:pPr>
      <w:r>
        <w:rPr>
          <w:b/>
          <w:bCs/>
          <w:szCs w:val="24"/>
          <w:lang w:eastAsia="lt-LT"/>
        </w:rPr>
        <w:t>Informacija apie asmenį ir instituciją, atsakingą už poveikio vertinimą</w:t>
      </w:r>
    </w:p>
    <w:p w:rsidR="00E87AB7" w:rsidRDefault="00E87AB7">
      <w:pPr>
        <w:spacing w:line="120" w:lineRule="auto"/>
        <w:jc w:val="both"/>
        <w:rPr>
          <w:szCs w:val="24"/>
          <w:lang w:eastAsia="lt-LT"/>
        </w:rPr>
      </w:pPr>
    </w:p>
    <w:tbl>
      <w:tblPr>
        <w:tblW w:w="487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4"/>
        <w:gridCol w:w="6772"/>
      </w:tblGrid>
      <w:tr w:rsidR="00E87AB7">
        <w:tc>
          <w:tcPr>
            <w:tcW w:w="1475"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E87AB7" w:rsidRDefault="0057617C">
            <w:pPr>
              <w:ind w:firstLine="62"/>
              <w:rPr>
                <w:szCs w:val="24"/>
                <w:lang w:eastAsia="lt-LT"/>
              </w:rPr>
            </w:pPr>
            <w:r>
              <w:rPr>
                <w:szCs w:val="24"/>
                <w:lang w:eastAsia="lt-LT"/>
              </w:rPr>
              <w:t>Vardas ir pavardė</w:t>
            </w:r>
          </w:p>
        </w:tc>
        <w:tc>
          <w:tcPr>
            <w:tcW w:w="3525"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87AB7" w:rsidRDefault="008D40C6">
            <w:pPr>
              <w:rPr>
                <w:szCs w:val="24"/>
                <w:lang w:eastAsia="lt-LT"/>
              </w:rPr>
            </w:pPr>
            <w:r>
              <w:rPr>
                <w:szCs w:val="24"/>
                <w:lang w:eastAsia="lt-LT"/>
              </w:rPr>
              <w:t xml:space="preserve">Virginija </w:t>
            </w:r>
            <w:proofErr w:type="spellStart"/>
            <w:r>
              <w:rPr>
                <w:szCs w:val="24"/>
                <w:lang w:eastAsia="lt-LT"/>
              </w:rPr>
              <w:t>Pilipienė</w:t>
            </w:r>
            <w:proofErr w:type="spellEnd"/>
          </w:p>
        </w:tc>
      </w:tr>
      <w:tr w:rsidR="00E87AB7">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87AB7" w:rsidRDefault="0057617C">
            <w:pPr>
              <w:rPr>
                <w:szCs w:val="24"/>
                <w:lang w:eastAsia="lt-LT"/>
              </w:rPr>
            </w:pPr>
            <w:r>
              <w:rPr>
                <w:szCs w:val="24"/>
                <w:lang w:eastAsia="lt-LT"/>
              </w:rPr>
              <w:t>Pareigos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E87AB7" w:rsidRDefault="008D40C6">
            <w:pPr>
              <w:jc w:val="both"/>
              <w:rPr>
                <w:szCs w:val="24"/>
                <w:lang w:eastAsia="lt-LT"/>
              </w:rPr>
            </w:pPr>
            <w:r>
              <w:rPr>
                <w:szCs w:val="24"/>
                <w:lang w:eastAsia="lt-LT"/>
              </w:rPr>
              <w:t>Vyriausioji specialistė</w:t>
            </w:r>
          </w:p>
        </w:tc>
      </w:tr>
      <w:tr w:rsidR="00E87AB7">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87AB7" w:rsidRDefault="0057617C">
            <w:pPr>
              <w:rPr>
                <w:szCs w:val="24"/>
                <w:lang w:eastAsia="lt-LT"/>
              </w:rPr>
            </w:pPr>
            <w:r>
              <w:rPr>
                <w:szCs w:val="24"/>
                <w:lang w:eastAsia="lt-LT"/>
              </w:rPr>
              <w:t>Institucija (padalinys)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E87AB7" w:rsidRDefault="0057617C">
            <w:pPr>
              <w:jc w:val="both"/>
              <w:rPr>
                <w:szCs w:val="24"/>
                <w:lang w:eastAsia="lt-LT"/>
              </w:rPr>
            </w:pPr>
            <w:r>
              <w:rPr>
                <w:bCs/>
                <w:szCs w:val="24"/>
                <w:lang w:eastAsia="lt-LT"/>
              </w:rPr>
              <w:t>Lietuvos Respublikos aplinkos ministerijos Statybos ir teritorijų planavimo politikos grupė</w:t>
            </w:r>
          </w:p>
        </w:tc>
      </w:tr>
      <w:tr w:rsidR="00E87AB7">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87AB7" w:rsidRDefault="0057617C">
            <w:pPr>
              <w:rPr>
                <w:szCs w:val="24"/>
                <w:lang w:eastAsia="lt-LT"/>
              </w:rPr>
            </w:pPr>
            <w:r>
              <w:rPr>
                <w:szCs w:val="24"/>
                <w:lang w:eastAsia="lt-LT"/>
              </w:rPr>
              <w:t>Telefono numeris ir elektroninio pašto adresas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E87AB7" w:rsidRDefault="008D40C6">
            <w:pPr>
              <w:widowControl w:val="0"/>
              <w:suppressAutoHyphens/>
              <w:jc w:val="both"/>
              <w:rPr>
                <w:rFonts w:eastAsia="Andale Sans UI"/>
                <w:szCs w:val="24"/>
                <w:lang w:eastAsia="lt-LT" w:bidi="en-US"/>
              </w:rPr>
            </w:pPr>
            <w:r>
              <w:rPr>
                <w:rFonts w:eastAsia="Andale Sans UI"/>
                <w:szCs w:val="24"/>
                <w:lang w:eastAsia="lt-LT" w:bidi="en-US"/>
              </w:rPr>
              <w:t>8 61</w:t>
            </w:r>
            <w:r>
              <w:rPr>
                <w:rFonts w:eastAsia="Andale Sans UI"/>
                <w:szCs w:val="24"/>
                <w:lang w:val="en-GB" w:eastAsia="lt-LT" w:bidi="en-US"/>
              </w:rPr>
              <w:t>6</w:t>
            </w:r>
            <w:r w:rsidR="0057617C">
              <w:rPr>
                <w:rFonts w:eastAsia="Andale Sans UI"/>
                <w:szCs w:val="24"/>
                <w:lang w:eastAsia="lt-LT" w:bidi="en-US"/>
              </w:rPr>
              <w:t xml:space="preserve"> </w:t>
            </w:r>
            <w:r>
              <w:rPr>
                <w:rFonts w:eastAsia="Andale Sans UI"/>
                <w:szCs w:val="24"/>
                <w:lang w:eastAsia="lt-LT" w:bidi="en-US"/>
              </w:rPr>
              <w:t>34857</w:t>
            </w:r>
          </w:p>
          <w:p w:rsidR="00E87AB7" w:rsidRDefault="008D40C6" w:rsidP="008D40C6">
            <w:pPr>
              <w:widowControl w:val="0"/>
              <w:suppressAutoHyphens/>
              <w:jc w:val="both"/>
              <w:rPr>
                <w:rFonts w:eastAsia="Andale Sans UI"/>
                <w:szCs w:val="24"/>
                <w:lang w:eastAsia="lt-LT" w:bidi="en-US"/>
              </w:rPr>
            </w:pPr>
            <w:r>
              <w:rPr>
                <w:rFonts w:eastAsia="Andale Sans UI"/>
                <w:szCs w:val="24"/>
                <w:lang w:eastAsia="lt-LT" w:bidi="en-US"/>
              </w:rPr>
              <w:t>virginija</w:t>
            </w:r>
            <w:r w:rsidR="0057617C">
              <w:rPr>
                <w:rFonts w:eastAsia="Andale Sans UI"/>
                <w:szCs w:val="24"/>
                <w:lang w:eastAsia="lt-LT" w:bidi="en-US"/>
              </w:rPr>
              <w:t>.</w:t>
            </w:r>
            <w:r>
              <w:rPr>
                <w:rFonts w:eastAsia="Andale Sans UI"/>
                <w:szCs w:val="24"/>
                <w:lang w:eastAsia="lt-LT" w:bidi="en-US"/>
              </w:rPr>
              <w:t>pilipiene</w:t>
            </w:r>
            <w:r w:rsidR="0057617C">
              <w:rPr>
                <w:rFonts w:eastAsia="Andale Sans UI"/>
                <w:szCs w:val="24"/>
                <w:lang w:eastAsia="lt-LT" w:bidi="en-US"/>
              </w:rPr>
              <w:t xml:space="preserve">@am.lt  </w:t>
            </w:r>
          </w:p>
        </w:tc>
      </w:tr>
    </w:tbl>
    <w:p w:rsidR="00E87AB7" w:rsidRDefault="00E87AB7"/>
    <w:p w:rsidR="00E87AB7" w:rsidRDefault="0057617C">
      <w:pPr>
        <w:jc w:val="center"/>
        <w:rPr>
          <w:szCs w:val="24"/>
          <w:lang w:eastAsia="lt-LT"/>
        </w:rPr>
      </w:pPr>
      <w:r>
        <w:rPr>
          <w:szCs w:val="22"/>
          <w:lang w:eastAsia="lt-LT"/>
        </w:rPr>
        <w:t>––––––––––––––––</w:t>
      </w:r>
    </w:p>
    <w:sectPr w:rsidR="00E87AB7">
      <w:headerReference w:type="even" r:id="rId8"/>
      <w:headerReference w:type="default" r:id="rId9"/>
      <w:footerReference w:type="even" r:id="rId10"/>
      <w:footerReference w:type="default" r:id="rId11"/>
      <w:headerReference w:type="first" r:id="rId12"/>
      <w:footerReference w:type="first" r:id="rId13"/>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B7" w:rsidRDefault="0057617C">
      <w:pPr>
        <w:rPr>
          <w:sz w:val="22"/>
          <w:szCs w:val="22"/>
          <w:lang w:eastAsia="lt-LT"/>
        </w:rPr>
      </w:pPr>
      <w:r>
        <w:rPr>
          <w:sz w:val="22"/>
          <w:szCs w:val="22"/>
          <w:lang w:eastAsia="lt-LT"/>
        </w:rPr>
        <w:separator/>
      </w:r>
    </w:p>
  </w:endnote>
  <w:endnote w:type="continuationSeparator" w:id="0">
    <w:p w:rsidR="00E87AB7" w:rsidRDefault="0057617C">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B7" w:rsidRDefault="00E87AB7">
    <w:pPr>
      <w:tabs>
        <w:tab w:val="center" w:pos="4819"/>
        <w:tab w:val="right" w:pos="9638"/>
      </w:tabs>
      <w:rPr>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B7" w:rsidRDefault="00E87AB7">
    <w:pPr>
      <w:tabs>
        <w:tab w:val="center" w:pos="4819"/>
        <w:tab w:val="right" w:pos="9638"/>
      </w:tabs>
      <w:rPr>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B7" w:rsidRDefault="00E87AB7">
    <w:pPr>
      <w:tabs>
        <w:tab w:val="center" w:pos="4819"/>
        <w:tab w:val="right" w:pos="9638"/>
      </w:tabs>
      <w:rPr>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B7" w:rsidRDefault="0057617C">
      <w:pPr>
        <w:rPr>
          <w:sz w:val="22"/>
          <w:szCs w:val="22"/>
          <w:lang w:eastAsia="lt-LT"/>
        </w:rPr>
      </w:pPr>
      <w:r>
        <w:rPr>
          <w:sz w:val="22"/>
          <w:szCs w:val="22"/>
          <w:lang w:eastAsia="lt-LT"/>
        </w:rPr>
        <w:separator/>
      </w:r>
    </w:p>
  </w:footnote>
  <w:footnote w:type="continuationSeparator" w:id="0">
    <w:p w:rsidR="00E87AB7" w:rsidRDefault="0057617C">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B7" w:rsidRDefault="00E87AB7">
    <w:pPr>
      <w:tabs>
        <w:tab w:val="center" w:pos="4819"/>
        <w:tab w:val="right" w:pos="9638"/>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B7" w:rsidRDefault="0057617C">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172750">
      <w:rPr>
        <w:noProof/>
        <w:szCs w:val="24"/>
        <w:lang w:eastAsia="lt-LT"/>
      </w:rPr>
      <w:t>2</w:t>
    </w:r>
    <w:r>
      <w:rPr>
        <w:szCs w:val="24"/>
        <w:lang w:eastAsia="lt-LT"/>
      </w:rPr>
      <w:fldChar w:fldCharType="end"/>
    </w:r>
  </w:p>
  <w:p w:rsidR="00E87AB7" w:rsidRDefault="00E87AB7">
    <w:pPr>
      <w:tabs>
        <w:tab w:val="center" w:pos="4819"/>
        <w:tab w:val="right" w:pos="9638"/>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B7" w:rsidRDefault="00E87AB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8E"/>
    <w:rsid w:val="00172750"/>
    <w:rsid w:val="003D1926"/>
    <w:rsid w:val="003F2B9D"/>
    <w:rsid w:val="0042338E"/>
    <w:rsid w:val="0057617C"/>
    <w:rsid w:val="00580EA2"/>
    <w:rsid w:val="0063321A"/>
    <w:rsid w:val="007F1A49"/>
    <w:rsid w:val="008D40C6"/>
    <w:rsid w:val="00DF3BA2"/>
    <w:rsid w:val="00E0050F"/>
    <w:rsid w:val="00E87AB7"/>
    <w:rsid w:val="00F400AC"/>
    <w:rsid w:val="00F73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04973">
      <w:bodyDiv w:val="1"/>
      <w:marLeft w:val="225"/>
      <w:marRight w:val="225"/>
      <w:marTop w:val="0"/>
      <w:marBottom w:val="0"/>
      <w:divBdr>
        <w:top w:val="none" w:sz="0" w:space="0" w:color="auto"/>
        <w:left w:val="none" w:sz="0" w:space="0" w:color="auto"/>
        <w:bottom w:val="none" w:sz="0" w:space="0" w:color="auto"/>
        <w:right w:val="none" w:sz="0" w:space="0" w:color="auto"/>
      </w:divBdr>
      <w:divsChild>
        <w:div w:id="1163207053">
          <w:marLeft w:val="0"/>
          <w:marRight w:val="0"/>
          <w:marTop w:val="0"/>
          <w:marBottom w:val="0"/>
          <w:divBdr>
            <w:top w:val="none" w:sz="0" w:space="0" w:color="auto"/>
            <w:left w:val="none" w:sz="0" w:space="0" w:color="auto"/>
            <w:bottom w:val="none" w:sz="0" w:space="0" w:color="auto"/>
            <w:right w:val="none" w:sz="0" w:space="0" w:color="auto"/>
          </w:divBdr>
        </w:div>
      </w:divsChild>
    </w:div>
    <w:div w:id="13655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23DD-617C-4E39-9AED-ADFAB98E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2021-12-17T13:28:00Z</dcterms:created>
  <dc:creator>v.siaudinyte</dc:creator>
  <cp:lastModifiedBy>Vaiva Rumbutienė</cp:lastModifiedBy>
  <cp:lastPrinted>2014-01-23T11:10:00Z</cp:lastPrinted>
  <dcterms:modified xsi:type="dcterms:W3CDTF">2021-12-17T13:28:00Z</dcterms:modified>
  <cp:revision>2</cp:revision>
</cp:coreProperties>
</file>