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:rsidR="004716FB" w:rsidRDefault="004716FB">
            <w:pPr>
              <w:jc w:val="center"/>
            </w:pPr>
            <w:r>
              <w:object w:dxaOrig="706" w:dyaOrig="796" w14:anchorId="31D47D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8" o:title=""/>
                </v:shape>
                <o:OLEObject Type="Embed" ProgID="Word.Picture.8" ShapeID="_x0000_i1025" DrawAspect="Content" ObjectID="_1665296182" r:id="rId9"/>
              </w:object>
            </w:r>
          </w:p>
        </w:tc>
      </w:tr>
      <w:tr w:rsidR="004716FB">
        <w:trPr>
          <w:cantSplit/>
          <w:trHeight w:val="397"/>
        </w:trPr>
        <w:tc>
          <w:tcPr>
            <w:tcW w:w="9640" w:type="dxa"/>
            <w:gridSpan w:val="2"/>
          </w:tcPr>
          <w:p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>
        <w:trPr>
          <w:cantSplit/>
        </w:trPr>
        <w:tc>
          <w:tcPr>
            <w:tcW w:w="4820" w:type="dxa"/>
          </w:tcPr>
          <w:p w:rsidR="004716FB" w:rsidRDefault="004716FB" w:rsidP="00E91348">
            <w:pPr>
              <w:tabs>
                <w:tab w:val="left" w:pos="619"/>
              </w:tabs>
              <w:suppressAutoHyphens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1" w:name="r13_1_1"/>
            <w:r>
              <w:instrText xml:space="preserve"> FORMTEXT </w:instrText>
            </w:r>
            <w:r>
              <w:fldChar w:fldCharType="separate"/>
            </w:r>
            <w:r w:rsidR="003B26D3">
              <w:t>Lietuvos Respublikos finansų ministerijai</w:t>
            </w:r>
            <w:r>
              <w:fldChar w:fldCharType="end"/>
            </w:r>
            <w:bookmarkEnd w:id="1"/>
            <w:r>
              <w:t xml:space="preserve"> </w:t>
            </w:r>
          </w:p>
          <w:p w:rsidR="004716FB" w:rsidRDefault="004716FB">
            <w:pPr>
              <w:rPr>
                <w:b/>
                <w:bCs/>
              </w:rPr>
            </w:pPr>
          </w:p>
          <w:p w:rsidR="00131A8E" w:rsidRDefault="00131A8E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3D1FD3">
              <w:t>2020</w:t>
            </w:r>
            <w:r w:rsidR="00CC76DB">
              <w:t>-</w:t>
            </w:r>
            <w:r w:rsidR="008B5F5B">
              <w:t>10</w:t>
            </w:r>
            <w:r w:rsidR="00541016">
              <w:t>-</w:t>
            </w:r>
            <w:r w:rsidR="00CC76DB">
              <w:t xml:space="preserve"> </w:t>
            </w:r>
            <w:r w:rsidR="009655E6">
              <w:t>27</w:t>
            </w:r>
            <w:r>
              <w:t xml:space="preserve">   Nr. </w:t>
            </w:r>
            <w:r w:rsidR="009655E6">
              <w:t>S2-3075</w:t>
            </w:r>
          </w:p>
          <w:p w:rsidR="004716FB" w:rsidRDefault="004716FB" w:rsidP="00EF7976">
            <w:pPr>
              <w:rPr>
                <w:b/>
                <w:bCs/>
              </w:rPr>
            </w:pPr>
            <w:r>
              <w:t xml:space="preserve">        </w:t>
            </w:r>
          </w:p>
        </w:tc>
      </w:tr>
      <w:bookmarkStart w:id="2" w:name="r17"/>
      <w:tr w:rsidR="004716FB">
        <w:trPr>
          <w:cantSplit/>
        </w:trPr>
        <w:tc>
          <w:tcPr>
            <w:tcW w:w="9640" w:type="dxa"/>
            <w:gridSpan w:val="2"/>
          </w:tcPr>
          <w:p w:rsidR="004716FB" w:rsidRDefault="0033386F" w:rsidP="001B0AB3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663216" w:rsidRPr="00663216">
              <w:rPr>
                <w:b/>
                <w:caps/>
              </w:rPr>
              <w:t>DĖL 20</w:t>
            </w:r>
            <w:r w:rsidR="00CC19DC">
              <w:rPr>
                <w:b/>
                <w:caps/>
              </w:rPr>
              <w:t>20</w:t>
            </w:r>
            <w:r w:rsidR="00663216" w:rsidRPr="00663216">
              <w:rPr>
                <w:b/>
                <w:caps/>
              </w:rPr>
              <w:t xml:space="preserve"> M.</w:t>
            </w:r>
            <w:r w:rsidR="00F14847">
              <w:rPr>
                <w:b/>
                <w:caps/>
              </w:rPr>
              <w:t xml:space="preserve"> </w:t>
            </w:r>
            <w:r w:rsidR="00663216" w:rsidRPr="00663216">
              <w:rPr>
                <w:b/>
                <w:caps/>
              </w:rPr>
              <w:t xml:space="preserve">ASIGNAVIMŲ PERSKIRSTYMO TARP PROGRAMŲ </w:t>
            </w:r>
            <w:r w:rsidRPr="0033386F">
              <w:rPr>
                <w:b/>
                <w:caps/>
              </w:rPr>
              <w:fldChar w:fldCharType="end"/>
            </w:r>
            <w:bookmarkEnd w:id="2"/>
            <w:r w:rsidR="001B0AB3">
              <w:rPr>
                <w:b/>
                <w:caps/>
              </w:rPr>
              <w:t xml:space="preserve"> </w:t>
            </w:r>
          </w:p>
          <w:p w:rsidR="001B0AB3" w:rsidRDefault="001B0AB3" w:rsidP="001B0AB3">
            <w:pPr>
              <w:tabs>
                <w:tab w:val="left" w:pos="619"/>
              </w:tabs>
              <w:rPr>
                <w:b/>
                <w:bCs/>
              </w:rPr>
            </w:pPr>
          </w:p>
        </w:tc>
      </w:tr>
    </w:tbl>
    <w:p w:rsidR="004716FB" w:rsidRDefault="004716FB">
      <w:pPr>
        <w:sectPr w:rsidR="004716FB">
          <w:footerReference w:type="default" r:id="rId10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:rsidR="008B5F5B" w:rsidRDefault="008B5F5B" w:rsidP="00131A8E">
      <w:pPr>
        <w:ind w:firstLine="567"/>
        <w:jc w:val="both"/>
        <w:rPr>
          <w:color w:val="000000"/>
        </w:rPr>
      </w:pPr>
    </w:p>
    <w:p w:rsidR="00C96318" w:rsidRDefault="008B5F5B" w:rsidP="00131A8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Šalies epidemiologinė situacija neleido plėtoti tarptautinių ryšių bei kitų priemonių, susijusių su kultūros sklaida, todėl susitaupė valstybės biudžeto </w:t>
      </w:r>
      <w:r w:rsidR="00E76413">
        <w:rPr>
          <w:color w:val="000000"/>
        </w:rPr>
        <w:t>asignavimai</w:t>
      </w:r>
      <w:r>
        <w:rPr>
          <w:color w:val="000000"/>
        </w:rPr>
        <w:t>, kuri</w:t>
      </w:r>
      <w:r w:rsidR="00E76413">
        <w:rPr>
          <w:color w:val="000000"/>
        </w:rPr>
        <w:t>uos</w:t>
      </w:r>
      <w:r>
        <w:rPr>
          <w:color w:val="000000"/>
        </w:rPr>
        <w:t xml:space="preserve"> tikslinga perskirstyti tarp programų ir panaudoti</w:t>
      </w:r>
      <w:r w:rsidR="00E76413">
        <w:rPr>
          <w:color w:val="000000"/>
        </w:rPr>
        <w:t xml:space="preserve"> kompensacijoms už </w:t>
      </w:r>
      <w:r>
        <w:rPr>
          <w:color w:val="000000"/>
        </w:rPr>
        <w:t xml:space="preserve">paveldo objektų tvarkybos darbus,  bei nemokamam muziejų lankymui. </w:t>
      </w:r>
      <w:r w:rsidR="00142C67">
        <w:rPr>
          <w:color w:val="000000"/>
        </w:rPr>
        <w:t>Dėl neužimtų pareigybių susitaupė asignavimai darbo užmokesčiui, kurie</w:t>
      </w:r>
      <w:r w:rsidR="007E775B">
        <w:rPr>
          <w:color w:val="000000"/>
        </w:rPr>
        <w:t xml:space="preserve"> bus skirti</w:t>
      </w:r>
      <w:r w:rsidR="00142C67">
        <w:rPr>
          <w:color w:val="000000"/>
        </w:rPr>
        <w:t xml:space="preserve"> nepanaudotų atostogų kompensavimui keičiantis politinei vadovybei.</w:t>
      </w:r>
    </w:p>
    <w:p w:rsidR="00790813" w:rsidRPr="00D04F27" w:rsidRDefault="008B2161" w:rsidP="00131A8E">
      <w:pPr>
        <w:spacing w:after="60"/>
        <w:ind w:firstLine="567"/>
        <w:jc w:val="both"/>
        <w:rPr>
          <w:color w:val="000000"/>
        </w:rPr>
      </w:pPr>
      <w:r>
        <w:rPr>
          <w:color w:val="000000"/>
        </w:rPr>
        <w:t>Re</w:t>
      </w:r>
      <w:r w:rsidR="003D1FD3">
        <w:rPr>
          <w:color w:val="000000"/>
        </w:rPr>
        <w:t xml:space="preserve">ngiant Lietuvos </w:t>
      </w:r>
      <w:r w:rsidR="003D1FD3" w:rsidRPr="008527CA">
        <w:t>Respublikos Vyriausybės nutarim</w:t>
      </w:r>
      <w:r>
        <w:t xml:space="preserve">o </w:t>
      </w:r>
      <w:r w:rsidR="00131A8E">
        <w:t>„D</w:t>
      </w:r>
      <w:r w:rsidR="003D1FD3">
        <w:t>ėl</w:t>
      </w:r>
      <w:r w:rsidR="003D1FD3" w:rsidRPr="003D1FD3">
        <w:t xml:space="preserve"> </w:t>
      </w:r>
      <w:r w:rsidR="003D1FD3" w:rsidRPr="008527CA">
        <w:t xml:space="preserve">Lietuvos Respublikos </w:t>
      </w:r>
      <w:r w:rsidR="0091269B">
        <w:t xml:space="preserve">2020 metų </w:t>
      </w:r>
      <w:r w:rsidR="003D1FD3" w:rsidRPr="008527CA">
        <w:t>valstybės biudžeto patvirtintų asignavimų paskirstymo pagal programas</w:t>
      </w:r>
      <w:r w:rsidR="00131A8E">
        <w:t>“ pakeitimą</w:t>
      </w:r>
      <w:r w:rsidR="0091269B">
        <w:t>,</w:t>
      </w:r>
      <w:r w:rsidR="003D1FD3">
        <w:t xml:space="preserve"> prašome patikslinti </w:t>
      </w:r>
      <w:r w:rsidR="00131A8E">
        <w:t xml:space="preserve">Kultūros ministerijos </w:t>
      </w:r>
      <w:r w:rsidR="003D1FD3" w:rsidRPr="008527CA">
        <w:t>asignavimus</w:t>
      </w:r>
      <w:r w:rsidR="003D1FD3">
        <w:t xml:space="preserve"> tarp programų</w:t>
      </w:r>
      <w:r w:rsidR="003D1FD3" w:rsidRPr="008527CA">
        <w:t xml:space="preserve"> taip</w:t>
      </w:r>
      <w:r w:rsidR="003D1FD3">
        <w:t>:</w:t>
      </w:r>
    </w:p>
    <w:tbl>
      <w:tblPr>
        <w:tblW w:w="9637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080"/>
        <w:gridCol w:w="3420"/>
        <w:gridCol w:w="1530"/>
        <w:gridCol w:w="1260"/>
        <w:gridCol w:w="1440"/>
        <w:gridCol w:w="907"/>
      </w:tblGrid>
      <w:tr w:rsidR="00790813" w:rsidTr="00F27275">
        <w:trPr>
          <w:trHeight w:val="240"/>
          <w:tblHeader/>
        </w:trPr>
        <w:tc>
          <w:tcPr>
            <w:tcW w:w="1080" w:type="dxa"/>
            <w:vMerge w:val="restart"/>
            <w:vAlign w:val="center"/>
            <w:hideMark/>
          </w:tcPr>
          <w:p w:rsidR="00790813" w:rsidRDefault="00790813" w:rsidP="001809B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 xml:space="preserve">Programos kodas </w:t>
            </w:r>
          </w:p>
        </w:tc>
        <w:tc>
          <w:tcPr>
            <w:tcW w:w="3420" w:type="dxa"/>
            <w:vMerge w:val="restart"/>
            <w:vAlign w:val="center"/>
            <w:hideMark/>
          </w:tcPr>
          <w:p w:rsidR="00790813" w:rsidRDefault="00790813" w:rsidP="001809B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Asignavimų valdytojo /</w:t>
            </w:r>
          </w:p>
          <w:p w:rsidR="00790813" w:rsidRDefault="00790813" w:rsidP="001809BB">
            <w:pPr>
              <w:ind w:firstLine="62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 xml:space="preserve">programos pavadinimas </w:t>
            </w:r>
          </w:p>
        </w:tc>
        <w:tc>
          <w:tcPr>
            <w:tcW w:w="5137" w:type="dxa"/>
            <w:gridSpan w:val="4"/>
            <w:vAlign w:val="center"/>
            <w:hideMark/>
          </w:tcPr>
          <w:p w:rsidR="00790813" w:rsidRDefault="00790813" w:rsidP="001809B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Asignavimai, tūkst. eurų</w:t>
            </w:r>
          </w:p>
        </w:tc>
      </w:tr>
      <w:tr w:rsidR="00790813" w:rsidTr="00F27275">
        <w:trPr>
          <w:trHeight w:val="240"/>
          <w:tblHeader/>
        </w:trPr>
        <w:tc>
          <w:tcPr>
            <w:tcW w:w="1080" w:type="dxa"/>
            <w:vMerge/>
            <w:vAlign w:val="center"/>
            <w:hideMark/>
          </w:tcPr>
          <w:p w:rsidR="00790813" w:rsidRDefault="00790813" w:rsidP="001809BB">
            <w:pPr>
              <w:rPr>
                <w:color w:val="000000"/>
                <w:lang w:val="en-GB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790813" w:rsidRDefault="00790813" w:rsidP="001809BB">
            <w:pPr>
              <w:rPr>
                <w:color w:val="000000"/>
                <w:lang w:val="en-GB"/>
              </w:rPr>
            </w:pPr>
          </w:p>
        </w:tc>
        <w:tc>
          <w:tcPr>
            <w:tcW w:w="1530" w:type="dxa"/>
            <w:vMerge w:val="restart"/>
            <w:vAlign w:val="center"/>
            <w:hideMark/>
          </w:tcPr>
          <w:p w:rsidR="00790813" w:rsidRDefault="00790813" w:rsidP="001809B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3607" w:type="dxa"/>
            <w:gridSpan w:val="3"/>
            <w:vAlign w:val="center"/>
            <w:hideMark/>
          </w:tcPr>
          <w:p w:rsidR="00790813" w:rsidRDefault="00790813" w:rsidP="001809B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iš jų</w:t>
            </w:r>
          </w:p>
        </w:tc>
      </w:tr>
      <w:tr w:rsidR="00F27275" w:rsidTr="00F27275">
        <w:trPr>
          <w:trHeight w:val="240"/>
          <w:tblHeader/>
        </w:trPr>
        <w:tc>
          <w:tcPr>
            <w:tcW w:w="1080" w:type="dxa"/>
            <w:vMerge/>
            <w:vAlign w:val="center"/>
            <w:hideMark/>
          </w:tcPr>
          <w:p w:rsidR="00F27275" w:rsidRDefault="00F27275" w:rsidP="001809BB">
            <w:pPr>
              <w:rPr>
                <w:color w:val="000000"/>
                <w:lang w:val="en-GB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7275" w:rsidRDefault="00F27275" w:rsidP="001809BB">
            <w:pPr>
              <w:rPr>
                <w:color w:val="000000"/>
                <w:lang w:val="en-GB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F27275" w:rsidRDefault="00F27275" w:rsidP="001809BB">
            <w:pPr>
              <w:rPr>
                <w:color w:val="000000"/>
                <w:lang w:val="en-GB"/>
              </w:rPr>
            </w:pPr>
          </w:p>
        </w:tc>
        <w:tc>
          <w:tcPr>
            <w:tcW w:w="1260" w:type="dxa"/>
            <w:vAlign w:val="center"/>
            <w:hideMark/>
          </w:tcPr>
          <w:p w:rsidR="00F27275" w:rsidRDefault="00F27275" w:rsidP="001809B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išlaidoms</w:t>
            </w:r>
          </w:p>
        </w:tc>
        <w:tc>
          <w:tcPr>
            <w:tcW w:w="1440" w:type="dxa"/>
            <w:vAlign w:val="center"/>
          </w:tcPr>
          <w:p w:rsidR="00F27275" w:rsidRDefault="00F27275" w:rsidP="001809B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iš jų darbo užmokesčiui</w:t>
            </w:r>
          </w:p>
        </w:tc>
        <w:tc>
          <w:tcPr>
            <w:tcW w:w="907" w:type="dxa"/>
            <w:vAlign w:val="center"/>
            <w:hideMark/>
          </w:tcPr>
          <w:p w:rsidR="00F27275" w:rsidRDefault="00F27275" w:rsidP="001809B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turtui įsigyti</w:t>
            </w:r>
          </w:p>
        </w:tc>
      </w:tr>
      <w:tr w:rsidR="008B5F5B" w:rsidTr="00F27275">
        <w:trPr>
          <w:trHeight w:val="240"/>
          <w:tblHeader/>
        </w:trPr>
        <w:tc>
          <w:tcPr>
            <w:tcW w:w="1080" w:type="dxa"/>
            <w:vAlign w:val="center"/>
          </w:tcPr>
          <w:p w:rsidR="008B5F5B" w:rsidRDefault="008B5F5B" w:rsidP="001809B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01 07</w:t>
            </w:r>
          </w:p>
        </w:tc>
        <w:tc>
          <w:tcPr>
            <w:tcW w:w="3420" w:type="dxa"/>
            <w:vAlign w:val="center"/>
          </w:tcPr>
          <w:p w:rsidR="008B5F5B" w:rsidRDefault="000E56A5" w:rsidP="001809BB">
            <w:pPr>
              <w:rPr>
                <w:color w:val="000000"/>
                <w:lang w:val="en-GB"/>
              </w:rPr>
            </w:pPr>
            <w:r>
              <w:rPr>
                <w:color w:val="000000"/>
              </w:rPr>
              <w:t>Meno kūrybos plėtra, kūrybinio potencialo stiprinimas, kultūros žinomumo didinimas</w:t>
            </w:r>
          </w:p>
        </w:tc>
        <w:tc>
          <w:tcPr>
            <w:tcW w:w="1530" w:type="dxa"/>
            <w:vAlign w:val="center"/>
          </w:tcPr>
          <w:p w:rsidR="008B5F5B" w:rsidRPr="000E56A5" w:rsidRDefault="000E56A5" w:rsidP="001809BB">
            <w:pPr>
              <w:rPr>
                <w:b/>
                <w:color w:val="000000"/>
                <w:lang w:val="en-GB"/>
              </w:rPr>
            </w:pPr>
            <w:r w:rsidRPr="000E56A5">
              <w:rPr>
                <w:b/>
                <w:color w:val="000000"/>
                <w:lang w:val="en-GB"/>
              </w:rPr>
              <w:t xml:space="preserve">        -400</w:t>
            </w:r>
          </w:p>
        </w:tc>
        <w:tc>
          <w:tcPr>
            <w:tcW w:w="1260" w:type="dxa"/>
            <w:vAlign w:val="center"/>
          </w:tcPr>
          <w:p w:rsidR="008B5F5B" w:rsidRPr="000E56A5" w:rsidRDefault="000E56A5" w:rsidP="001809BB">
            <w:pPr>
              <w:jc w:val="center"/>
              <w:rPr>
                <w:b/>
                <w:color w:val="000000"/>
              </w:rPr>
            </w:pPr>
            <w:r w:rsidRPr="000E56A5">
              <w:rPr>
                <w:b/>
                <w:color w:val="000000"/>
              </w:rPr>
              <w:t>-400</w:t>
            </w:r>
          </w:p>
        </w:tc>
        <w:tc>
          <w:tcPr>
            <w:tcW w:w="1440" w:type="dxa"/>
            <w:vAlign w:val="center"/>
          </w:tcPr>
          <w:p w:rsidR="008B5F5B" w:rsidRDefault="000E56A5" w:rsidP="00180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7" w:type="dxa"/>
            <w:vAlign w:val="center"/>
          </w:tcPr>
          <w:p w:rsidR="008B5F5B" w:rsidRDefault="000E56A5" w:rsidP="00180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27275" w:rsidTr="00B138FE">
        <w:trPr>
          <w:trHeight w:val="936"/>
        </w:trPr>
        <w:tc>
          <w:tcPr>
            <w:tcW w:w="1080" w:type="dxa"/>
            <w:vAlign w:val="center"/>
            <w:hideMark/>
          </w:tcPr>
          <w:p w:rsidR="00F27275" w:rsidRDefault="00F27275" w:rsidP="003D1FD3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t>01 0</w:t>
            </w:r>
            <w:r w:rsidR="003D1FD3">
              <w:rPr>
                <w:color w:val="000000"/>
              </w:rPr>
              <w:t>8</w:t>
            </w:r>
          </w:p>
        </w:tc>
        <w:tc>
          <w:tcPr>
            <w:tcW w:w="3420" w:type="dxa"/>
            <w:vAlign w:val="center"/>
            <w:hideMark/>
          </w:tcPr>
          <w:p w:rsidR="00F27275" w:rsidRDefault="00FB4627" w:rsidP="001809BB">
            <w:pPr>
              <w:rPr>
                <w:color w:val="000000"/>
              </w:rPr>
            </w:pPr>
            <w:r>
              <w:rPr>
                <w:color w:val="000000"/>
                <w:lang w:eastAsia="lt-LT"/>
              </w:rPr>
              <w:t>Informacijos išteklių visuomenei plėtra, istorinės atminties, tradicijų, kultūros paveldo apsauga ir aktualizavimas</w:t>
            </w:r>
          </w:p>
        </w:tc>
        <w:tc>
          <w:tcPr>
            <w:tcW w:w="1530" w:type="dxa"/>
            <w:vAlign w:val="center"/>
          </w:tcPr>
          <w:p w:rsidR="00432023" w:rsidRPr="000E56A5" w:rsidRDefault="000C4D79" w:rsidP="000C4D79">
            <w:pPr>
              <w:ind w:firstLine="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559</w:t>
            </w:r>
          </w:p>
        </w:tc>
        <w:tc>
          <w:tcPr>
            <w:tcW w:w="1260" w:type="dxa"/>
            <w:vAlign w:val="center"/>
          </w:tcPr>
          <w:p w:rsidR="00432023" w:rsidRPr="000E56A5" w:rsidRDefault="000C4D79" w:rsidP="000C4D79">
            <w:pPr>
              <w:ind w:firstLine="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559</w:t>
            </w:r>
          </w:p>
        </w:tc>
        <w:tc>
          <w:tcPr>
            <w:tcW w:w="1440" w:type="dxa"/>
            <w:vAlign w:val="center"/>
            <w:hideMark/>
          </w:tcPr>
          <w:p w:rsidR="00F27275" w:rsidRDefault="000A2722" w:rsidP="000A2722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-41</w:t>
            </w:r>
          </w:p>
        </w:tc>
        <w:tc>
          <w:tcPr>
            <w:tcW w:w="907" w:type="dxa"/>
            <w:vAlign w:val="center"/>
          </w:tcPr>
          <w:p w:rsidR="00F27275" w:rsidRDefault="00B138FE" w:rsidP="001809BB">
            <w:pPr>
              <w:ind w:firstLine="124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0437E" w:rsidTr="00F27275">
        <w:trPr>
          <w:trHeight w:val="936"/>
        </w:trPr>
        <w:tc>
          <w:tcPr>
            <w:tcW w:w="1080" w:type="dxa"/>
            <w:vAlign w:val="center"/>
          </w:tcPr>
          <w:p w:rsidR="0030437E" w:rsidRDefault="0083348F" w:rsidP="001809BB">
            <w:pPr>
              <w:rPr>
                <w:color w:val="000000"/>
              </w:rPr>
            </w:pPr>
            <w:r>
              <w:rPr>
                <w:color w:val="000000"/>
              </w:rPr>
              <w:t>02 07</w:t>
            </w:r>
          </w:p>
        </w:tc>
        <w:tc>
          <w:tcPr>
            <w:tcW w:w="3420" w:type="dxa"/>
            <w:vAlign w:val="center"/>
          </w:tcPr>
          <w:p w:rsidR="0030437E" w:rsidRDefault="003E6BAE" w:rsidP="001809BB">
            <w:pPr>
              <w:rPr>
                <w:color w:val="000000"/>
              </w:rPr>
            </w:pPr>
            <w:r>
              <w:rPr>
                <w:color w:val="000000"/>
              </w:rPr>
              <w:t>Kultūros valdymas, procesų stebėsena, infrastruktūros modernizavimas</w:t>
            </w:r>
          </w:p>
        </w:tc>
        <w:tc>
          <w:tcPr>
            <w:tcW w:w="1530" w:type="dxa"/>
            <w:vAlign w:val="center"/>
          </w:tcPr>
          <w:p w:rsidR="00602E67" w:rsidRPr="000E56A5" w:rsidRDefault="00B138FE" w:rsidP="000C4D79">
            <w:pPr>
              <w:ind w:firstLine="62"/>
              <w:jc w:val="center"/>
              <w:rPr>
                <w:b/>
                <w:color w:val="000000"/>
              </w:rPr>
            </w:pPr>
            <w:r w:rsidRPr="000E56A5">
              <w:rPr>
                <w:b/>
                <w:color w:val="000000"/>
              </w:rPr>
              <w:t>-</w:t>
            </w:r>
            <w:r w:rsidR="000C4D79">
              <w:rPr>
                <w:b/>
                <w:color w:val="000000"/>
              </w:rPr>
              <w:t>159</w:t>
            </w:r>
          </w:p>
        </w:tc>
        <w:tc>
          <w:tcPr>
            <w:tcW w:w="1260" w:type="dxa"/>
            <w:vAlign w:val="center"/>
          </w:tcPr>
          <w:p w:rsidR="00602E67" w:rsidRPr="000E56A5" w:rsidRDefault="00B138FE" w:rsidP="000C4D79">
            <w:pPr>
              <w:ind w:firstLine="62"/>
              <w:jc w:val="center"/>
              <w:rPr>
                <w:b/>
                <w:color w:val="000000"/>
              </w:rPr>
            </w:pPr>
            <w:r w:rsidRPr="000E56A5">
              <w:rPr>
                <w:b/>
                <w:color w:val="000000"/>
              </w:rPr>
              <w:t>-</w:t>
            </w:r>
            <w:r w:rsidR="000C4D79">
              <w:rPr>
                <w:b/>
                <w:color w:val="000000"/>
              </w:rPr>
              <w:t>159</w:t>
            </w:r>
          </w:p>
        </w:tc>
        <w:tc>
          <w:tcPr>
            <w:tcW w:w="1440" w:type="dxa"/>
            <w:vAlign w:val="center"/>
          </w:tcPr>
          <w:p w:rsidR="00F81FEA" w:rsidRDefault="00F81FEA" w:rsidP="00F81FEA">
            <w:pPr>
              <w:ind w:firstLine="62"/>
              <w:jc w:val="center"/>
              <w:rPr>
                <w:strike/>
                <w:color w:val="000000"/>
              </w:rPr>
            </w:pPr>
          </w:p>
          <w:p w:rsidR="0030437E" w:rsidRDefault="000A2722" w:rsidP="000A2722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+41</w:t>
            </w:r>
          </w:p>
          <w:p w:rsidR="000A2722" w:rsidRPr="00B138FE" w:rsidRDefault="000A2722" w:rsidP="000A2722">
            <w:pPr>
              <w:ind w:firstLine="62"/>
              <w:jc w:val="center"/>
              <w:rPr>
                <w:color w:val="000000"/>
              </w:rPr>
            </w:pPr>
          </w:p>
        </w:tc>
        <w:tc>
          <w:tcPr>
            <w:tcW w:w="907" w:type="dxa"/>
            <w:vAlign w:val="center"/>
          </w:tcPr>
          <w:p w:rsidR="0030437E" w:rsidRDefault="00B138FE" w:rsidP="001809BB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F27275" w:rsidRDefault="001809BB" w:rsidP="00806E6D">
      <w:pPr>
        <w:spacing w:before="120"/>
        <w:ind w:firstLine="567"/>
        <w:jc w:val="both"/>
      </w:pPr>
      <w:r>
        <w:t>PRIDEDAMA: LRV nutarim</w:t>
      </w:r>
      <w:r w:rsidR="00DE1C97">
        <w:t xml:space="preserve">ui teikiamas asignavimų </w:t>
      </w:r>
      <w:r>
        <w:t xml:space="preserve"> perskirst</w:t>
      </w:r>
      <w:r w:rsidR="00DE1C97">
        <w:t>ymas</w:t>
      </w:r>
      <w:r>
        <w:t xml:space="preserve"> pagal programas</w:t>
      </w:r>
      <w:r w:rsidR="00453B47">
        <w:t>,</w:t>
      </w:r>
      <w:r>
        <w:t xml:space="preserve"> funkcinę bei ekonominę klasifikacijas, 1 lapas.</w:t>
      </w:r>
    </w:p>
    <w:p w:rsidR="00FB4627" w:rsidRDefault="00FB4627" w:rsidP="00131A8E"/>
    <w:p w:rsidR="00806E6D" w:rsidRPr="00F27275" w:rsidRDefault="00806E6D" w:rsidP="00131A8E">
      <w:r>
        <w:t>Ministerijos kancleris</w:t>
      </w:r>
      <w:r>
        <w:tab/>
      </w:r>
      <w:r>
        <w:tab/>
      </w:r>
      <w:r>
        <w:tab/>
      </w:r>
      <w:r>
        <w:tab/>
      </w:r>
      <w:r>
        <w:tab/>
        <w:t xml:space="preserve">       Laimonas Ubavičius</w:t>
      </w:r>
    </w:p>
    <w:p w:rsidR="00BB6C2A" w:rsidRDefault="00BB6C2A" w:rsidP="00131A8E"/>
    <w:p w:rsidR="008B5F5B" w:rsidRDefault="008B5F5B" w:rsidP="00131A8E"/>
    <w:p w:rsidR="008B5F5B" w:rsidRDefault="008B5F5B" w:rsidP="00131A8E"/>
    <w:p w:rsidR="00806E6D" w:rsidRDefault="00806E6D" w:rsidP="00131A8E"/>
    <w:p w:rsidR="00131A8E" w:rsidRDefault="00131A8E" w:rsidP="00131A8E">
      <w:r>
        <w:t>Veronika Virganavičiūtė, 8 608 45477, el.p. veronika.virganaviciute@lrkm.lt</w:t>
      </w:r>
    </w:p>
    <w:p w:rsidR="00131A8E" w:rsidRDefault="00131A8E" w:rsidP="00131A8E"/>
    <w:sectPr w:rsidR="00131A8E" w:rsidSect="00131A8E">
      <w:type w:val="continuous"/>
      <w:pgSz w:w="11906" w:h="16838" w:code="9"/>
      <w:pgMar w:top="709" w:right="567" w:bottom="426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D0" w:rsidRDefault="001425D0">
      <w:r>
        <w:separator/>
      </w:r>
    </w:p>
  </w:endnote>
  <w:endnote w:type="continuationSeparator" w:id="0">
    <w:p w:rsidR="001425D0" w:rsidRDefault="0014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09" w:rsidRDefault="00736B09" w:rsidP="00736B0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D0" w:rsidRDefault="001425D0">
      <w:r>
        <w:separator/>
      </w:r>
    </w:p>
  </w:footnote>
  <w:footnote w:type="continuationSeparator" w:id="0">
    <w:p w:rsidR="001425D0" w:rsidRDefault="0014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D3"/>
    <w:rsid w:val="00000905"/>
    <w:rsid w:val="00010CDE"/>
    <w:rsid w:val="000133A9"/>
    <w:rsid w:val="00017958"/>
    <w:rsid w:val="00025DE0"/>
    <w:rsid w:val="000527AA"/>
    <w:rsid w:val="0008340C"/>
    <w:rsid w:val="000A2722"/>
    <w:rsid w:val="000A626A"/>
    <w:rsid w:val="000A6583"/>
    <w:rsid w:val="000A7900"/>
    <w:rsid w:val="000C07CD"/>
    <w:rsid w:val="000C4D79"/>
    <w:rsid w:val="000E56A5"/>
    <w:rsid w:val="000F7B49"/>
    <w:rsid w:val="00102CE9"/>
    <w:rsid w:val="00112355"/>
    <w:rsid w:val="00126CFE"/>
    <w:rsid w:val="00131A8E"/>
    <w:rsid w:val="00131E98"/>
    <w:rsid w:val="001363F6"/>
    <w:rsid w:val="001425D0"/>
    <w:rsid w:val="00142C67"/>
    <w:rsid w:val="00143FA0"/>
    <w:rsid w:val="00145FF0"/>
    <w:rsid w:val="00157ED9"/>
    <w:rsid w:val="001679A3"/>
    <w:rsid w:val="001809BB"/>
    <w:rsid w:val="00181E67"/>
    <w:rsid w:val="00190E4D"/>
    <w:rsid w:val="001B0AB3"/>
    <w:rsid w:val="00220DF6"/>
    <w:rsid w:val="00222194"/>
    <w:rsid w:val="00222404"/>
    <w:rsid w:val="00223E3D"/>
    <w:rsid w:val="002272C5"/>
    <w:rsid w:val="002275F7"/>
    <w:rsid w:val="00230167"/>
    <w:rsid w:val="002445C3"/>
    <w:rsid w:val="0026489F"/>
    <w:rsid w:val="00267734"/>
    <w:rsid w:val="00270091"/>
    <w:rsid w:val="00294486"/>
    <w:rsid w:val="002D0ECC"/>
    <w:rsid w:val="002F6065"/>
    <w:rsid w:val="002F6673"/>
    <w:rsid w:val="002F7368"/>
    <w:rsid w:val="00301359"/>
    <w:rsid w:val="0030437E"/>
    <w:rsid w:val="003078DF"/>
    <w:rsid w:val="00313041"/>
    <w:rsid w:val="00320D18"/>
    <w:rsid w:val="0033386F"/>
    <w:rsid w:val="003351F4"/>
    <w:rsid w:val="00365298"/>
    <w:rsid w:val="00383E26"/>
    <w:rsid w:val="0038490F"/>
    <w:rsid w:val="0038761C"/>
    <w:rsid w:val="00390498"/>
    <w:rsid w:val="003932B9"/>
    <w:rsid w:val="003A05CB"/>
    <w:rsid w:val="003A61AB"/>
    <w:rsid w:val="003B26D3"/>
    <w:rsid w:val="003C6369"/>
    <w:rsid w:val="003D1FD3"/>
    <w:rsid w:val="003E6BAE"/>
    <w:rsid w:val="00412A6B"/>
    <w:rsid w:val="00422603"/>
    <w:rsid w:val="00432023"/>
    <w:rsid w:val="00453B47"/>
    <w:rsid w:val="00464B58"/>
    <w:rsid w:val="004716FB"/>
    <w:rsid w:val="004A61AA"/>
    <w:rsid w:val="004C6A67"/>
    <w:rsid w:val="004D2FCD"/>
    <w:rsid w:val="004E03CA"/>
    <w:rsid w:val="00523AF7"/>
    <w:rsid w:val="00541016"/>
    <w:rsid w:val="005436F5"/>
    <w:rsid w:val="0056336D"/>
    <w:rsid w:val="005639A0"/>
    <w:rsid w:val="00565D76"/>
    <w:rsid w:val="00585967"/>
    <w:rsid w:val="005A3D6F"/>
    <w:rsid w:val="005E3AB0"/>
    <w:rsid w:val="005E6682"/>
    <w:rsid w:val="005F03B7"/>
    <w:rsid w:val="00601807"/>
    <w:rsid w:val="00602E67"/>
    <w:rsid w:val="00617489"/>
    <w:rsid w:val="0062337E"/>
    <w:rsid w:val="00627FB4"/>
    <w:rsid w:val="006310B9"/>
    <w:rsid w:val="00663216"/>
    <w:rsid w:val="00663FA4"/>
    <w:rsid w:val="00674507"/>
    <w:rsid w:val="006765AE"/>
    <w:rsid w:val="00685378"/>
    <w:rsid w:val="006927CD"/>
    <w:rsid w:val="00694CEA"/>
    <w:rsid w:val="006A1621"/>
    <w:rsid w:val="006A6266"/>
    <w:rsid w:val="006A6606"/>
    <w:rsid w:val="006B0D64"/>
    <w:rsid w:val="006C4BDD"/>
    <w:rsid w:val="006F4E03"/>
    <w:rsid w:val="00710983"/>
    <w:rsid w:val="00723317"/>
    <w:rsid w:val="00736B09"/>
    <w:rsid w:val="007371BA"/>
    <w:rsid w:val="0074511D"/>
    <w:rsid w:val="00757794"/>
    <w:rsid w:val="00790813"/>
    <w:rsid w:val="007A7C33"/>
    <w:rsid w:val="007C3EC1"/>
    <w:rsid w:val="007D4749"/>
    <w:rsid w:val="007E775B"/>
    <w:rsid w:val="00806E6D"/>
    <w:rsid w:val="0083348F"/>
    <w:rsid w:val="008524E2"/>
    <w:rsid w:val="008527CA"/>
    <w:rsid w:val="00855C75"/>
    <w:rsid w:val="00862CA4"/>
    <w:rsid w:val="00871BC7"/>
    <w:rsid w:val="00880C11"/>
    <w:rsid w:val="008A3624"/>
    <w:rsid w:val="008A3B45"/>
    <w:rsid w:val="008B2161"/>
    <w:rsid w:val="008B5F5B"/>
    <w:rsid w:val="008B5FD9"/>
    <w:rsid w:val="008C7AB2"/>
    <w:rsid w:val="008F7399"/>
    <w:rsid w:val="00902827"/>
    <w:rsid w:val="0091269B"/>
    <w:rsid w:val="009239DE"/>
    <w:rsid w:val="00934787"/>
    <w:rsid w:val="009637A5"/>
    <w:rsid w:val="009655E6"/>
    <w:rsid w:val="009768D7"/>
    <w:rsid w:val="009B24B9"/>
    <w:rsid w:val="009C7739"/>
    <w:rsid w:val="009D4BB7"/>
    <w:rsid w:val="009E5B5C"/>
    <w:rsid w:val="009F126B"/>
    <w:rsid w:val="00A205E3"/>
    <w:rsid w:val="00A2149F"/>
    <w:rsid w:val="00A21BE9"/>
    <w:rsid w:val="00A32CB5"/>
    <w:rsid w:val="00A344A8"/>
    <w:rsid w:val="00A379EE"/>
    <w:rsid w:val="00A84F59"/>
    <w:rsid w:val="00AD2E4D"/>
    <w:rsid w:val="00B138FE"/>
    <w:rsid w:val="00B6096E"/>
    <w:rsid w:val="00B74115"/>
    <w:rsid w:val="00B7545B"/>
    <w:rsid w:val="00B763F1"/>
    <w:rsid w:val="00B87BCA"/>
    <w:rsid w:val="00B96525"/>
    <w:rsid w:val="00BB6C2A"/>
    <w:rsid w:val="00BB79BA"/>
    <w:rsid w:val="00BD3F46"/>
    <w:rsid w:val="00BF1185"/>
    <w:rsid w:val="00BF6F20"/>
    <w:rsid w:val="00C01FAE"/>
    <w:rsid w:val="00C436D9"/>
    <w:rsid w:val="00C52D3E"/>
    <w:rsid w:val="00C552B5"/>
    <w:rsid w:val="00C67C67"/>
    <w:rsid w:val="00C94F75"/>
    <w:rsid w:val="00C96318"/>
    <w:rsid w:val="00C9757D"/>
    <w:rsid w:val="00CC19DC"/>
    <w:rsid w:val="00CC76DB"/>
    <w:rsid w:val="00CC79EC"/>
    <w:rsid w:val="00CE5264"/>
    <w:rsid w:val="00D02B09"/>
    <w:rsid w:val="00D03BC3"/>
    <w:rsid w:val="00D04F27"/>
    <w:rsid w:val="00D370E9"/>
    <w:rsid w:val="00D66EC2"/>
    <w:rsid w:val="00D7704B"/>
    <w:rsid w:val="00DA032A"/>
    <w:rsid w:val="00DA072F"/>
    <w:rsid w:val="00DA3A84"/>
    <w:rsid w:val="00DA6364"/>
    <w:rsid w:val="00DA7FEF"/>
    <w:rsid w:val="00DD57D4"/>
    <w:rsid w:val="00DE1C97"/>
    <w:rsid w:val="00DE44F8"/>
    <w:rsid w:val="00DE4D10"/>
    <w:rsid w:val="00DF2010"/>
    <w:rsid w:val="00E02D85"/>
    <w:rsid w:val="00E030D6"/>
    <w:rsid w:val="00E06D83"/>
    <w:rsid w:val="00E1574A"/>
    <w:rsid w:val="00E6604B"/>
    <w:rsid w:val="00E76413"/>
    <w:rsid w:val="00E80F97"/>
    <w:rsid w:val="00E830A6"/>
    <w:rsid w:val="00E91348"/>
    <w:rsid w:val="00EA3286"/>
    <w:rsid w:val="00EB14E0"/>
    <w:rsid w:val="00EB5C56"/>
    <w:rsid w:val="00EB6C20"/>
    <w:rsid w:val="00EE12B2"/>
    <w:rsid w:val="00EF7976"/>
    <w:rsid w:val="00F14847"/>
    <w:rsid w:val="00F258EC"/>
    <w:rsid w:val="00F25EB1"/>
    <w:rsid w:val="00F27275"/>
    <w:rsid w:val="00F27595"/>
    <w:rsid w:val="00F45EA8"/>
    <w:rsid w:val="00F81FEA"/>
    <w:rsid w:val="00FB4627"/>
    <w:rsid w:val="00FB48DC"/>
    <w:rsid w:val="00FC1816"/>
    <w:rsid w:val="00FD034D"/>
    <w:rsid w:val="00FD1833"/>
    <w:rsid w:val="00FD4D06"/>
    <w:rsid w:val="00FE2C04"/>
    <w:rsid w:val="00FE3E4C"/>
    <w:rsid w:val="00FE407F"/>
    <w:rsid w:val="00FE4C92"/>
    <w:rsid w:val="00FE4FA6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30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D1E7-AB74-49E4-8381-E3118536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Virganavičiūtė</dc:creator>
  <cp:lastModifiedBy>Veronika Virganavičiūtė</cp:lastModifiedBy>
  <cp:revision>16</cp:revision>
  <cp:lastPrinted>2008-11-12T06:44:00Z</cp:lastPrinted>
  <dcterms:created xsi:type="dcterms:W3CDTF">2020-10-23T10:33:00Z</dcterms:created>
  <dcterms:modified xsi:type="dcterms:W3CDTF">2020-10-26T14:30:00Z</dcterms:modified>
</cp:coreProperties>
</file>