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3DE94" w14:textId="63A1A337" w:rsidR="00784545" w:rsidRPr="00643893" w:rsidRDefault="002F1D65" w:rsidP="00784545">
      <w:pPr>
        <w:jc w:val="center"/>
        <w:rPr>
          <w:b/>
          <w:caps/>
        </w:rPr>
      </w:pPr>
      <w:r w:rsidRPr="00643893">
        <w:rPr>
          <w:b/>
          <w:caps/>
        </w:rPr>
        <w:t>Lietuvos Respublikos Vyriausybė</w:t>
      </w:r>
      <w:r w:rsidRPr="00643893">
        <w:rPr>
          <w:b/>
        </w:rPr>
        <w:t xml:space="preserve">S </w:t>
      </w:r>
      <w:r w:rsidR="000B4A2D" w:rsidRPr="00643893">
        <w:rPr>
          <w:b/>
        </w:rPr>
        <w:t>NUTARIMO</w:t>
      </w:r>
      <w:r w:rsidR="00784545" w:rsidRPr="00643893">
        <w:rPr>
          <w:b/>
        </w:rPr>
        <w:t xml:space="preserve"> „DĖL LIETUVOS RESPUBLIKOS TEISMŲ ĮSTATYMO NR. I-480 12, 28, 31, 34, 36, 37, 39, 41, 45, 74, 76, 78, 79</w:t>
      </w:r>
      <w:r w:rsidR="00784545" w:rsidRPr="00643893">
        <w:rPr>
          <w:b/>
          <w:vertAlign w:val="superscript"/>
        </w:rPr>
        <w:t>1</w:t>
      </w:r>
      <w:r w:rsidR="00784545" w:rsidRPr="00643893">
        <w:rPr>
          <w:b/>
        </w:rPr>
        <w:t xml:space="preserve"> , 81, 90, 91</w:t>
      </w:r>
      <w:r w:rsidR="00784545" w:rsidRPr="00643893">
        <w:rPr>
          <w:b/>
          <w:vertAlign w:val="superscript"/>
        </w:rPr>
        <w:t>1</w:t>
      </w:r>
      <w:r w:rsidR="00784545" w:rsidRPr="00643893">
        <w:rPr>
          <w:b/>
        </w:rPr>
        <w:t xml:space="preserve"> , 91</w:t>
      </w:r>
      <w:r w:rsidR="00784545" w:rsidRPr="00643893">
        <w:rPr>
          <w:b/>
          <w:vertAlign w:val="superscript"/>
        </w:rPr>
        <w:t>2</w:t>
      </w:r>
      <w:r w:rsidR="00784545" w:rsidRPr="00643893">
        <w:rPr>
          <w:b/>
        </w:rPr>
        <w:t xml:space="preserve">, 101, 104, 105, 119, 120, 122 STRAIPSNIŲ, VI SKYRIAUS PIRMOJO SKIRSNIO PAVADINIMO IR VII SKYRIAUS PAKEITIMO ĮSTATYMO PROJEKTO NR. XIVP-568, </w:t>
      </w:r>
      <w:r w:rsidR="00784545" w:rsidRPr="00643893">
        <w:rPr>
          <w:b/>
          <w:color w:val="000000"/>
        </w:rPr>
        <w:t> LIETUVOS RESPUBLIKOS ADMINISTRACINIŲ BYLŲ TEISENOS ĮSTATYMO NR. VIII-1029 13, 20, 21, 22, 24, 31, 33, 43, 45, 51, 63, 67, 68, 69, 71, 72, 73, 77, 78, 81, 84, 99, 123, 127, 128, 129, 130, 131</w:t>
      </w:r>
      <w:r w:rsidR="00784545" w:rsidRPr="00643893">
        <w:rPr>
          <w:b/>
          <w:color w:val="000000"/>
          <w:vertAlign w:val="superscript"/>
        </w:rPr>
        <w:t>1</w:t>
      </w:r>
      <w:r w:rsidR="00784545" w:rsidRPr="00643893">
        <w:rPr>
          <w:b/>
          <w:color w:val="000000"/>
        </w:rPr>
        <w:t>, 132, 134 IR 157 STRAIPSNIŲ PAKEITIMO ĮSTATYMO PROJEKTO NR. XIVP-569, LIETUVOS RESPUBLIKOS ADMINISTRACINIŲ NUSIŽENGIMŲ KODEKSO 627, 630, 661 IR 662 STRAIPSNIŲ PAKEITIMO ĮSTATYMO PROJEKTO NR. XIVP-570,  LIETUVOS RESPUBLIKOS ADMINISTRACINIŲ TEISMŲ ĮSTEIGIMO ĮSTATYMO NR. VIII-1030 2 STRAIPSNIO PAKEITIMO ĮSTATYMO PROJEKTO NR. XIVP-571, LIETUVOS RESPUBLIKOS ADMINISTRACINIŲ TEISMŲ REORGANIZAVIMO ĮSTATYMO PROJEKTO NR. XIVP-572, LIETUVOS RESPUBLIKOS CIVILINIO PROCESO KODEKSO 62</w:t>
      </w:r>
      <w:r w:rsidR="00784545" w:rsidRPr="00643893">
        <w:rPr>
          <w:b/>
          <w:color w:val="000000"/>
          <w:vertAlign w:val="superscript"/>
        </w:rPr>
        <w:t>1</w:t>
      </w:r>
      <w:r w:rsidR="00784545" w:rsidRPr="00643893">
        <w:rPr>
          <w:b/>
          <w:color w:val="000000"/>
        </w:rPr>
        <w:t>, 175</w:t>
      </w:r>
      <w:r w:rsidR="00784545" w:rsidRPr="00643893">
        <w:rPr>
          <w:b/>
          <w:color w:val="000000"/>
          <w:vertAlign w:val="superscript"/>
        </w:rPr>
        <w:t>2</w:t>
      </w:r>
      <w:r w:rsidR="00784545" w:rsidRPr="00643893">
        <w:rPr>
          <w:b/>
          <w:color w:val="000000"/>
        </w:rPr>
        <w:t>, 186, 192, 217 IR 240 STRAIPSNIŲ PAKEITIMO ĮSTATYMO PROJEKTO NR. XIVP-580 IR LIETUVOS RESPUBLIKOS TEISMŲ ĮSTATYMO NR. I-480 7, 36, 39, 45, 48, 53</w:t>
      </w:r>
      <w:r w:rsidR="00784545" w:rsidRPr="00643893">
        <w:rPr>
          <w:b/>
          <w:color w:val="000000"/>
          <w:vertAlign w:val="superscript"/>
        </w:rPr>
        <w:t>1</w:t>
      </w:r>
      <w:r w:rsidR="00784545" w:rsidRPr="00643893">
        <w:rPr>
          <w:b/>
          <w:color w:val="000000"/>
        </w:rPr>
        <w:t>, 53</w:t>
      </w:r>
      <w:r w:rsidR="00784545" w:rsidRPr="00643893">
        <w:rPr>
          <w:b/>
          <w:color w:val="000000"/>
          <w:vertAlign w:val="superscript"/>
        </w:rPr>
        <w:t>2</w:t>
      </w:r>
      <w:r w:rsidR="00784545" w:rsidRPr="00643893">
        <w:rPr>
          <w:b/>
          <w:color w:val="000000"/>
        </w:rPr>
        <w:t>, 54, 55</w:t>
      </w:r>
      <w:r w:rsidR="00784545" w:rsidRPr="00643893">
        <w:rPr>
          <w:b/>
          <w:color w:val="000000"/>
          <w:vertAlign w:val="superscript"/>
        </w:rPr>
        <w:t>1</w:t>
      </w:r>
      <w:r w:rsidR="00784545" w:rsidRPr="00643893">
        <w:rPr>
          <w:b/>
          <w:color w:val="000000"/>
        </w:rPr>
        <w:t>, 57, 61, 63, 69</w:t>
      </w:r>
      <w:r w:rsidR="00784545" w:rsidRPr="00643893">
        <w:rPr>
          <w:b/>
          <w:color w:val="000000"/>
          <w:vertAlign w:val="superscript"/>
        </w:rPr>
        <w:t>1</w:t>
      </w:r>
      <w:r w:rsidR="00784545" w:rsidRPr="00643893">
        <w:rPr>
          <w:b/>
          <w:color w:val="000000"/>
        </w:rPr>
        <w:t>, 76, 78, 84, 85, 88, 91</w:t>
      </w:r>
      <w:r w:rsidR="00784545" w:rsidRPr="00643893">
        <w:rPr>
          <w:b/>
          <w:color w:val="000000"/>
          <w:vertAlign w:val="superscript"/>
        </w:rPr>
        <w:t>2</w:t>
      </w:r>
      <w:r w:rsidR="00784545" w:rsidRPr="00643893">
        <w:rPr>
          <w:b/>
          <w:color w:val="000000"/>
        </w:rPr>
        <w:t>, 91</w:t>
      </w:r>
      <w:r w:rsidR="00784545" w:rsidRPr="00643893">
        <w:rPr>
          <w:b/>
          <w:color w:val="000000"/>
          <w:vertAlign w:val="superscript"/>
        </w:rPr>
        <w:t>3</w:t>
      </w:r>
      <w:r w:rsidR="00784545" w:rsidRPr="00643893">
        <w:rPr>
          <w:b/>
          <w:color w:val="000000"/>
        </w:rPr>
        <w:t>, 91</w:t>
      </w:r>
      <w:r w:rsidR="00784545" w:rsidRPr="00643893">
        <w:rPr>
          <w:b/>
          <w:color w:val="000000"/>
          <w:vertAlign w:val="superscript"/>
        </w:rPr>
        <w:t>4</w:t>
      </w:r>
      <w:r w:rsidR="00784545" w:rsidRPr="00643893">
        <w:rPr>
          <w:b/>
          <w:color w:val="000000"/>
        </w:rPr>
        <w:t>, 91</w:t>
      </w:r>
      <w:r w:rsidR="00784545" w:rsidRPr="00643893">
        <w:rPr>
          <w:b/>
          <w:color w:val="000000"/>
          <w:vertAlign w:val="superscript"/>
        </w:rPr>
        <w:t>5</w:t>
      </w:r>
      <w:r w:rsidR="00784545" w:rsidRPr="00643893">
        <w:rPr>
          <w:b/>
          <w:color w:val="000000"/>
        </w:rPr>
        <w:t>, 93, 94, 98, 101, 102, 106, 119, 121, 122, 124, 128, 130 STRAIPSNIŲ PAKEITIMO, ĮSTATYMO PAPILDYMO 44</w:t>
      </w:r>
      <w:r w:rsidR="00784545" w:rsidRPr="00643893">
        <w:rPr>
          <w:b/>
          <w:color w:val="000000"/>
          <w:vertAlign w:val="superscript"/>
        </w:rPr>
        <w:t>1</w:t>
      </w:r>
      <w:r w:rsidR="00784545" w:rsidRPr="00643893">
        <w:rPr>
          <w:b/>
          <w:color w:val="000000"/>
        </w:rPr>
        <w:t> STRAIPSNIU IR NAUJA VII DALIMI IR 95 STRAIPSNIO PRIPAŽINIMO NETEKUSIU GALIOS ĮSTATYMO NR. XIII-2372 10, 38 STRAIPSNIŲ PAKEITIMO IR 14, 15, 16 STRAIPSNIŲ PRIPAŽINIMO NETEKUSIAIS GALIOS ĮSTATYMO PROJEKTO NR. XIVP-605“</w:t>
      </w:r>
    </w:p>
    <w:p w14:paraId="7810B16A" w14:textId="5E0EBA31" w:rsidR="00A85F8D" w:rsidRPr="00643893" w:rsidRDefault="000B4A2D" w:rsidP="00CC6B48">
      <w:pPr>
        <w:jc w:val="center"/>
        <w:rPr>
          <w:b/>
        </w:rPr>
      </w:pPr>
      <w:r w:rsidRPr="00643893">
        <w:rPr>
          <w:b/>
        </w:rPr>
        <w:t xml:space="preserve"> PROJEKTO </w:t>
      </w:r>
      <w:r w:rsidR="00CC584A" w:rsidRPr="00643893">
        <w:rPr>
          <w:b/>
        </w:rPr>
        <w:t xml:space="preserve">(toliau – Nutarimo projektas) </w:t>
      </w:r>
      <w:r w:rsidR="00CC6B48" w:rsidRPr="00643893">
        <w:rPr>
          <w:b/>
        </w:rPr>
        <w:t>DERINIMO PAŽYMA</w:t>
      </w:r>
    </w:p>
    <w:p w14:paraId="7A0B18BE" w14:textId="77777777" w:rsidR="00CC6B48" w:rsidRPr="00643893" w:rsidRDefault="00CC6B48" w:rsidP="00CC6B48">
      <w:pPr>
        <w:jc w:val="both"/>
        <w:rPr>
          <w:b/>
        </w:rPr>
      </w:pPr>
    </w:p>
    <w:tbl>
      <w:tblPr>
        <w:tblW w:w="15336"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011"/>
        <w:gridCol w:w="6804"/>
        <w:gridCol w:w="6521"/>
      </w:tblGrid>
      <w:tr w:rsidR="00E81F2A" w:rsidRPr="00643893" w14:paraId="7AAF65C4" w14:textId="77777777" w:rsidTr="007337DC">
        <w:trPr>
          <w:trHeight w:val="423"/>
        </w:trPr>
        <w:tc>
          <w:tcPr>
            <w:tcW w:w="2011" w:type="dxa"/>
            <w:shd w:val="clear" w:color="auto" w:fill="auto"/>
          </w:tcPr>
          <w:p w14:paraId="33731AF5" w14:textId="77777777" w:rsidR="00A85F8D" w:rsidRPr="00643893" w:rsidRDefault="00A85F8D" w:rsidP="00DB5E35">
            <w:pPr>
              <w:jc w:val="center"/>
              <w:rPr>
                <w:b/>
              </w:rPr>
            </w:pPr>
            <w:r w:rsidRPr="00643893">
              <w:rPr>
                <w:b/>
              </w:rPr>
              <w:t>Institucijos pavadinimas, rašto data ir numeris</w:t>
            </w:r>
          </w:p>
        </w:tc>
        <w:tc>
          <w:tcPr>
            <w:tcW w:w="6804" w:type="dxa"/>
            <w:shd w:val="clear" w:color="auto" w:fill="auto"/>
          </w:tcPr>
          <w:p w14:paraId="61DDEEC3" w14:textId="18EAC773" w:rsidR="00A85F8D" w:rsidRPr="00643893" w:rsidRDefault="00E93C8F" w:rsidP="00DB5E35">
            <w:pPr>
              <w:jc w:val="center"/>
              <w:rPr>
                <w:b/>
                <w:iCs/>
              </w:rPr>
            </w:pPr>
            <w:r w:rsidRPr="00643893">
              <w:rPr>
                <w:b/>
                <w:iCs/>
              </w:rPr>
              <w:t>Pastabos ir pasiūlymai</w:t>
            </w:r>
          </w:p>
        </w:tc>
        <w:tc>
          <w:tcPr>
            <w:tcW w:w="6521" w:type="dxa"/>
            <w:shd w:val="clear" w:color="auto" w:fill="auto"/>
          </w:tcPr>
          <w:p w14:paraId="1A1D8CCD" w14:textId="508E6849" w:rsidR="00A85F8D" w:rsidRPr="00643893" w:rsidRDefault="00E93C8F" w:rsidP="001C2640">
            <w:pPr>
              <w:jc w:val="center"/>
              <w:rPr>
                <w:b/>
                <w:iCs/>
              </w:rPr>
            </w:pPr>
            <w:r w:rsidRPr="00643893">
              <w:rPr>
                <w:b/>
                <w:iCs/>
              </w:rPr>
              <w:t>Žyma apie priimtas ir nepriimtas pastabas ir pasiūlymus</w:t>
            </w:r>
          </w:p>
        </w:tc>
      </w:tr>
      <w:tr w:rsidR="005315D4" w:rsidRPr="00643893" w14:paraId="5C724EB9" w14:textId="77777777" w:rsidTr="007337DC">
        <w:trPr>
          <w:trHeight w:val="71"/>
        </w:trPr>
        <w:tc>
          <w:tcPr>
            <w:tcW w:w="2011" w:type="dxa"/>
            <w:shd w:val="clear" w:color="auto" w:fill="auto"/>
          </w:tcPr>
          <w:p w14:paraId="0BC0810C" w14:textId="7A063E6A" w:rsidR="000B32D4" w:rsidRPr="00643893" w:rsidRDefault="00A01871" w:rsidP="000B32D4">
            <w:pPr>
              <w:jc w:val="both"/>
              <w:rPr>
                <w:color w:val="000000"/>
              </w:rPr>
            </w:pPr>
            <w:r w:rsidRPr="00643893">
              <w:rPr>
                <w:color w:val="000000"/>
              </w:rPr>
              <w:t xml:space="preserve">Valstybinės duomenų apsaugos inspekcijos 2021 m. liepos 28 d. raštas Nr. </w:t>
            </w:r>
            <w:r w:rsidR="000B32D4" w:rsidRPr="00643893">
              <w:rPr>
                <w:color w:val="000000"/>
              </w:rPr>
              <w:t>2R-3808 (3.2.Mr)</w:t>
            </w:r>
          </w:p>
          <w:p w14:paraId="53A3C98C" w14:textId="31DA2565" w:rsidR="005315D4" w:rsidRPr="00643893" w:rsidRDefault="005315D4" w:rsidP="007B73F8">
            <w:pPr>
              <w:jc w:val="both"/>
              <w:rPr>
                <w:color w:val="000000"/>
              </w:rPr>
            </w:pPr>
          </w:p>
        </w:tc>
        <w:tc>
          <w:tcPr>
            <w:tcW w:w="6804" w:type="dxa"/>
            <w:shd w:val="clear" w:color="auto" w:fill="auto"/>
          </w:tcPr>
          <w:p w14:paraId="4D77F01A" w14:textId="54466EB7" w:rsidR="005315D4" w:rsidRPr="00643893" w:rsidRDefault="00E7729E" w:rsidP="007762AC">
            <w:pPr>
              <w:shd w:val="clear" w:color="auto" w:fill="FFFFFF"/>
              <w:tabs>
                <w:tab w:val="left" w:pos="142"/>
              </w:tabs>
              <w:jc w:val="both"/>
              <w:rPr>
                <w:color w:val="000000"/>
              </w:rPr>
            </w:pPr>
            <w:r w:rsidRPr="00643893">
              <w:rPr>
                <w:color w:val="000000"/>
              </w:rPr>
              <w:t>Siūlo</w:t>
            </w:r>
            <w:r w:rsidR="00DD73C2" w:rsidRPr="00643893">
              <w:rPr>
                <w:color w:val="000000"/>
              </w:rPr>
              <w:t>ma</w:t>
            </w:r>
            <w:r w:rsidRPr="00643893">
              <w:rPr>
                <w:color w:val="000000"/>
              </w:rPr>
              <w:t xml:space="preserve"> tikslinti Nutarimo projekto 2.8 papunktį, papildant jį šia pastaba: </w:t>
            </w:r>
            <w:r w:rsidR="00A01871" w:rsidRPr="00643893">
              <w:rPr>
                <w:color w:val="000000"/>
              </w:rPr>
              <w:t>„Atkreipiamas dėmesys į tai, kad iš ABTĮ 72 straipsnio 5 dalies nėra aišku, kokia konkrečiai informacija apie teismo posėdžius turi būti skelbiama, t. y. ar bus skelbiami ir asmens duomenys ir, jei taip, kokie konkrečiai. Pagal Europos Sąjungos Teisingumo Teismo, Europos Žmogaus Teisių Teismo ir Lietuvos Respublikos Konstitucinio Teismo formuojamą praktiką, asmens duomenų viešinimas, kaip žmogaus teisės ribojimas, turi būti numatytas tinkamo lygio teisės akte, t. y. įstatyme. Net jeigu ir detalesnę skelbimo viešai tvarką pavedama nustatyti poįstatyminiais teisės aktais, laikanti</w:t>
            </w:r>
            <w:r w:rsidR="001B6FF9" w:rsidRPr="00643893">
              <w:rPr>
                <w:color w:val="000000"/>
              </w:rPr>
              <w:t>s</w:t>
            </w:r>
            <w:r w:rsidR="00A01871" w:rsidRPr="00643893">
              <w:rPr>
                <w:color w:val="000000"/>
              </w:rPr>
              <w:t xml:space="preserve"> Konstitucinio Teismo suformuotos praktikos, įstatyme, kuriame numatoma prievolė viešai skelbti asmens duomenis, </w:t>
            </w:r>
            <w:r w:rsidR="00A01871" w:rsidRPr="00643893">
              <w:rPr>
                <w:i/>
                <w:iCs/>
                <w:color w:val="000000"/>
              </w:rPr>
              <w:t>turėtų būti nustatytas bent asmens duomenų viešo skelbimo tikslas, kokie konkrečiai asmens duomenys yra skelbiami bei kokį laikotarpį yra viešinami.</w:t>
            </w:r>
            <w:r w:rsidR="00A01871" w:rsidRPr="00643893">
              <w:rPr>
                <w:color w:val="000000"/>
              </w:rPr>
              <w:t> Pabrėžtina, kad skelbiant asmens duomenis viešai, teisės akte turi būti nustatytas </w:t>
            </w:r>
            <w:r w:rsidR="00A01871" w:rsidRPr="00643893">
              <w:rPr>
                <w:i/>
                <w:iCs/>
                <w:color w:val="000000"/>
              </w:rPr>
              <w:t>baigtinis</w:t>
            </w:r>
            <w:r w:rsidR="00A01871" w:rsidRPr="00643893">
              <w:rPr>
                <w:color w:val="000000"/>
              </w:rPr>
              <w:t> viešai</w:t>
            </w:r>
            <w:r w:rsidR="001B6FF9" w:rsidRPr="00643893">
              <w:rPr>
                <w:color w:val="000000"/>
              </w:rPr>
              <w:t xml:space="preserve"> </w:t>
            </w:r>
            <w:r w:rsidR="00A01871" w:rsidRPr="00643893">
              <w:rPr>
                <w:color w:val="000000"/>
              </w:rPr>
              <w:t xml:space="preserve">skelbiamų asmens duomenų sąrašas. Taigi, asmens duomenų </w:t>
            </w:r>
            <w:r w:rsidR="00A01871" w:rsidRPr="00643893">
              <w:rPr>
                <w:color w:val="000000"/>
              </w:rPr>
              <w:lastRenderedPageBreak/>
              <w:t>viešinimas turi atitikti Reglamento 6 straipsnio 3 dalyje nustatytus reikalavimus dėl asmens duomenų tvarkymo teisės akte ir su žmogaus teisių ribojimais susijusią teismų praktiką. Atsižvelgiant į tai, kas išdėstyta, siūlytina aiškiai nustatyti, kokia informacija apie teismo posėdžius turi būti skelbiama teismo rūmų, kuriuose nagrinėjama byla, skelbimų lentoje ir viešoje teismo posėdžių tvarkaraščių paieškoje“.</w:t>
            </w:r>
          </w:p>
        </w:tc>
        <w:tc>
          <w:tcPr>
            <w:tcW w:w="6521" w:type="dxa"/>
            <w:shd w:val="clear" w:color="auto" w:fill="auto"/>
          </w:tcPr>
          <w:p w14:paraId="703D4C2A" w14:textId="430DC3B5" w:rsidR="00DE01CB" w:rsidRPr="00643893" w:rsidRDefault="00E14E7E" w:rsidP="00E14E7E">
            <w:pPr>
              <w:pStyle w:val="gmail-msocommenttext"/>
              <w:spacing w:before="0" w:beforeAutospacing="0" w:after="0" w:afterAutospacing="0"/>
              <w:jc w:val="both"/>
              <w:rPr>
                <w:b/>
                <w:bCs/>
                <w:color w:val="000000"/>
              </w:rPr>
            </w:pPr>
            <w:r w:rsidRPr="00643893">
              <w:rPr>
                <w:b/>
                <w:bCs/>
                <w:color w:val="000000"/>
              </w:rPr>
              <w:lastRenderedPageBreak/>
              <w:t>Iš dalies atsižvelgta</w:t>
            </w:r>
          </w:p>
          <w:p w14:paraId="7A9FD181" w14:textId="5118E54F" w:rsidR="00DE01CB" w:rsidRPr="00643893" w:rsidRDefault="007933C5" w:rsidP="00DE01CB">
            <w:pPr>
              <w:pStyle w:val="CommentText"/>
              <w:spacing w:before="0" w:beforeAutospacing="0" w:after="0" w:afterAutospacing="0"/>
              <w:jc w:val="both"/>
            </w:pPr>
            <w:r w:rsidRPr="00643893">
              <w:t xml:space="preserve">Informacijos apie teismų veiklą ir bylas teikimo viešosios informacijos rengėjams </w:t>
            </w:r>
            <w:r w:rsidR="00DE01CB" w:rsidRPr="00643893">
              <w:t xml:space="preserve">taisyklių, patvirtintų Teisėjų tarybos </w:t>
            </w:r>
            <w:r w:rsidRPr="00643893">
              <w:t>2014 m. kovo 28 d. nutarimu Nr. 13P-51-(7.1.2)</w:t>
            </w:r>
            <w:r w:rsidR="00DE01CB" w:rsidRPr="00643893">
              <w:t xml:space="preserve"> (toliau – Taisyklės)</w:t>
            </w:r>
            <w:r w:rsidRPr="00643893">
              <w:t>,</w:t>
            </w:r>
            <w:r w:rsidR="00DE01CB" w:rsidRPr="00643893">
              <w:t xml:space="preserve"> 45 punkte nurodyta: </w:t>
            </w:r>
            <w:r w:rsidRPr="00643893">
              <w:t xml:space="preserve">teismo interneto svetainėje skelbiama nuoroda į viešą konkretaus teismo posėdžių tvarkaraščių paiešką, per kurią vartotojas gali gauti tokią informaciją: teismo posėdžio datą, laiką, vietą, teisminio proceso ir bylos numerį, teismo sudėtį, bylos esmę, įvykį, posėdžio rezultatą ir </w:t>
            </w:r>
            <w:r w:rsidRPr="00643893">
              <w:rPr>
                <w:i/>
                <w:iCs/>
              </w:rPr>
              <w:t>proceso dalyvio fizinio asmens, pagal kurio duomenis buvo atlikta paieška</w:t>
            </w:r>
            <w:r w:rsidRPr="00643893">
              <w:t>, bei kitų proceso dalyvių – juridinių asmenų – duomenis</w:t>
            </w:r>
            <w:r w:rsidR="00DE01CB" w:rsidRPr="00643893">
              <w:t>.</w:t>
            </w:r>
          </w:p>
          <w:p w14:paraId="60353194" w14:textId="145FB995" w:rsidR="00DE01CB" w:rsidRPr="00643893" w:rsidRDefault="00DE01CB" w:rsidP="00DE01CB">
            <w:pPr>
              <w:jc w:val="both"/>
            </w:pPr>
            <w:r w:rsidRPr="00643893">
              <w:t xml:space="preserve">Be to, atskirai reglamentuota teismo posėdžių tvarkaraščiuose, teikiamuose viešosios informacijos rengėjams, nurodomos informacijos apimtis: Taisyklių 46 punkte nustatyta, kad </w:t>
            </w:r>
            <w:r w:rsidR="00E731C6" w:rsidRPr="00643893">
              <w:t>Nacionalinės teismų a</w:t>
            </w:r>
            <w:r w:rsidRPr="00643893">
              <w:t xml:space="preserve">dministracijos direktoriaus nustatyta tvarka viešosios informacijos rengėjams pagal sudarytas duomenų teikimo sutartis suteikiama galimybė prisijungti prie jiems skirtos </w:t>
            </w:r>
            <w:r w:rsidRPr="00643893">
              <w:lastRenderedPageBreak/>
              <w:t>specialios teismo posėdžių tvarkaraščių paieškos ir gauti informaciją apie teismo posėdžio datą, laiką, vietą, teisminio proceso ir bylos numerį, teismo sudėtį, bylos esmę, posėdžio rezultatą ir proceso dalyvių duomenis (fizinių asmenų vardus ir pavardes, juridinių asmenų teisinę formą, pavadinimą, kodą). Jei byla paskirta nagrinėti neviešame teismo posėdyje, proceso dalyvių duomenys neskelbiami.</w:t>
            </w:r>
          </w:p>
          <w:p w14:paraId="0C9AD926" w14:textId="6CD6A7AB" w:rsidR="00DE01CB" w:rsidRPr="00643893" w:rsidRDefault="00DE01CB" w:rsidP="00DE01CB">
            <w:pPr>
              <w:jc w:val="both"/>
            </w:pPr>
            <w:r w:rsidRPr="00643893">
              <w:t>Taigi, teismo posėdžių tvarkaraščiai su asmens duomenims nėra prieinami visiems, t. y. duomenų paieška vykdoma pagal tam tikrus kriterijus.</w:t>
            </w:r>
            <w:r w:rsidR="00E731C6" w:rsidRPr="00643893">
              <w:t xml:space="preserve"> </w:t>
            </w:r>
            <w:r w:rsidRPr="00643893">
              <w:t>Pažymėtina, kad viešoje teismo posėdžių tvarkaraščių paieškoje skelbiami duomenys įvertinant tai, kad su viešo</w:t>
            </w:r>
            <w:r w:rsidR="00A602AF" w:rsidRPr="00643893">
              <w:t>jo</w:t>
            </w:r>
            <w:r w:rsidRPr="00643893">
              <w:t xml:space="preserve">je erdvėje paskelbtu teismo posėdžio tvarkaraščiu gali susipažinti iš esmės neribotas skaičius asmenų, todėl fizinių asmenų vardai ir pavardės tvarkaraštyje nurodomi tik tuomet, kai paieška atliekama įvedus jų </w:t>
            </w:r>
            <w:r w:rsidR="007C1C3D" w:rsidRPr="00643893">
              <w:t>duomenis</w:t>
            </w:r>
            <w:r w:rsidRPr="00643893">
              <w:t>, išskyrus, jei įstatymuose arba bylą nagrinėjančio teisėjo sprendimu nustatyta kitaip. Taip pat atsižvelgiant į tai, kad teismo rūmų pastatuose su skelbiamais duomenimis nėra tikimybės susipažinti neribotam skaičiui asmenų, tokių duomenų apimt</w:t>
            </w:r>
            <w:r w:rsidR="00A14983" w:rsidRPr="00643893">
              <w:t>į</w:t>
            </w:r>
            <w:r w:rsidRPr="00643893">
              <w:t xml:space="preserve"> galėtų reglamentuoti </w:t>
            </w:r>
            <w:r w:rsidR="00A602AF" w:rsidRPr="00643893">
              <w:t>įstatymų įgyvendinamieji</w:t>
            </w:r>
            <w:r w:rsidRPr="00643893">
              <w:t xml:space="preserve"> teisės aktai. </w:t>
            </w:r>
          </w:p>
          <w:p w14:paraId="2B894B5E" w14:textId="7CCE1CA8" w:rsidR="00DE01CB" w:rsidRPr="00643893" w:rsidRDefault="00DE01CB" w:rsidP="00DE01CB">
            <w:pPr>
              <w:jc w:val="both"/>
            </w:pPr>
            <w:r w:rsidRPr="00643893">
              <w:t>Atsižvelgiant į tai, kad</w:t>
            </w:r>
            <w:r w:rsidR="00E731C6" w:rsidRPr="00643893">
              <w:t>,</w:t>
            </w:r>
            <w:r w:rsidRPr="00643893">
              <w:t xml:space="preserve"> skelbiant informaciją apie teismo posėdžius, gali būti tvarkomi asmens duomenys</w:t>
            </w:r>
            <w:r w:rsidR="00E731C6" w:rsidRPr="00643893">
              <w:t>,</w:t>
            </w:r>
            <w:r w:rsidRPr="00643893">
              <w:t xml:space="preserve"> ir siekiant, kad asmens duomenų tvarkymo reglamentavimas atitiktų jam keliamus reikalavimus, </w:t>
            </w:r>
            <w:r w:rsidR="00DD73C2" w:rsidRPr="00643893">
              <w:t>Nutarimo</w:t>
            </w:r>
            <w:r w:rsidR="00196BCD" w:rsidRPr="00643893">
              <w:rPr>
                <w:color w:val="000000"/>
              </w:rPr>
              <w:t xml:space="preserve"> projekt</w:t>
            </w:r>
            <w:r w:rsidR="00E731C6" w:rsidRPr="00643893">
              <w:rPr>
                <w:color w:val="000000"/>
              </w:rPr>
              <w:t>as</w:t>
            </w:r>
            <w:r w:rsidRPr="00643893">
              <w:t xml:space="preserve"> </w:t>
            </w:r>
            <w:r w:rsidR="00E731C6" w:rsidRPr="00643893">
              <w:t xml:space="preserve">papildytas </w:t>
            </w:r>
            <w:r w:rsidR="002744F6" w:rsidRPr="00643893">
              <w:t>nuostata</w:t>
            </w:r>
            <w:r w:rsidRPr="00643893">
              <w:t>, kad būtų nu</w:t>
            </w:r>
            <w:r w:rsidR="007C1C3D" w:rsidRPr="00643893">
              <w:t>m</w:t>
            </w:r>
            <w:r w:rsidRPr="00643893">
              <w:t>atytas duomenų tvarkymo (viešinimo) tikslas:</w:t>
            </w:r>
          </w:p>
          <w:p w14:paraId="4A8B0D90" w14:textId="77777777" w:rsidR="00961EA3" w:rsidRPr="00643893" w:rsidRDefault="00DE01CB" w:rsidP="00961EA3">
            <w:pPr>
              <w:jc w:val="both"/>
            </w:pPr>
            <w:r w:rsidRPr="00643893">
              <w:t>„</w:t>
            </w:r>
            <w:r w:rsidR="00961EA3" w:rsidRPr="00643893">
              <w:t xml:space="preserve">Reglamento (ES) 2016/679 5 straipsnio 1 dalies b punkte nustatyta, kad asmens duomenys turi būti tvarkomi nustatytais, aiškiai apibrėžtais bei teisėtais tikslais ir toliau netvarkomi su tais tikslais nesuderinamu būdu (tikslo apribojimo principas). Atsižvelgiant į tai, tikslintina ABTĮ pakeitimo projektu keičiamos ABTĮ 72 straipsnio 5 dalies nuostata, nurodant, kokiu tikslu tvarkomi asmens duomenys, kai skelbiama apie teismo posėdžius. </w:t>
            </w:r>
          </w:p>
          <w:p w14:paraId="0D42F309" w14:textId="4DC19720" w:rsidR="00304F0A" w:rsidRPr="00643893" w:rsidRDefault="00961EA3" w:rsidP="00961EA3">
            <w:pPr>
              <w:jc w:val="both"/>
            </w:pPr>
            <w:r w:rsidRPr="00643893">
              <w:t>Taip pat siūlytina papildyti ir kitus proceso įstatymus analogiška nuostata dėl skelbimo apie teismo posėdžius ne tik teismo rūmų, kuriuose nagrinėjama byla, skelbimų lentoje, bet ir interneto tinklalapyje bei nuostata dėl asmens duomenų tvarkymo tikslo</w:t>
            </w:r>
            <w:r w:rsidR="00DE01CB" w:rsidRPr="00643893">
              <w:t>.“</w:t>
            </w:r>
          </w:p>
        </w:tc>
      </w:tr>
      <w:tr w:rsidR="005315D4" w:rsidRPr="00643893" w14:paraId="60C23E18" w14:textId="77777777" w:rsidTr="007337DC">
        <w:trPr>
          <w:trHeight w:val="8220"/>
        </w:trPr>
        <w:tc>
          <w:tcPr>
            <w:tcW w:w="2011" w:type="dxa"/>
            <w:shd w:val="clear" w:color="auto" w:fill="auto"/>
          </w:tcPr>
          <w:p w14:paraId="284300BA" w14:textId="2C43D8DF" w:rsidR="005315D4" w:rsidRPr="00643893" w:rsidRDefault="005879DE" w:rsidP="007B73F8">
            <w:pPr>
              <w:jc w:val="both"/>
              <w:rPr>
                <w:color w:val="000000"/>
              </w:rPr>
            </w:pPr>
            <w:r w:rsidRPr="00643893">
              <w:rPr>
                <w:color w:val="000000"/>
              </w:rPr>
              <w:lastRenderedPageBreak/>
              <w:t>Teisėjų tarybos 2021 m. liepos 28 d. raštas Nr. 36P-95-(7.1.10)</w:t>
            </w:r>
          </w:p>
        </w:tc>
        <w:tc>
          <w:tcPr>
            <w:tcW w:w="6804" w:type="dxa"/>
            <w:shd w:val="clear" w:color="auto" w:fill="auto"/>
          </w:tcPr>
          <w:p w14:paraId="2D7F9A2A" w14:textId="01059345" w:rsidR="005315D4" w:rsidRPr="00643893" w:rsidRDefault="00D61D57" w:rsidP="00E233A1">
            <w:pPr>
              <w:spacing w:line="300" w:lineRule="atLeast"/>
              <w:jc w:val="both"/>
              <w:rPr>
                <w:color w:val="000000"/>
                <w:sz w:val="20"/>
                <w:szCs w:val="20"/>
                <w:lang w:eastAsia="en-US"/>
              </w:rPr>
            </w:pPr>
            <w:r w:rsidRPr="00643893">
              <w:rPr>
                <w:color w:val="000000"/>
              </w:rPr>
              <w:t>2.</w:t>
            </w:r>
            <w:r w:rsidR="00E731C6" w:rsidRPr="00643893">
              <w:rPr>
                <w:color w:val="000000"/>
              </w:rPr>
              <w:t xml:space="preserve"> </w:t>
            </w:r>
            <w:r w:rsidRPr="00643893">
              <w:rPr>
                <w:color w:val="000000"/>
              </w:rPr>
              <w:t>Manome, kad įvertinus kartu su Teismų įstatymo pakeitimo projektu teikiamus kitus projektus, Teismų įstatymo 34 straipsnis turėtų būti papildytas nauja dalimi, kurioje būti apibrėžti objektyvūs kriterijai organizuojant bylų paskirstymo procesą, kai byla bus skiriama nagrinėti</w:t>
            </w:r>
            <w:r w:rsidR="00E731C6" w:rsidRPr="00643893">
              <w:rPr>
                <w:color w:val="000000"/>
              </w:rPr>
              <w:t xml:space="preserve"> </w:t>
            </w:r>
            <w:r w:rsidRPr="00643893">
              <w:rPr>
                <w:color w:val="000000"/>
              </w:rPr>
              <w:t>Lietuvos apygardos administraciniame teisme arčiausiai pareiškėjo gyvenamosios vietos ar buveinės esančiuose teismo rūmuose.</w:t>
            </w:r>
          </w:p>
        </w:tc>
        <w:tc>
          <w:tcPr>
            <w:tcW w:w="6521" w:type="dxa"/>
            <w:shd w:val="clear" w:color="auto" w:fill="auto"/>
          </w:tcPr>
          <w:p w14:paraId="7F5517F5" w14:textId="7C334526" w:rsidR="00265B2B" w:rsidRPr="00643893" w:rsidRDefault="00265B2B" w:rsidP="00265B2B">
            <w:pPr>
              <w:pStyle w:val="gmail-msocommenttext"/>
              <w:spacing w:before="0" w:beforeAutospacing="0" w:after="0" w:afterAutospacing="0"/>
              <w:jc w:val="both"/>
              <w:rPr>
                <w:b/>
                <w:bCs/>
                <w:color w:val="000000"/>
              </w:rPr>
            </w:pPr>
            <w:r w:rsidRPr="00643893">
              <w:rPr>
                <w:b/>
                <w:bCs/>
                <w:color w:val="000000"/>
              </w:rPr>
              <w:t>Neatsižvelgta</w:t>
            </w:r>
          </w:p>
          <w:p w14:paraId="67CAA349" w14:textId="614ABC88" w:rsidR="000E20E9" w:rsidRPr="00643893" w:rsidRDefault="001B6FF9" w:rsidP="00265B2B">
            <w:pPr>
              <w:jc w:val="both"/>
            </w:pPr>
            <w:r w:rsidRPr="00643893">
              <w:rPr>
                <w:color w:val="000000"/>
              </w:rPr>
              <w:t xml:space="preserve">Teismų įstatymo pakeitimo projekto 6 straipsniu siūlomos </w:t>
            </w:r>
            <w:r w:rsidR="005F6EE7" w:rsidRPr="00643893">
              <w:rPr>
                <w:color w:val="000000"/>
              </w:rPr>
              <w:t>Lietuvos Respublikos t</w:t>
            </w:r>
            <w:r w:rsidRPr="00643893">
              <w:rPr>
                <w:color w:val="000000"/>
              </w:rPr>
              <w:t>eismų įstatymo 34 straipsnio 7 dalies nuostatos jau nurodo objektyvius kriterijus, pagal kuriuos būtų nustatoma, kuriems apygardos administracinio teismo rūmams būtų teisminga byla</w:t>
            </w:r>
            <w:r w:rsidRPr="00643893">
              <w:t xml:space="preserve"> </w:t>
            </w:r>
            <w:r w:rsidR="00711256" w:rsidRPr="00643893">
              <w:t>–</w:t>
            </w:r>
            <w:r w:rsidRPr="00643893">
              <w:t xml:space="preserve"> </w:t>
            </w:r>
            <w:r w:rsidR="000E20E9" w:rsidRPr="00643893">
              <w:t>„</w:t>
            </w:r>
            <w:r w:rsidRPr="00643893">
              <w:t>apygardos administraciniame teisme bylos nagrinėjamos arčiausiai pareiškėjo gyvenamosios (buveinės) vietos</w:t>
            </w:r>
            <w:r w:rsidR="000E20E9" w:rsidRPr="00643893">
              <w:t>“</w:t>
            </w:r>
            <w:r w:rsidRPr="00643893">
              <w:t xml:space="preserve"> –</w:t>
            </w:r>
            <w:r w:rsidR="00E731C6" w:rsidRPr="00643893">
              <w:t xml:space="preserve"> </w:t>
            </w:r>
            <w:r w:rsidRPr="00643893">
              <w:t xml:space="preserve">kitaip tariant, siūloma </w:t>
            </w:r>
            <w:r w:rsidR="009546BD" w:rsidRPr="00643893">
              <w:t xml:space="preserve">bylas skirstyti </w:t>
            </w:r>
            <w:r w:rsidRPr="00643893">
              <w:t xml:space="preserve">pagal </w:t>
            </w:r>
            <w:r w:rsidR="009546BD" w:rsidRPr="00643893">
              <w:t xml:space="preserve">atstumą nuo </w:t>
            </w:r>
            <w:r w:rsidRPr="00643893">
              <w:t xml:space="preserve">pareiškėjo gyvenamosios </w:t>
            </w:r>
            <w:r w:rsidR="009546BD" w:rsidRPr="00643893">
              <w:t xml:space="preserve">(buveinės) </w:t>
            </w:r>
            <w:r w:rsidRPr="00643893">
              <w:t xml:space="preserve">vietos </w:t>
            </w:r>
            <w:r w:rsidR="009546BD" w:rsidRPr="00643893">
              <w:t>iki</w:t>
            </w:r>
            <w:r w:rsidRPr="00643893">
              <w:t xml:space="preserve"> teismo rūmų.</w:t>
            </w:r>
            <w:r w:rsidR="005F6EE7" w:rsidRPr="00643893">
              <w:t xml:space="preserve"> T</w:t>
            </w:r>
            <w:r w:rsidR="009546BD" w:rsidRPr="00643893">
              <w:t>uo atveju, kai pareiškėjo</w:t>
            </w:r>
            <w:r w:rsidR="000E20E9" w:rsidRPr="00643893">
              <w:t xml:space="preserve"> </w:t>
            </w:r>
            <w:r w:rsidR="009546BD" w:rsidRPr="00643893">
              <w:t xml:space="preserve">gyvenamoji (buveinės) vieta yra ne Lietuvos Respublikos teritorijoje, taip pat kai skundas </w:t>
            </w:r>
            <w:r w:rsidRPr="00643893">
              <w:t>paduodamas kelių pareiškėjų, gyvenančių ar esančių ne toje pačioje vietoje</w:t>
            </w:r>
            <w:r w:rsidR="009546BD" w:rsidRPr="00643893">
              <w:t>, siūlomas nustatyti pareiškėjo pasirinkimo kriterijus.</w:t>
            </w:r>
          </w:p>
          <w:p w14:paraId="19A8501F" w14:textId="72B012B5" w:rsidR="00F81902" w:rsidRPr="00643893" w:rsidRDefault="00711256" w:rsidP="000F07D7">
            <w:pPr>
              <w:jc w:val="both"/>
            </w:pPr>
            <w:r w:rsidRPr="00643893">
              <w:t xml:space="preserve">Tuo tarpu bylų paskirstymo konkretiems teisėjams ir teisėjų kolegijoms kriterijai yra nustatyti Teismų įstatymo 36 straipsnio 11 dalyje: bylų paskirstymo teisėjams ir teisėjų kolegijų sudarymo taisyklės turi užtikrinti, kad bylos teisėjams būtų paskirstomos ir teisėjų kolegijos būtų sudaromos atsižvelgiant į teisėjų specializaciją, darbo krūvio tolygumą, bylų sudėtingumą, teisėjų kolegijų sudėties rotaciją, tos pačios sudėties teisėjų kolegijos maksimalią veiklos trukmę, įstatymuose numatytus draudimus teisėjui nagrinėti konkrečią bylą, teisėjo ar teisėjų kolegijos sudėties pakeitimą, teisėjų nušalinimo ar nusišalinimo aplinkybes, laikinojo nedarbingumo, atostogų ar komandiruotės atvejus. Aptariamoje nuostatoje taip pat nustatyta, jog kai teismas yra sudarytas iš teismo rūmų, bylų paskirstymo teisėjams ir teisėjų kolegijų sudarymo taisyklės taip pat turi užtikrinti, kad bylos būtų skiriamos teismo rūmų, kurie nustatomi </w:t>
            </w:r>
            <w:proofErr w:type="spellStart"/>
            <w:r w:rsidRPr="00643893">
              <w:rPr>
                <w:i/>
                <w:iCs/>
              </w:rPr>
              <w:t>mutatis</w:t>
            </w:r>
            <w:proofErr w:type="spellEnd"/>
            <w:r w:rsidRPr="00643893">
              <w:rPr>
                <w:i/>
                <w:iCs/>
              </w:rPr>
              <w:t xml:space="preserve"> </w:t>
            </w:r>
            <w:proofErr w:type="spellStart"/>
            <w:r w:rsidRPr="00643893">
              <w:rPr>
                <w:i/>
                <w:iCs/>
              </w:rPr>
              <w:t>mutandis</w:t>
            </w:r>
            <w:proofErr w:type="spellEnd"/>
            <w:r w:rsidRPr="00643893">
              <w:t xml:space="preserve"> taikant įstatymuose numatytas teritorinio teismingumo taisykles, teisėjams, išskyrus atvejus, kai byla nagrinėjama rašytinio proceso tvarka arba kai bylą operatyviau ir ekonomiškiau išnagrinės kitų teismo rūmų teisėjai.</w:t>
            </w:r>
          </w:p>
          <w:p w14:paraId="1CA428E9" w14:textId="79F5CB14" w:rsidR="000E20E9" w:rsidRPr="00643893" w:rsidRDefault="000E20E9" w:rsidP="000F07D7">
            <w:pPr>
              <w:jc w:val="both"/>
              <w:rPr>
                <w:b/>
                <w:bCs/>
                <w:color w:val="000000"/>
              </w:rPr>
            </w:pPr>
            <w:r w:rsidRPr="00643893">
              <w:t>Atsižvelgiant į tai, nėra aišku, kokius papildomus (ar galbūt kitokius) objektyvius kriterijus „organizuojant bylų paskirstymo procesą“ siūloma nustatyti teikiama pastaba.</w:t>
            </w:r>
          </w:p>
        </w:tc>
      </w:tr>
      <w:tr w:rsidR="00A04762" w:rsidRPr="00643893" w14:paraId="1ADC4116" w14:textId="77777777" w:rsidTr="007337DC">
        <w:trPr>
          <w:trHeight w:val="605"/>
        </w:trPr>
        <w:tc>
          <w:tcPr>
            <w:tcW w:w="2011" w:type="dxa"/>
            <w:shd w:val="clear" w:color="auto" w:fill="auto"/>
          </w:tcPr>
          <w:p w14:paraId="0AD93021" w14:textId="77777777" w:rsidR="00A04762" w:rsidRPr="00643893" w:rsidRDefault="00A04762" w:rsidP="007B73F8">
            <w:pPr>
              <w:jc w:val="both"/>
              <w:rPr>
                <w:color w:val="000000"/>
              </w:rPr>
            </w:pPr>
          </w:p>
        </w:tc>
        <w:tc>
          <w:tcPr>
            <w:tcW w:w="6804" w:type="dxa"/>
            <w:shd w:val="clear" w:color="auto" w:fill="auto"/>
          </w:tcPr>
          <w:p w14:paraId="38A8ADF0" w14:textId="77777777" w:rsidR="00681A74" w:rsidRPr="00643893" w:rsidRDefault="00681A74" w:rsidP="00681A74">
            <w:pPr>
              <w:tabs>
                <w:tab w:val="left" w:pos="1276"/>
              </w:tabs>
              <w:jc w:val="both"/>
              <w:rPr>
                <w:lang w:eastAsia="en-US"/>
              </w:rPr>
            </w:pPr>
            <w:r w:rsidRPr="00643893">
              <w:rPr>
                <w:lang w:eastAsia="en-US"/>
              </w:rPr>
              <w:t>4. Nutarimo 1.7 papunktį siūlytina papildyti šiomis pastabomis. Teismų įstatymo pakeitimo projekte numatytas įvertintų pretendentų į teisėjus sąrašas, sudaromas atitinkamos teismų pakopos ir jurisdikcijos pagrindu, tačiau projekte nėra numatyta, kokie subjektai ir (arba) kokiame teisės akte turi įgaliojimus reglamentuoti tokio sąrašo sudarymo tvarką, kriterijus. Siekiant teisinio aiškumo, siūlytina Teismų įstatymo pakeitimo projekte tiesiogiai numatyti, kokie subjektai turi įgaliojimus reglamentuoti minėto sąrašo sudarymo taisykles ir (arba) kokiame teisės akte jos bus reglamentuotos. Be to, atsižvelgiant į šio sąrašo svarbą formuojant teisėjų korpusą, tikslinga įstatymo lygiu nustatyti pagrindinius šio sąrašo formavimo principus. Taip pat pastebėtina, kad nėra aišku, kokią įpareigojamąją galią sudarytas įvertintų pretendentų į teisėjus sąrašas turės Lietuvos Respublikos Prezidentui ir kokiais principais vadovaujantis bus parenkami teisėjai iš šio sąrašo. Iš esmės turėtų būti aiškiai apibrėžta, ar bus laikomasi eilės sąraše. Šių nuostatų sureguliavimas reikšmingas ne tik atrankų skaidrumo, bet ir pretendentų į teisėjus teisėtų lūkesčių aspektu.</w:t>
            </w:r>
          </w:p>
          <w:p w14:paraId="4918281F" w14:textId="53C9063A" w:rsidR="00A04762" w:rsidRPr="00643893" w:rsidRDefault="00681A74" w:rsidP="00681A74">
            <w:pPr>
              <w:tabs>
                <w:tab w:val="left" w:pos="1276"/>
              </w:tabs>
              <w:jc w:val="both"/>
              <w:rPr>
                <w:lang w:eastAsia="en-US"/>
              </w:rPr>
            </w:pPr>
            <w:r w:rsidRPr="00643893">
              <w:t>Manome, kad netikslinga atsisakyti Teismų įstatymo 55</w:t>
            </w:r>
            <w:r w:rsidRPr="00643893">
              <w:rPr>
                <w:vertAlign w:val="superscript"/>
              </w:rPr>
              <w:t>7</w:t>
            </w:r>
            <w:r w:rsidRPr="00643893">
              <w:t xml:space="preserve"> straipsnio 3 dalyje pateiktos nuorodos į šių klausimų nagrinėjimą taikant CPK taisykles. Taip būtų užtikrintas teisinis aiškumas, kad ir nagrinėjant procedūrinius teisėjų atrankos aspektus yra taikomos CPK nuostatos, taip užtikrinant visas procesines garantijas tokios peržiūros metu. </w:t>
            </w:r>
          </w:p>
        </w:tc>
        <w:tc>
          <w:tcPr>
            <w:tcW w:w="6521" w:type="dxa"/>
            <w:shd w:val="clear" w:color="auto" w:fill="auto"/>
          </w:tcPr>
          <w:p w14:paraId="0924F0CE" w14:textId="1846A63E" w:rsidR="00DD6DA2" w:rsidRPr="00643893" w:rsidRDefault="00DD6DA2" w:rsidP="00DD6DA2">
            <w:pPr>
              <w:pStyle w:val="gmail-msocommenttext"/>
              <w:spacing w:before="0" w:beforeAutospacing="0" w:after="0" w:afterAutospacing="0"/>
              <w:jc w:val="both"/>
              <w:rPr>
                <w:b/>
                <w:bCs/>
                <w:color w:val="000000"/>
              </w:rPr>
            </w:pPr>
            <w:r w:rsidRPr="00643893">
              <w:rPr>
                <w:b/>
                <w:bCs/>
                <w:color w:val="000000"/>
              </w:rPr>
              <w:t>Iš dalies atsižvelgta</w:t>
            </w:r>
          </w:p>
          <w:p w14:paraId="7B529140" w14:textId="2FEF505F" w:rsidR="00A04762" w:rsidRPr="00643893" w:rsidRDefault="00DD73C2" w:rsidP="00265B2B">
            <w:pPr>
              <w:pStyle w:val="gmail-msocommenttext"/>
              <w:spacing w:before="0" w:beforeAutospacing="0" w:after="0" w:afterAutospacing="0"/>
              <w:jc w:val="both"/>
              <w:rPr>
                <w:lang w:eastAsia="en-US"/>
              </w:rPr>
            </w:pPr>
            <w:r w:rsidRPr="00643893">
              <w:rPr>
                <w:lang w:eastAsia="en-US"/>
              </w:rPr>
              <w:t>Nutarimo</w:t>
            </w:r>
            <w:r w:rsidR="008B7E88" w:rsidRPr="00643893">
              <w:rPr>
                <w:lang w:eastAsia="en-US"/>
              </w:rPr>
              <w:t xml:space="preserve"> projekte išbraukta pastaba, kad Teismų įstatymo pakeitimo projektu siūlomo Teismų įstatymo </w:t>
            </w:r>
            <w:r w:rsidR="008B7E88" w:rsidRPr="00643893">
              <w:rPr>
                <w:lang w:eastAsia="en-US"/>
              </w:rPr>
              <w:br/>
              <w:t>55</w:t>
            </w:r>
            <w:r w:rsidR="008B7E88" w:rsidRPr="00643893">
              <w:rPr>
                <w:vertAlign w:val="superscript"/>
                <w:lang w:eastAsia="en-US"/>
              </w:rPr>
              <w:t>7</w:t>
            </w:r>
            <w:r w:rsidR="008B7E88" w:rsidRPr="00643893">
              <w:rPr>
                <w:lang w:eastAsia="en-US"/>
              </w:rPr>
              <w:t xml:space="preserve"> straipsnio 3 dalyje netikslinga pateikti nuorodą į Lietuvos Respublikos civilinio proceso kodeksą (toliau – CPK).</w:t>
            </w:r>
          </w:p>
          <w:p w14:paraId="3C985A5B" w14:textId="5114BC78" w:rsidR="00B46FE6" w:rsidRPr="00643893" w:rsidRDefault="005F34B3" w:rsidP="00CA0960">
            <w:pPr>
              <w:tabs>
                <w:tab w:val="left" w:pos="1276"/>
              </w:tabs>
              <w:jc w:val="both"/>
              <w:rPr>
                <w:lang w:eastAsia="en-US"/>
              </w:rPr>
            </w:pPr>
            <w:r w:rsidRPr="00643893">
              <w:t xml:space="preserve">Atsižvelgiant į Teisėjų tarybos pastaboje išdėstytus argumentus, taip pat į </w:t>
            </w:r>
            <w:r w:rsidRPr="00643893">
              <w:rPr>
                <w:color w:val="000000"/>
              </w:rPr>
              <w:t>Respublikos Prezidento kanceliarijos</w:t>
            </w:r>
            <w:r w:rsidRPr="00643893">
              <w:t xml:space="preserve"> pastabą dėl atitinkamos Nutarimo projekto nuostatos,</w:t>
            </w:r>
            <w:r w:rsidRPr="00643893">
              <w:rPr>
                <w:lang w:eastAsia="en-US"/>
              </w:rPr>
              <w:t xml:space="preserve"> </w:t>
            </w:r>
            <w:r w:rsidR="00DD73C2" w:rsidRPr="00643893">
              <w:rPr>
                <w:lang w:eastAsia="en-US"/>
              </w:rPr>
              <w:t>Nutarimo</w:t>
            </w:r>
            <w:r w:rsidR="00B46FE6" w:rsidRPr="00643893">
              <w:rPr>
                <w:lang w:eastAsia="en-US"/>
              </w:rPr>
              <w:t xml:space="preserve"> projekte išdėstytas pasiūlymas Teismų įstatymo 55</w:t>
            </w:r>
            <w:r w:rsidR="00B46FE6" w:rsidRPr="00643893">
              <w:rPr>
                <w:vertAlign w:val="superscript"/>
                <w:lang w:eastAsia="en-US"/>
              </w:rPr>
              <w:t>8</w:t>
            </w:r>
            <w:r w:rsidR="00B46FE6" w:rsidRPr="00643893">
              <w:rPr>
                <w:lang w:eastAsia="en-US"/>
              </w:rPr>
              <w:t xml:space="preserve"> straipsnyje ir 55</w:t>
            </w:r>
            <w:r w:rsidR="00B46FE6" w:rsidRPr="00643893">
              <w:rPr>
                <w:vertAlign w:val="superscript"/>
                <w:lang w:eastAsia="en-US"/>
              </w:rPr>
              <w:t>3</w:t>
            </w:r>
            <w:r w:rsidR="00B46FE6" w:rsidRPr="00643893">
              <w:rPr>
                <w:lang w:eastAsia="en-US"/>
              </w:rPr>
              <w:t xml:space="preserve"> straipsnyje nustatyti, kad tiek nuolat atnaujinamuose pretendentų į teisėjus sąrašuose, sudaromuose </w:t>
            </w:r>
            <w:r w:rsidR="00CD2F8D" w:rsidRPr="00643893">
              <w:rPr>
                <w:rFonts w:eastAsiaTheme="minorHAnsi"/>
              </w:rPr>
              <w:t>pagal atitinkamą teismų pakopą ir jurisdikciją</w:t>
            </w:r>
            <w:r w:rsidR="00B46FE6" w:rsidRPr="00643893">
              <w:rPr>
                <w:lang w:eastAsia="en-US"/>
              </w:rPr>
              <w:t xml:space="preserve">, tiek ir kandidatūrų į konkretaus teismo teisėjus sąrašuose nurodomi pretendentų į teisėjus vertinimo Pretendentų į teisėjus atrankos komisijoje </w:t>
            </w:r>
            <w:r w:rsidR="00C15DDA" w:rsidRPr="00643893">
              <w:rPr>
                <w:lang w:eastAsia="en-US"/>
              </w:rPr>
              <w:t xml:space="preserve">(toliau – Atrankos komisija) </w:t>
            </w:r>
            <w:r w:rsidR="00B46FE6" w:rsidRPr="00643893">
              <w:rPr>
                <w:lang w:eastAsia="en-US"/>
              </w:rPr>
              <w:t>rezultatai</w:t>
            </w:r>
            <w:r w:rsidR="005F6EE7" w:rsidRPr="00643893">
              <w:rPr>
                <w:lang w:eastAsia="en-US"/>
              </w:rPr>
              <w:t>,</w:t>
            </w:r>
            <w:r w:rsidR="00B46FE6" w:rsidRPr="00643893">
              <w:rPr>
                <w:lang w:eastAsia="en-US"/>
              </w:rPr>
              <w:t xml:space="preserve"> kadangi šie sąrašai yra sudaromi jau įvykus atrankos procedūroms.</w:t>
            </w:r>
          </w:p>
          <w:p w14:paraId="1DC9CC22" w14:textId="72134FA5" w:rsidR="009708F0" w:rsidRPr="00643893" w:rsidRDefault="005F34B3" w:rsidP="00CA0960">
            <w:pPr>
              <w:tabs>
                <w:tab w:val="left" w:pos="1276"/>
              </w:tabs>
              <w:jc w:val="both"/>
              <w:rPr>
                <w:lang w:eastAsia="en-US"/>
              </w:rPr>
            </w:pPr>
            <w:r w:rsidRPr="00643893">
              <w:rPr>
                <w:rFonts w:eastAsiaTheme="minorHAnsi"/>
              </w:rPr>
              <w:t xml:space="preserve">Pastebėtina, kad </w:t>
            </w:r>
            <w:r w:rsidR="002C0215" w:rsidRPr="00643893">
              <w:rPr>
                <w:rFonts w:eastAsiaTheme="minorHAnsi"/>
              </w:rPr>
              <w:t>Teismų įstatymo pakeitimo projektu siūlom</w:t>
            </w:r>
            <w:r w:rsidR="00A70A47" w:rsidRPr="00643893">
              <w:rPr>
                <w:rFonts w:eastAsiaTheme="minorHAnsi"/>
              </w:rPr>
              <w:t>o</w:t>
            </w:r>
            <w:r w:rsidR="002C0215" w:rsidRPr="00643893">
              <w:rPr>
                <w:lang w:eastAsia="en-US"/>
              </w:rPr>
              <w:t xml:space="preserve"> </w:t>
            </w:r>
            <w:r w:rsidR="009708F0" w:rsidRPr="00643893">
              <w:rPr>
                <w:lang w:eastAsia="en-US"/>
              </w:rPr>
              <w:t>Teismų įstatymo 55</w:t>
            </w:r>
            <w:r w:rsidR="009708F0" w:rsidRPr="00643893">
              <w:rPr>
                <w:vertAlign w:val="superscript"/>
                <w:lang w:eastAsia="en-US"/>
              </w:rPr>
              <w:t xml:space="preserve">2 </w:t>
            </w:r>
            <w:r w:rsidR="009708F0" w:rsidRPr="00643893">
              <w:rPr>
                <w:lang w:eastAsia="en-US"/>
              </w:rPr>
              <w:t>straipsnio 2 dalyje numatyta, kad Respublikos Prezidentas</w:t>
            </w:r>
            <w:r w:rsidR="00A70A47" w:rsidRPr="00643893">
              <w:rPr>
                <w:lang w:eastAsia="en-US"/>
              </w:rPr>
              <w:t>,</w:t>
            </w:r>
            <w:r w:rsidR="009708F0" w:rsidRPr="00643893">
              <w:rPr>
                <w:lang w:eastAsia="en-US"/>
              </w:rPr>
              <w:t xml:space="preserve"> suderinęs su Teisėjų taryba, nustato Atrankos komisijos darbo tvarką. </w:t>
            </w:r>
            <w:r w:rsidR="002C0215" w:rsidRPr="00643893">
              <w:rPr>
                <w:lang w:eastAsia="en-US"/>
              </w:rPr>
              <w:t xml:space="preserve">Pastarojoje tvarkoje </w:t>
            </w:r>
            <w:r w:rsidR="00A70A47" w:rsidRPr="00643893">
              <w:rPr>
                <w:lang w:eastAsia="en-US"/>
              </w:rPr>
              <w:t>galėtų</w:t>
            </w:r>
            <w:r w:rsidR="002C0215" w:rsidRPr="00643893">
              <w:rPr>
                <w:lang w:eastAsia="en-US"/>
              </w:rPr>
              <w:t xml:space="preserve"> būti nustatyta ir pretendentų į teisėjus sąrašų </w:t>
            </w:r>
            <w:r w:rsidR="00C9159A" w:rsidRPr="00643893">
              <w:rPr>
                <w:lang w:eastAsia="en-US"/>
              </w:rPr>
              <w:t xml:space="preserve">rengimo </w:t>
            </w:r>
            <w:r w:rsidR="002C0215" w:rsidRPr="00643893">
              <w:rPr>
                <w:lang w:eastAsia="en-US"/>
              </w:rPr>
              <w:t>tvarka.</w:t>
            </w:r>
          </w:p>
          <w:p w14:paraId="3EC807B3" w14:textId="5E826C27" w:rsidR="00B46FE6" w:rsidRPr="00643893" w:rsidRDefault="00563E93" w:rsidP="00CA0960">
            <w:pPr>
              <w:tabs>
                <w:tab w:val="left" w:pos="1276"/>
              </w:tabs>
              <w:jc w:val="both"/>
              <w:rPr>
                <w:lang w:eastAsia="en-US"/>
              </w:rPr>
            </w:pPr>
            <w:r w:rsidRPr="00643893">
              <w:rPr>
                <w:lang w:eastAsia="en-US"/>
              </w:rPr>
              <w:t xml:space="preserve">Nepritartina siūlymui iš esmės apibrėžti, ar bus laikomasi eilės pretendentų į teisėjus sąraše. </w:t>
            </w:r>
            <w:r w:rsidR="00B709B2" w:rsidRPr="00643893">
              <w:rPr>
                <w:lang w:eastAsia="en-US"/>
              </w:rPr>
              <w:t xml:space="preserve">Konkrečių pretendentų pasirinkimas yra Respublikos Prezidento konstitucinė </w:t>
            </w:r>
            <w:proofErr w:type="spellStart"/>
            <w:r w:rsidR="00B709B2" w:rsidRPr="00643893">
              <w:rPr>
                <w:lang w:eastAsia="en-US"/>
              </w:rPr>
              <w:t>diskrecija</w:t>
            </w:r>
            <w:proofErr w:type="spellEnd"/>
            <w:r w:rsidR="00AB7E79" w:rsidRPr="00643893">
              <w:rPr>
                <w:lang w:eastAsia="en-US"/>
              </w:rPr>
              <w:t xml:space="preserve">, </w:t>
            </w:r>
            <w:r w:rsidR="00B709B2" w:rsidRPr="00643893">
              <w:rPr>
                <w:lang w:eastAsia="en-US"/>
              </w:rPr>
              <w:t>todėl</w:t>
            </w:r>
            <w:r w:rsidR="00AB7E79" w:rsidRPr="00643893">
              <w:rPr>
                <w:lang w:eastAsia="en-US"/>
              </w:rPr>
              <w:t xml:space="preserve"> Respublikos Prezidentui pateikiamas visas įvertintų pretendentų sąrašas, kuriame nurodomas kiekvieno pretendento individualus Atrankos komisijos </w:t>
            </w:r>
            <w:r w:rsidR="00A70A47" w:rsidRPr="00643893">
              <w:rPr>
                <w:lang w:eastAsia="en-US"/>
              </w:rPr>
              <w:t xml:space="preserve">atlikto </w:t>
            </w:r>
            <w:r w:rsidR="00AB7E79" w:rsidRPr="00643893">
              <w:rPr>
                <w:lang w:eastAsia="en-US"/>
              </w:rPr>
              <w:t>vertinim</w:t>
            </w:r>
            <w:r w:rsidR="00A70A47" w:rsidRPr="00643893">
              <w:rPr>
                <w:lang w:eastAsia="en-US"/>
              </w:rPr>
              <w:t>o rezultatas</w:t>
            </w:r>
            <w:r w:rsidR="00AB7E79" w:rsidRPr="00643893">
              <w:rPr>
                <w:lang w:eastAsia="en-US"/>
              </w:rPr>
              <w:t>.</w:t>
            </w:r>
            <w:r w:rsidR="00CA0960" w:rsidRPr="00643893">
              <w:rPr>
                <w:lang w:eastAsia="en-US"/>
              </w:rPr>
              <w:t xml:space="preserve"> Konstitucinio Teismo 1999 m. gruodžio </w:t>
            </w:r>
            <w:r w:rsidR="00557826" w:rsidRPr="00643893">
              <w:rPr>
                <w:lang w:eastAsia="en-US"/>
              </w:rPr>
              <w:t>21</w:t>
            </w:r>
            <w:r w:rsidR="00CA0960" w:rsidRPr="00643893">
              <w:rPr>
                <w:lang w:eastAsia="en-US"/>
              </w:rPr>
              <w:t xml:space="preserve"> d. nutarim</w:t>
            </w:r>
            <w:r w:rsidR="00D67C22" w:rsidRPr="00643893">
              <w:rPr>
                <w:lang w:eastAsia="en-US"/>
              </w:rPr>
              <w:t>e</w:t>
            </w:r>
            <w:r w:rsidR="007F2FC0" w:rsidRPr="00643893">
              <w:rPr>
                <w:lang w:eastAsia="en-US"/>
              </w:rPr>
              <w:t xml:space="preserve"> </w:t>
            </w:r>
            <w:r w:rsidR="00CA0960" w:rsidRPr="00643893">
              <w:rPr>
                <w:lang w:eastAsia="en-US"/>
              </w:rPr>
              <w:t>nurod</w:t>
            </w:r>
            <w:r w:rsidR="00D67C22" w:rsidRPr="00643893">
              <w:rPr>
                <w:lang w:eastAsia="en-US"/>
              </w:rPr>
              <w:t>yta</w:t>
            </w:r>
            <w:r w:rsidR="00CA0960" w:rsidRPr="00643893">
              <w:rPr>
                <w:lang w:eastAsia="en-US"/>
              </w:rPr>
              <w:t>, kad</w:t>
            </w:r>
            <w:r w:rsidR="007F2FC0" w:rsidRPr="00643893">
              <w:rPr>
                <w:lang w:eastAsia="en-US"/>
              </w:rPr>
              <w:t xml:space="preserve"> „Konstitucijos 84 straipsnio 11 punkte yra įtvirtinti Respublikos Prezidento įgaliojimai formuojant teisminę valdžią; tai – reikšmingas valstybės vadovo konstitucinio statuso elementas; nurodytų Respublikos Prezidento įgaliojimų šioje srityje pakeitimas ar apribojimas, taip pat tokios šių įgaliojimų įgyvendinimo tvarkos nustatymas, kai Respublikos Prezidento veiksmai būtų saistomi Konstitucijoje nenumatytų institucijų ar pareigūnų sprendimų, reikštų Respublikos Prezidento </w:t>
            </w:r>
            <w:r w:rsidR="007F2FC0" w:rsidRPr="00643893">
              <w:rPr>
                <w:lang w:eastAsia="en-US"/>
              </w:rPr>
              <w:lastRenderedPageBreak/>
              <w:t>konstitucinės kompetencijos pasikeitimą.</w:t>
            </w:r>
            <w:r w:rsidR="009B4B1A" w:rsidRPr="00643893">
              <w:rPr>
                <w:lang w:eastAsia="en-US"/>
              </w:rPr>
              <w:t xml:space="preserve">“ </w:t>
            </w:r>
            <w:r w:rsidR="00A74944" w:rsidRPr="00643893">
              <w:rPr>
                <w:lang w:eastAsia="en-US"/>
              </w:rPr>
              <w:t>Atsižvelgiant į tai</w:t>
            </w:r>
            <w:r w:rsidR="00A70A47" w:rsidRPr="00643893">
              <w:rPr>
                <w:lang w:eastAsia="en-US"/>
              </w:rPr>
              <w:t>,</w:t>
            </w:r>
            <w:r w:rsidR="00A74944" w:rsidRPr="00643893">
              <w:rPr>
                <w:lang w:eastAsia="en-US"/>
              </w:rPr>
              <w:t xml:space="preserve"> ir </w:t>
            </w:r>
            <w:r w:rsidR="00A70A47" w:rsidRPr="00643893">
              <w:rPr>
                <w:lang w:eastAsia="en-US"/>
              </w:rPr>
              <w:t>galiojančios redakcijos</w:t>
            </w:r>
            <w:r w:rsidR="00CA0960" w:rsidRPr="00643893">
              <w:rPr>
                <w:lang w:eastAsia="en-US"/>
              </w:rPr>
              <w:t xml:space="preserve"> Teismų įstatym</w:t>
            </w:r>
            <w:r w:rsidR="00A70A47" w:rsidRPr="00643893">
              <w:rPr>
                <w:lang w:eastAsia="en-US"/>
              </w:rPr>
              <w:t>e</w:t>
            </w:r>
            <w:r w:rsidR="00A74944" w:rsidRPr="00643893">
              <w:rPr>
                <w:lang w:eastAsia="en-US"/>
              </w:rPr>
              <w:t xml:space="preserve"> </w:t>
            </w:r>
            <w:r w:rsidR="00CA0960" w:rsidRPr="00643893">
              <w:rPr>
                <w:lang w:eastAsia="en-US"/>
              </w:rPr>
              <w:t xml:space="preserve">nėra </w:t>
            </w:r>
            <w:r w:rsidR="00A70A47" w:rsidRPr="00643893">
              <w:rPr>
                <w:lang w:eastAsia="en-US"/>
              </w:rPr>
              <w:t xml:space="preserve">numatyta </w:t>
            </w:r>
            <w:r w:rsidR="00CA0960" w:rsidRPr="00643893">
              <w:rPr>
                <w:lang w:eastAsia="en-US"/>
              </w:rPr>
              <w:t>įpareigojimų Respublikos Prezidentui rinktis vieną ar kitą pretendentą</w:t>
            </w:r>
            <w:r w:rsidR="00A70A47" w:rsidRPr="00643893">
              <w:rPr>
                <w:lang w:eastAsia="en-US"/>
              </w:rPr>
              <w:t>,</w:t>
            </w:r>
            <w:r w:rsidR="00CA0960" w:rsidRPr="00643893">
              <w:rPr>
                <w:lang w:eastAsia="en-US"/>
              </w:rPr>
              <w:t xml:space="preserve"> atsižvelgiant į </w:t>
            </w:r>
            <w:r w:rsidR="00A70A47" w:rsidRPr="00643893">
              <w:rPr>
                <w:lang w:eastAsia="en-US"/>
              </w:rPr>
              <w:t xml:space="preserve">konkrečius </w:t>
            </w:r>
            <w:r w:rsidR="007273FB" w:rsidRPr="00643893">
              <w:rPr>
                <w:lang w:eastAsia="en-US"/>
              </w:rPr>
              <w:t xml:space="preserve">Atrankos komisijos atlikto </w:t>
            </w:r>
            <w:r w:rsidR="00A70A47" w:rsidRPr="00643893">
              <w:rPr>
                <w:lang w:eastAsia="en-US"/>
              </w:rPr>
              <w:t>vertinimo</w:t>
            </w:r>
            <w:r w:rsidR="00CA0960" w:rsidRPr="00643893">
              <w:rPr>
                <w:lang w:eastAsia="en-US"/>
              </w:rPr>
              <w:t xml:space="preserve"> </w:t>
            </w:r>
            <w:r w:rsidR="00A70A47" w:rsidRPr="00643893">
              <w:rPr>
                <w:lang w:eastAsia="en-US"/>
              </w:rPr>
              <w:t>rezultatus</w:t>
            </w:r>
            <w:r w:rsidR="00CA0960" w:rsidRPr="00643893">
              <w:rPr>
                <w:lang w:eastAsia="en-US"/>
              </w:rPr>
              <w:t>.</w:t>
            </w:r>
          </w:p>
        </w:tc>
      </w:tr>
      <w:tr w:rsidR="000F07D7" w:rsidRPr="00643893" w14:paraId="43DB6130" w14:textId="77777777" w:rsidTr="007337DC">
        <w:trPr>
          <w:trHeight w:val="605"/>
        </w:trPr>
        <w:tc>
          <w:tcPr>
            <w:tcW w:w="2011" w:type="dxa"/>
            <w:shd w:val="clear" w:color="auto" w:fill="auto"/>
          </w:tcPr>
          <w:p w14:paraId="1AE74838" w14:textId="77777777" w:rsidR="000F07D7" w:rsidRPr="00643893" w:rsidRDefault="000F07D7" w:rsidP="007B73F8">
            <w:pPr>
              <w:jc w:val="both"/>
              <w:rPr>
                <w:color w:val="000000"/>
              </w:rPr>
            </w:pPr>
            <w:r w:rsidRPr="00643893">
              <w:rPr>
                <w:color w:val="000000"/>
              </w:rPr>
              <w:lastRenderedPageBreak/>
              <w:t>Lietuvos advokatūros</w:t>
            </w:r>
          </w:p>
          <w:p w14:paraId="26752249" w14:textId="5734AD40" w:rsidR="000F07D7" w:rsidRPr="00643893" w:rsidRDefault="000F07D7" w:rsidP="007B73F8">
            <w:pPr>
              <w:jc w:val="both"/>
              <w:rPr>
                <w:color w:val="000000"/>
              </w:rPr>
            </w:pPr>
            <w:r w:rsidRPr="00643893">
              <w:rPr>
                <w:color w:val="000000"/>
              </w:rPr>
              <w:t>2021 m. rugpjūčio 5 d. raštas Nr. 726</w:t>
            </w:r>
          </w:p>
        </w:tc>
        <w:tc>
          <w:tcPr>
            <w:tcW w:w="6804" w:type="dxa"/>
            <w:shd w:val="clear" w:color="auto" w:fill="auto"/>
          </w:tcPr>
          <w:p w14:paraId="0212778A" w14:textId="2891266B" w:rsidR="009D063D" w:rsidRPr="00643893" w:rsidRDefault="009D063D" w:rsidP="009D063D">
            <w:pPr>
              <w:tabs>
                <w:tab w:val="left" w:pos="7075"/>
              </w:tabs>
              <w:jc w:val="both"/>
              <w:rPr>
                <w:i/>
                <w:iCs/>
              </w:rPr>
            </w:pPr>
            <w:r w:rsidRPr="00643893">
              <w:t xml:space="preserve">Teismų įstatymo pakeitimo projekto 5 straipsnio 3 dalyje numatytas Lietuvos Respublikos teismų įstatymo 34 straipsnio 7 dalies papildymas, įtvirtinant, kad: </w:t>
            </w:r>
            <w:r w:rsidRPr="00643893">
              <w:rPr>
                <w:i/>
                <w:iCs/>
              </w:rPr>
              <w:t>„7. Bylų nagrinėjimas (Lietuvos apygardos administraciniame teisme)  ir byloje dalyvaujančių asmenų bei kitų proceso dalyvių dalyvavimas teismo posėdžiuose proceso įstatymų nustatyta tvarka gali būti užtikrinamas naudojant informacines ir elektroninių ryšių technologijas (per vaizdo konferencijas) teisingumo ministro nustatyta tvarka.“</w:t>
            </w:r>
            <w:r w:rsidRPr="00643893">
              <w:t>.</w:t>
            </w:r>
          </w:p>
          <w:p w14:paraId="19808DC7" w14:textId="77777777" w:rsidR="009D063D" w:rsidRPr="00643893" w:rsidRDefault="009D063D" w:rsidP="009D063D">
            <w:pPr>
              <w:tabs>
                <w:tab w:val="left" w:pos="7075"/>
              </w:tabs>
              <w:jc w:val="both"/>
            </w:pPr>
            <w:r w:rsidRPr="00643893">
              <w:t xml:space="preserve">Atkreiptinas dėmesys, kad nuotolinė teismo posėdžių forma yra išimtis iš bendrosios taisyklės, t. y. nagrinėjimo įprastai visiems proceso dalyviams dalyvaujant fiziškai teisme. Todėl, manytina, jog Teismų įstatymo pakeitimo projekte turėtų būti numatyta imperatyvi norma, kad teismas privalo pagrįstai įvertinti ar procesas naudojant informacines ir elektroninių ryšių technologijas yra galimas ir (ar) nepakenks proceso išsamumui, objektyvumui, nesusiaurins bylos viešumo principo, teisinės gynybos galimybių ir nepadarys žalos proceso dalyvių teisėtiems procesiniams interesams. Toks įvertinimas turėtų būti neatskiriamas ir nuo procese dalyvaujančių asmenų sutikimo bylą nagrinėti nuotoliniu būdu. Aiškiai nesureguliavus šių teisinių santykių, kyla grėsmė, kad galimai bus pažeistos asmeniui procese suteiktos garantijos, įskaitant asmens teisę į gynybą. </w:t>
            </w:r>
          </w:p>
          <w:p w14:paraId="73CBB7F3" w14:textId="77777777" w:rsidR="009D063D" w:rsidRPr="00643893" w:rsidRDefault="009D063D" w:rsidP="009D063D">
            <w:pPr>
              <w:tabs>
                <w:tab w:val="left" w:pos="7075"/>
              </w:tabs>
              <w:jc w:val="both"/>
            </w:pPr>
            <w:r w:rsidRPr="00643893">
              <w:t>Siūlytina, Teismų įstatymo pakeitimo projekte numatyti, kad nuotolinis bylos nagrinėjimo procesas gali būti pasitelkiamas tik visų proceso dalyvių sutikimu, kuris būtų aiškiai išreikštas ir užfiksuotas (procesiniame dokumente). Manytina, jog nuotolinis bylų nagrinėjimas neturėtų tapti įprasta teisminio proceso forma, o turėtų būti taikomas tik išimtiniais atvejais ar laikinai, kai siekiama apsaugoti žmonių sveikatą, pvz. šiuo karantino (pandemijos), nepaprastosios ar ekstremalios padėties laikotarpiu, kai dėl artimų fizinių kontaktų kiltų grėsmė proceso dalyvių sveikatai.</w:t>
            </w:r>
          </w:p>
          <w:p w14:paraId="695CE002" w14:textId="77777777" w:rsidR="009D063D" w:rsidRPr="00643893" w:rsidRDefault="009D063D" w:rsidP="009D063D">
            <w:pPr>
              <w:tabs>
                <w:tab w:val="left" w:pos="7075"/>
              </w:tabs>
              <w:jc w:val="both"/>
            </w:pPr>
            <w:r w:rsidRPr="00643893">
              <w:lastRenderedPageBreak/>
              <w:t xml:space="preserve">Tuo tarpu, nesutiktina su Nutarimo projekto 1.3. punktu, numatančiu, kad Teismų įstatymo 34 straipsnio 7 dalyje turi būti įtvirtinta galimybė naudoti ne tik vaizdo konferencijas, bet ir telekonferencijas. Pažymėtina, kad įtvirtinus tokią galimybę, kai teismo posėdžiuose galėtų būti naudojamos ir telekonferencijos, kiltų pagrįstų abejonių, ar visais (ir kokiais) atvejais bus reikalaujama, kad asmens atvaizdas būtų matomas naudojamoje elektroninėje ryšių priemonėje ir ar jis bus išsaugomas kaip bylos sudedamoji dalis. </w:t>
            </w:r>
          </w:p>
          <w:p w14:paraId="2B0A9AF3" w14:textId="77777777" w:rsidR="009D063D" w:rsidRPr="00643893" w:rsidRDefault="009D063D" w:rsidP="009D063D">
            <w:pPr>
              <w:tabs>
                <w:tab w:val="left" w:pos="7075"/>
              </w:tabs>
              <w:jc w:val="both"/>
            </w:pPr>
            <w:r w:rsidRPr="00643893">
              <w:t>Taip pat, siekiant teisės aktų sistemiškumo, Teismų įstatymo pakeitimo projekto nuostatos turėtų būti suderintos su nuo birželio 1 d. įsigaliojusiomis Lietuvos Respublikos baudžiamojo proceso kodekso 8</w:t>
            </w:r>
            <w:r w:rsidRPr="00643893">
              <w:rPr>
                <w:vertAlign w:val="superscript"/>
              </w:rPr>
              <w:t>1</w:t>
            </w:r>
            <w:r w:rsidRPr="00643893">
              <w:t>, 210, 263, 269 ir 277 straipsnių pakeitimo ir Kodekso papildymo 8</w:t>
            </w:r>
            <w:r w:rsidRPr="00643893">
              <w:rPr>
                <w:vertAlign w:val="superscript"/>
              </w:rPr>
              <w:t>2</w:t>
            </w:r>
            <w:r w:rsidRPr="00643893">
              <w:t xml:space="preserve"> straipsniu įstatymo (toliau – BPK pakeitimo ir papildymo įstatymas) nuostatomis, kurios numato nuotolinį ikiteisminio tyrimo veiksmų atlikimą ir baudžiamųjų bylų nagrinėjimą nuotoliniu būdu. Atkreiptinas dėmesys, kad BPK pakeitimo ir papildymo įstatymo 2 straipsnyje, kuriame numatytas Kodekso papildymas 8</w:t>
            </w:r>
            <w:r w:rsidRPr="00643893">
              <w:rPr>
                <w:vertAlign w:val="superscript"/>
              </w:rPr>
              <w:t>2</w:t>
            </w:r>
            <w:r w:rsidRPr="00643893">
              <w:t xml:space="preserve"> straipsniu, įtvirtinta: </w:t>
            </w:r>
            <w:r w:rsidRPr="00643893">
              <w:rPr>
                <w:i/>
                <w:iCs/>
              </w:rPr>
              <w:t xml:space="preserve">„2. Išimtiniais atvejais, kai neįmanoma užtikrinti bylų nagrinėjimo šiame Kodekse nustatyta įprasta tvarka, bylų nagrinėjimas ir proceso dalyvių, liudytojų, ekspertų, specialistų, vertėjų ir kitų dalyvaujančių byloje asmenų dalyvavimas teismo posėdžiuose, jei yra tam tinkamos techninės galimybės, gali būti užtikrinami naudojant informacines ir elektroninių ryšių technologijas (per vaizdo konferencijas), kai pagrįstai manoma, kad tokiu būdu byla bus išnagrinėta greičiau, tai netrukdys išsamiai ir objektyviai ištirti visas bylos aplinkybes ir bus užtikrintos proceso dalyvių teisės.“. </w:t>
            </w:r>
            <w:r w:rsidRPr="00643893">
              <w:t xml:space="preserve">T. y. BPK pakeitimo ir papildymo įstatyme nėra numatyta galimybė panaudoti telekonferencijas.  Taip pat,  BPK pakeitimo ir papildymo įstatyme aiškiai nustatyta, kad bylų nagrinėjimas naudojant informacines ir elektroninių ryšių technologijas yra pasitelkiamas </w:t>
            </w:r>
            <w:r w:rsidRPr="00643893">
              <w:rPr>
                <w:i/>
                <w:iCs/>
              </w:rPr>
              <w:t>išimtiniais</w:t>
            </w:r>
            <w:r w:rsidRPr="00643893">
              <w:t xml:space="preserve"> atvejais. </w:t>
            </w:r>
          </w:p>
          <w:p w14:paraId="50E7172C" w14:textId="77777777" w:rsidR="009D063D" w:rsidRPr="00643893" w:rsidRDefault="009D063D" w:rsidP="009D063D">
            <w:pPr>
              <w:tabs>
                <w:tab w:val="left" w:pos="7075"/>
              </w:tabs>
              <w:jc w:val="both"/>
            </w:pPr>
            <w:r w:rsidRPr="00643893">
              <w:t xml:space="preserve">Atkreiptinas dėmesys, kad nagrinėjant Teismų įstatymo pakeitimo projekto 5 straipsnio 3 dalyje numatytą Lietuvos Respublikos teismų įstatymo 34 straipsnio 7 dalies pakeitimą nėra aišku su kokia teisingumo ministro nustatyta tvarka turės būti suderintas bylų </w:t>
            </w:r>
            <w:r w:rsidRPr="00643893">
              <w:lastRenderedPageBreak/>
              <w:t>nagrinėjimas ir byloje dalyvaujančių asmenų bei kitų proceso dalyvių dalyvavimas teismo posėdžiuose. Jeigu tokia tvarka dar tik bus papildomai kuriama ateityje – ji turėtų būti suderinta su Teisėjų taryba ir Lietuvos advokatūra, kaip yra įtvirtinta BPK pakeitimo ir papildymo įstatymo 8</w:t>
            </w:r>
            <w:r w:rsidRPr="00643893">
              <w:rPr>
                <w:vertAlign w:val="superscript"/>
              </w:rPr>
              <w:t>1</w:t>
            </w:r>
            <w:r w:rsidRPr="00643893">
              <w:t xml:space="preserve"> straipsnyje.</w:t>
            </w:r>
          </w:p>
          <w:p w14:paraId="76B10D0E" w14:textId="637BB162" w:rsidR="000F07D7" w:rsidRPr="00643893" w:rsidRDefault="009D063D" w:rsidP="009D063D">
            <w:pPr>
              <w:tabs>
                <w:tab w:val="left" w:pos="7075"/>
              </w:tabs>
              <w:jc w:val="both"/>
            </w:pPr>
            <w:r w:rsidRPr="00643893">
              <w:t xml:space="preserve">Pažymėtina ir tai, jog Teismų įstatymo pakeitimo projekte turėtų būti numatytos papildomos nuostatos susijusios su naudojamų elektroninių ryšių priemonių / įrangos saugumo užtikrinimu. Kadangi, tik naudojantis saugiomis elektroninių ryšių priemonėmis / įranga gali būti užtikrintas konfidencialus byloje dalyvaujančio asmens bendravimas su advokatu ar kitu teisėtu atstovu, o taip pat ir asmens teisė į teisingą teismo procesą bei gynybą. </w:t>
            </w:r>
          </w:p>
        </w:tc>
        <w:tc>
          <w:tcPr>
            <w:tcW w:w="6521" w:type="dxa"/>
            <w:shd w:val="clear" w:color="auto" w:fill="auto"/>
          </w:tcPr>
          <w:p w14:paraId="3C5B7BDE" w14:textId="77777777" w:rsidR="00F964C6" w:rsidRPr="00643893" w:rsidRDefault="009D063D" w:rsidP="009708F0">
            <w:pPr>
              <w:pStyle w:val="gmail-msocommenttext"/>
              <w:spacing w:before="0" w:beforeAutospacing="0" w:after="0" w:afterAutospacing="0"/>
              <w:jc w:val="both"/>
              <w:rPr>
                <w:b/>
                <w:bCs/>
                <w:color w:val="000000"/>
              </w:rPr>
            </w:pPr>
            <w:r w:rsidRPr="00643893">
              <w:rPr>
                <w:b/>
                <w:bCs/>
                <w:color w:val="000000"/>
              </w:rPr>
              <w:lastRenderedPageBreak/>
              <w:t xml:space="preserve">Iš dalies </w:t>
            </w:r>
            <w:r w:rsidR="000F07D7" w:rsidRPr="00643893">
              <w:rPr>
                <w:b/>
                <w:bCs/>
                <w:color w:val="000000"/>
              </w:rPr>
              <w:t>atsižvelgta</w:t>
            </w:r>
          </w:p>
          <w:p w14:paraId="679AC9AC" w14:textId="3564B9D6" w:rsidR="009F5125" w:rsidRPr="00643893" w:rsidRDefault="00DD73C2" w:rsidP="009708F0">
            <w:pPr>
              <w:pStyle w:val="gmail-msocommenttext"/>
              <w:spacing w:before="0" w:beforeAutospacing="0" w:after="0" w:afterAutospacing="0"/>
              <w:jc w:val="both"/>
              <w:rPr>
                <w:b/>
                <w:bCs/>
                <w:color w:val="000000"/>
              </w:rPr>
            </w:pPr>
            <w:r w:rsidRPr="00643893">
              <w:rPr>
                <w:color w:val="000000"/>
              </w:rPr>
              <w:t>Nutarimo</w:t>
            </w:r>
            <w:r w:rsidR="009F5125" w:rsidRPr="00643893">
              <w:rPr>
                <w:color w:val="000000"/>
              </w:rPr>
              <w:t xml:space="preserve"> projekt</w:t>
            </w:r>
            <w:r w:rsidR="00A602AF" w:rsidRPr="00643893">
              <w:rPr>
                <w:color w:val="000000"/>
              </w:rPr>
              <w:t>u</w:t>
            </w:r>
            <w:r w:rsidR="009F5125" w:rsidRPr="00643893">
              <w:rPr>
                <w:color w:val="000000"/>
              </w:rPr>
              <w:t xml:space="preserve">, be kita ko, siūloma </w:t>
            </w:r>
            <w:r w:rsidR="009F5125" w:rsidRPr="00643893">
              <w:t xml:space="preserve">CPK pakeitimo projekte įtvirtinti analogišką nuostatą, kaip nustatyta ABTĮ pakeitimo projektu siūlomame </w:t>
            </w:r>
            <w:r w:rsidR="0057479E" w:rsidRPr="00643893">
              <w:t xml:space="preserve">Lietuvos Respublikos administracinių bylų teisenos įstatymo (toliau – </w:t>
            </w:r>
            <w:r w:rsidR="009F5125" w:rsidRPr="00643893">
              <w:t>ABTĮ</w:t>
            </w:r>
            <w:r w:rsidR="0057479E" w:rsidRPr="00643893">
              <w:t>)</w:t>
            </w:r>
            <w:r w:rsidR="009F5125" w:rsidRPr="00643893">
              <w:t xml:space="preserve"> 24 straipsnio 2 dalies 10 punkte, t. y. kad proceso dalyviai jau pirminiuose teismui pateikiamuose procesiniuose dokumentuose išreikštų savo pageidavimą ar sutikimą dėl bylos nagrinėjimo nuotoliniu būdu. Tokiu būdu teismui prireikus nebereikėtų papildomai aiškintis šių aplinkybių.</w:t>
            </w:r>
          </w:p>
          <w:p w14:paraId="477F0914" w14:textId="41B50E0D" w:rsidR="009F5125" w:rsidRPr="00643893" w:rsidRDefault="009F5125" w:rsidP="009F5125">
            <w:pPr>
              <w:jc w:val="both"/>
            </w:pPr>
            <w:r w:rsidRPr="00643893">
              <w:t>Be to, pažymėtina, kad pagal Vaizdo konferencijų ir telekonferencijų technologijų naudojimo nagrinėjant civilines ir administracines bylas tvarkos aprašo, patvirtinto teisingumo ministro 2012 m. gruodžio 7 d. įsakymu Nr. 1R-309</w:t>
            </w:r>
            <w:r w:rsidR="0024267B" w:rsidRPr="00643893">
              <w:t xml:space="preserve"> (toliau – Aprašas)</w:t>
            </w:r>
            <w:r w:rsidRPr="00643893">
              <w:t>, 7 punktą proceso dalyvių dalyvavimas teismo posėdyje ir liudytojo apklausa naudojant vaizdo konferencijų ir (ar) telekonferencijų technologijas gali būti organizuojami teismo iniciatyva, teismui įvertinus tikslingumą ir teismo galimybes organizuoti posėdį naudojant vaizdo konferencijų ir (ar) telekonferencijų technologijas, taip pat – proceso dalyvių galimybes dalyvauti teismo posėdyje naudojant vaizdo konferencijų ir (ar) telekonferencijų technologijas. Taigi tiek tais atvejais, kai šalys pačios pageidauja dalyvauti teismo posėdyje nuotoliniu būdu, tiek tais atvejais, kai toki</w:t>
            </w:r>
            <w:r w:rsidR="0024267B" w:rsidRPr="00643893">
              <w:t>a</w:t>
            </w:r>
            <w:r w:rsidRPr="00643893">
              <w:t xml:space="preserve"> iniciatyva kyla iš teismo, įvertinamos teismo bei proceso šalių galimybės bei tikslingumas organizuoti teismo posėdį nuotoliniu būdu.</w:t>
            </w:r>
          </w:p>
          <w:p w14:paraId="71435E14" w14:textId="228AE661" w:rsidR="009F5125" w:rsidRPr="00643893" w:rsidRDefault="009F5125" w:rsidP="009F5125">
            <w:pPr>
              <w:jc w:val="both"/>
            </w:pPr>
            <w:r w:rsidRPr="00643893">
              <w:t>Siūlymas nustatyti, kad su teismo posėdžio organizavimu nuotoliniu būdu turėtų sutikti visi proceso dalyviai, vertintinas kaip perteklinis suvaržymas, kuris trukdytų, pavyzdžiui, organizuoti posėdį mišriu būdu, vieniems dalyviams dalyvaujant jame fiziškai, o kitiems prisijungiant nuotoliniu būdu.</w:t>
            </w:r>
          </w:p>
          <w:p w14:paraId="45B4E4CA" w14:textId="23E93F2E" w:rsidR="009F5125" w:rsidRPr="00643893" w:rsidRDefault="009F5125" w:rsidP="009F5125">
            <w:pPr>
              <w:jc w:val="both"/>
            </w:pPr>
            <w:r w:rsidRPr="00643893">
              <w:lastRenderedPageBreak/>
              <w:t>Ne tik vaizdo, bet ir telekonferencijų naudojimą teismo procese numato tiek galiojantys procesiniai įstatymai, tiek ir Europos Sąjungos teisės aktai (pavyzdžiui, 2020 m. lapkričio 25 d. Europos Parlamento ir Tarybos reglamentas (ES) 2020/1783 dėl valstybių narių teismų bendradarbiavimo renkant įrodymus civilinėse ar komercinėse bylose (įrodymų rinkimas) (nauja redakcija)). Taigi laikytina, kad tokia galimybė ir toliau turi būti užtikrinta, juo labiau, kad nėra žinoma apie praktikoje kilusias esmines problemas dėl telekonferencijų naudojimo teismo procese.</w:t>
            </w:r>
          </w:p>
          <w:p w14:paraId="7C92A90E" w14:textId="1B709C43" w:rsidR="0024267B" w:rsidRPr="00643893" w:rsidRDefault="009F5125" w:rsidP="009F5125">
            <w:pPr>
              <w:jc w:val="both"/>
            </w:pPr>
            <w:r w:rsidRPr="00643893">
              <w:t xml:space="preserve">Manytina, kad Teismų įstatymo pakeitimo projektu siūloma Teismų įstatymo 34 straipsnio 7 dalies nuostata neturėtų būti suderinta su </w:t>
            </w:r>
            <w:r w:rsidR="00876BB5" w:rsidRPr="00643893">
              <w:t xml:space="preserve">Lietuvos Respublikos baudžiamojo proceso kodekso (toliau – </w:t>
            </w:r>
            <w:r w:rsidRPr="00643893">
              <w:t>BPK</w:t>
            </w:r>
            <w:r w:rsidR="00876BB5" w:rsidRPr="00643893">
              <w:t>)</w:t>
            </w:r>
            <w:r w:rsidRPr="00643893">
              <w:t xml:space="preserve"> 8</w:t>
            </w:r>
            <w:r w:rsidRPr="00643893">
              <w:rPr>
                <w:vertAlign w:val="superscript"/>
              </w:rPr>
              <w:t>2</w:t>
            </w:r>
            <w:r w:rsidRPr="00643893">
              <w:t xml:space="preserve"> straipsnio nuostata – aptariama Teismų įstatymo nuostata laikytina bendro pobūdžio nuostata, numatančia vaizdo konferencijų ir telekonferencijų naudojimo teismo procese galimybę. Tuo tarpu šių technologijų naudojimo kiekviename procese ypatumai numatomi procesiniuose įstatymuose, atsižvelgiant į atitinkamų procesų specifiką.</w:t>
            </w:r>
          </w:p>
          <w:p w14:paraId="27FBAA84" w14:textId="5AAD841B" w:rsidR="009F5125" w:rsidRPr="00643893" w:rsidRDefault="0024267B" w:rsidP="0024267B">
            <w:pPr>
              <w:jc w:val="both"/>
            </w:pPr>
            <w:r w:rsidRPr="00643893">
              <w:t>Įstatymų įgyvendinamieji teisės aktai, kuriuose detalizuojama vaizdo konferencijų ir telekonferencijų naudojimo teismo procese tvarka, yra šie: Aprašas ir Vaizdo konferencijų technologijų naudojimo nagrinėjant baudžiamąsias bylas tvarkos aprašas, patvirtintas teisingumo ministro 2021 m. gegužės 31 d. įsakymu Nr. 1R-183. Nurodyti teisės aktai yra priimti CPK, ABTĮ ir BPK atitinkamų nuostatų pagrindu.</w:t>
            </w:r>
          </w:p>
          <w:p w14:paraId="014EB751" w14:textId="77777777" w:rsidR="000F07D7" w:rsidRPr="00643893" w:rsidRDefault="000F07D7" w:rsidP="00265B2B">
            <w:pPr>
              <w:pStyle w:val="gmail-msocommenttext"/>
              <w:spacing w:before="0" w:beforeAutospacing="0" w:after="0" w:afterAutospacing="0"/>
              <w:jc w:val="both"/>
              <w:rPr>
                <w:b/>
                <w:bCs/>
                <w:color w:val="000000"/>
              </w:rPr>
            </w:pPr>
          </w:p>
        </w:tc>
      </w:tr>
      <w:tr w:rsidR="00471361" w:rsidRPr="00643893" w14:paraId="3325C0F0" w14:textId="77777777" w:rsidTr="007337DC">
        <w:trPr>
          <w:trHeight w:val="605"/>
        </w:trPr>
        <w:tc>
          <w:tcPr>
            <w:tcW w:w="2011" w:type="dxa"/>
            <w:shd w:val="clear" w:color="auto" w:fill="auto"/>
          </w:tcPr>
          <w:p w14:paraId="2FAD67C2" w14:textId="77777777" w:rsidR="00471361" w:rsidRPr="00643893" w:rsidRDefault="00471361" w:rsidP="007B73F8">
            <w:pPr>
              <w:jc w:val="both"/>
              <w:rPr>
                <w:color w:val="000000"/>
              </w:rPr>
            </w:pPr>
          </w:p>
        </w:tc>
        <w:tc>
          <w:tcPr>
            <w:tcW w:w="6804" w:type="dxa"/>
            <w:shd w:val="clear" w:color="auto" w:fill="auto"/>
          </w:tcPr>
          <w:p w14:paraId="6DBFEFC7" w14:textId="77777777" w:rsidR="00471361" w:rsidRPr="00643893" w:rsidRDefault="00471361" w:rsidP="000F0394">
            <w:pPr>
              <w:tabs>
                <w:tab w:val="left" w:pos="7075"/>
              </w:tabs>
              <w:jc w:val="both"/>
            </w:pPr>
            <w:r w:rsidRPr="00643893">
              <w:t xml:space="preserve">ABTĮ pakeitimo projekto 6 straipsniu įtvirtintas Lietuvos Respublikos administracinių bylų teisenos įstatymo (toliau – ABTĮ) 31 straipsnio pakeitimas, numatant, kad: </w:t>
            </w:r>
            <w:r w:rsidRPr="00643893">
              <w:rPr>
                <w:i/>
                <w:iCs/>
              </w:rPr>
              <w:t>„</w:t>
            </w:r>
            <w:r w:rsidRPr="00643893">
              <w:rPr>
                <w:i/>
                <w:iCs/>
                <w:color w:val="000000"/>
              </w:rPr>
              <w:t>Administracinė byla yra nagrinėjama arčiausiai pareiškėjo gyvenamosios (buveinės) vietos, jei ji yra Lietuvos Respublikos teritorijoje, esančiuose teismo rūmuose.</w:t>
            </w:r>
            <w:r w:rsidRPr="00643893">
              <w:rPr>
                <w:i/>
                <w:iCs/>
              </w:rPr>
              <w:t>“</w:t>
            </w:r>
            <w:r w:rsidRPr="00643893">
              <w:t xml:space="preserve">. Pažymėtina, jog sąvoka „arčiausiai“ nėra pakankamai aiški, t. y. – nėra detalizuojama, kokiu būdu bei kokiomis priemonėmis, bus nustatomas pareiškėjo gyvenamosios (buveinės) vietos atstumas iki atitinkamų teismo rūmų (pvz.: ar bus skaičiuojamas tiesės atstumas nuo pareiškėjo gyvenamosios vietos (buveinės) geografinio taško iki konkrečių teismo rūmų geografinio taško ar atstumas bus skaičiuojamas geografiniais keliais žemėlapyje ar dar kitais būdais). Be to, remiantis teisės vienodumo principu, konstatuotina, jog jokiuose teisės aktuose nėra numatyta tokia sąvoka, kad teismingumas ar kitoks priklausomumas nustatomas pagal „arčiausiai“ esantį teismą ar subjektą, kuris sprendžia ginčus. Todėl, manytina, kad siekiant išvengti skirtingų interpretacijų, ABTĮ pakeitimo projekte turėtų būti numatyta kaip bus apskaičiuojamas atstumas nuo pareiškėjo gyvenamosios vietos (buveinės) iki artimiausių teismo rūmų arba nuostata turėtų būti pakeista į naudojamą kituose teisiniuose santykiuose –  pvz. pagal turto buvimo vietą, pagal deklaruotą gyvenamąją vietą, pagal juridinio asmens buveinės vietą ir pan. </w:t>
            </w:r>
          </w:p>
          <w:p w14:paraId="775EA617" w14:textId="77777777" w:rsidR="00471361" w:rsidRPr="00643893" w:rsidRDefault="00471361" w:rsidP="000F0394">
            <w:pPr>
              <w:tabs>
                <w:tab w:val="left" w:pos="7075"/>
              </w:tabs>
              <w:jc w:val="both"/>
            </w:pPr>
            <w:r w:rsidRPr="00643893">
              <w:lastRenderedPageBreak/>
              <w:t>ABTĮ pakeitimo projekto 18 straipsniu numatyta pakeisti ABTĮ 77 straipsnio 3 dalį ir ją išdėstyti taip: „</w:t>
            </w:r>
            <w:r w:rsidRPr="00643893">
              <w:rPr>
                <w:i/>
                <w:iCs/>
              </w:rPr>
              <w:t>3. Proceso dalyvių neatvykimas į teismo posėdį ar neprisijungimas prie posėdžio, kai posėdis organizuojamas naudojant informacines ir elektroninių ryšių technologijas (per vaizdo konferencijas), jeigu jiems buvo apie teismo posėdį tinkamai pranešta, nėra kliūtis bylai nagrinėti ir sprendimui priimti.“</w:t>
            </w:r>
            <w:r w:rsidRPr="00643893">
              <w:t xml:space="preserve">. Atkreiptinas dėmesys ir į tai, kad proceso dalyvių dalyvavimas teismo posėdyje naudojant informacines ir elektroninių ryšių technologijas priklauso ne tik nuo pačių proceso dalyvių veiksmų (prisijungimo), bet ir nuo informacinių ir elektroninių ryšių technologijų veikimo / neveikimo / sutrikimų bei trečiųjų asmenų veiksmų / neveikimo. Todėl, asmens neprisijungimas prie posėdžio, apie kurį jam buvo tinkamai pranešta, nesant duomenų, kad asmuo atsisakė prisijungti, turi būti pripažintas esmine kliūtimi nagrinėti administracinę bylą ar priimti sprendimą. </w:t>
            </w:r>
          </w:p>
          <w:p w14:paraId="0516C9DA" w14:textId="77777777" w:rsidR="00471361" w:rsidRPr="00643893" w:rsidRDefault="00471361" w:rsidP="00EA40E1">
            <w:pPr>
              <w:tabs>
                <w:tab w:val="left" w:pos="7075"/>
              </w:tabs>
              <w:jc w:val="both"/>
            </w:pPr>
            <w:r w:rsidRPr="00643893">
              <w:t xml:space="preserve">Kaip jau minėta šiame rašte, atsižvelgiant į tai, kad nuotolinis bylų nagrinėjimas naudojant informacines ir elektroninių ryšių technologijas yra </w:t>
            </w:r>
            <w:r w:rsidRPr="00643893">
              <w:rPr>
                <w:i/>
                <w:iCs/>
              </w:rPr>
              <w:t>išimtis</w:t>
            </w:r>
            <w:r w:rsidRPr="00643893">
              <w:t xml:space="preserve"> iš bendrosios taisyklės, manytina, kad </w:t>
            </w:r>
            <w:r w:rsidRPr="00643893">
              <w:rPr>
                <w:rFonts w:eastAsia="MS Mincho"/>
              </w:rPr>
              <w:t>teismas turėtų pagrįstai įvertinti ar administracinis procesas naudojant informacines ir elektroninių ryšių technologijas yra galimas ir (ar) nepakenks proceso išsamumui, objektyvumui, nesusiaurins teisinės gynybos galimybių ir nepadarys žalos proceso dalyvių teisėtiems procesiniams interesams, gavus visų procese dalyvaujančių asmenų sutikimą.</w:t>
            </w:r>
            <w:r w:rsidRPr="00643893">
              <w:t xml:space="preserve"> </w:t>
            </w:r>
          </w:p>
          <w:p w14:paraId="2A724EC7" w14:textId="564A6FA9" w:rsidR="00471361" w:rsidRPr="00643893" w:rsidRDefault="00471361" w:rsidP="00471361">
            <w:pPr>
              <w:tabs>
                <w:tab w:val="left" w:pos="7075"/>
              </w:tabs>
              <w:jc w:val="both"/>
            </w:pPr>
            <w:r w:rsidRPr="00643893">
              <w:t xml:space="preserve">Pažymėtina ir tai, kad negali susidaryti tokia situacija, kai </w:t>
            </w:r>
            <w:r w:rsidRPr="00643893">
              <w:rPr>
                <w:rFonts w:eastAsia="MS Mincho"/>
              </w:rPr>
              <w:t xml:space="preserve">byla galėtų būti nagrinėjama ir sprendimas priimamas, jei yra žinoma, jog proceso dalyvis atsisakė prisijungti prie posėdžio be pateisinamų priežasčių. Tai reiškia, kad </w:t>
            </w:r>
            <w:r w:rsidRPr="00643893">
              <w:t>tokie atvejai, kai proceso dalyvis bandė prisijungti prie posėdžio, bet dėl informacinių technologijų žinių trūkumo, jam to padaryti nepavyko, arba, kai prisijungti prie posėdžio dalyviui nepavyko, nes sutriko interneto ryšio tiekimas, neveikė prisijungimui naudojama programa, ar buvo kitos technologinės kliūtis – negali būti pateisinama priežastimi tęsti bylos nagrinėjimą ir priimti sprendimą nedalyvaujant proceso dalyviui. Tai reiškia, kad bylos nagrinėjimo betarpiškumo principas negali būti pripažintas svarbesniu už proceso dalyvio teisę būti išklausytu byloje.</w:t>
            </w:r>
          </w:p>
        </w:tc>
        <w:tc>
          <w:tcPr>
            <w:tcW w:w="6521" w:type="dxa"/>
            <w:shd w:val="clear" w:color="auto" w:fill="auto"/>
          </w:tcPr>
          <w:p w14:paraId="5F4FE276" w14:textId="77777777" w:rsidR="00C1504A" w:rsidRPr="00643893" w:rsidRDefault="00C1504A" w:rsidP="00C1504A">
            <w:pPr>
              <w:pStyle w:val="gmail-msocommenttext"/>
              <w:spacing w:before="0" w:beforeAutospacing="0" w:after="0" w:afterAutospacing="0"/>
              <w:jc w:val="both"/>
              <w:rPr>
                <w:b/>
                <w:bCs/>
                <w:color w:val="000000"/>
              </w:rPr>
            </w:pPr>
            <w:r w:rsidRPr="00643893">
              <w:rPr>
                <w:b/>
                <w:bCs/>
                <w:color w:val="000000"/>
              </w:rPr>
              <w:lastRenderedPageBreak/>
              <w:t>Neatsižvelgta</w:t>
            </w:r>
          </w:p>
          <w:p w14:paraId="0E2C2816" w14:textId="0192EE8F" w:rsidR="00863C21" w:rsidRPr="00643893" w:rsidRDefault="006C5A4C" w:rsidP="000F0394">
            <w:pPr>
              <w:tabs>
                <w:tab w:val="left" w:pos="7075"/>
              </w:tabs>
              <w:jc w:val="both"/>
            </w:pPr>
            <w:r w:rsidRPr="00643893">
              <w:t>Klausimas, k</w:t>
            </w:r>
            <w:r w:rsidR="008A2D71" w:rsidRPr="00643893">
              <w:t>aip bus apskaičiuojamas atstumas nuo pareiškėjo gyvenamosios vietos (buveinės) iki artimiausių teismo rūm</w:t>
            </w:r>
            <w:r w:rsidRPr="00643893">
              <w:t xml:space="preserve">ų, nelaikytinas įstatymo reglamentavimo dalyku, o teismo darbo organizavimo klausimu, kuris, esant poreikiui, galėtų būti reglamentuotas </w:t>
            </w:r>
            <w:r w:rsidR="00A602AF" w:rsidRPr="00643893">
              <w:t>įstatymų įgyvendinamaisiais</w:t>
            </w:r>
            <w:r w:rsidRPr="00643893">
              <w:t xml:space="preserve"> teisės aktais, reglamentuojančiais darbo organizavimo tvarką. Įstatyme pakanka siūlomo įtvirtinti kriterijaus („</w:t>
            </w:r>
            <w:r w:rsidRPr="00643893">
              <w:rPr>
                <w:i/>
                <w:iCs/>
                <w:color w:val="000000"/>
              </w:rPr>
              <w:t xml:space="preserve">arčiausiai pareiškėjo gyvenamosios (buveinės) vietos“), </w:t>
            </w:r>
            <w:r w:rsidRPr="00643893">
              <w:t>kuris yra objektyvus ir atspindi siekį taikyti tokias teismingumo taisykles</w:t>
            </w:r>
            <w:r w:rsidR="00863C21" w:rsidRPr="00643893">
              <w:t xml:space="preserve"> administraciniame procese</w:t>
            </w:r>
            <w:r w:rsidRPr="00643893">
              <w:t>, kurios būtų palankios pareiškėjui</w:t>
            </w:r>
            <w:r w:rsidR="00863C21" w:rsidRPr="00643893">
              <w:t xml:space="preserve">. </w:t>
            </w:r>
          </w:p>
          <w:p w14:paraId="13645021" w14:textId="5BB548B5" w:rsidR="00863C21" w:rsidRPr="00643893" w:rsidRDefault="00863C21" w:rsidP="000F0394">
            <w:pPr>
              <w:tabs>
                <w:tab w:val="left" w:pos="7075"/>
              </w:tabs>
              <w:jc w:val="both"/>
              <w:rPr>
                <w:color w:val="000000"/>
                <w:shd w:val="clear" w:color="auto" w:fill="FFFFFF"/>
              </w:rPr>
            </w:pPr>
            <w:r w:rsidRPr="00643893">
              <w:t>Dėstomas alternatyvus pasiūlymas</w:t>
            </w:r>
            <w:r w:rsidR="00A82A86" w:rsidRPr="00643893">
              <w:t xml:space="preserve"> –</w:t>
            </w:r>
            <w:r w:rsidRPr="00643893">
              <w:t xml:space="preserve"> nuostatą </w:t>
            </w:r>
            <w:r w:rsidR="00A82A86" w:rsidRPr="00643893">
              <w:t>(„</w:t>
            </w:r>
            <w:r w:rsidR="00A82A86" w:rsidRPr="00643893">
              <w:rPr>
                <w:i/>
                <w:iCs/>
                <w:color w:val="000000"/>
              </w:rPr>
              <w:t>arčiausiai pareiškėjo gyvenamosios (buveinės) vietos“)</w:t>
            </w:r>
            <w:r w:rsidRPr="00643893">
              <w:t xml:space="preserve"> pakeist</w:t>
            </w:r>
            <w:r w:rsidR="00A82A86" w:rsidRPr="00643893">
              <w:t>i</w:t>
            </w:r>
            <w:r w:rsidRPr="00643893">
              <w:t xml:space="preserve"> į naudojamą kituose teisiniuose santykiuose</w:t>
            </w:r>
            <w:r w:rsidR="00A602AF" w:rsidRPr="00643893">
              <w:t>,</w:t>
            </w:r>
            <w:r w:rsidRPr="00643893">
              <w:t xml:space="preserve"> </w:t>
            </w:r>
            <w:r w:rsidR="002744F6" w:rsidRPr="00643893">
              <w:t>pavyzdžiui,</w:t>
            </w:r>
            <w:r w:rsidRPr="00643893">
              <w:t xml:space="preserve"> pagal turto buvimo vietą, pagal deklaruotą gyvenamąją vietą, pagal juridinio asmens buveinės vietą ir pan.</w:t>
            </w:r>
            <w:r w:rsidR="002744F6" w:rsidRPr="00643893">
              <w:t xml:space="preserve"> – </w:t>
            </w:r>
            <w:r w:rsidR="00A82A86" w:rsidRPr="00643893">
              <w:t xml:space="preserve">šiuo atveju būtų nepagrįstas ir praktiškai nepritaikomas, nes </w:t>
            </w:r>
            <w:r w:rsidR="00BB2C6D" w:rsidRPr="00643893">
              <w:t>Teismų įstatymo pakeitimo projektu keičiamoje Teismų įstatymo 12 straipsnio 7 dalyje siūloma atsisakyti apygardų administracinių teismų ir jų rūmų veiklos ter</w:t>
            </w:r>
            <w:r w:rsidR="00960E33" w:rsidRPr="00643893">
              <w:t>it</w:t>
            </w:r>
            <w:r w:rsidR="00BB2C6D" w:rsidRPr="00643893">
              <w:t xml:space="preserve">orijų </w:t>
            </w:r>
            <w:r w:rsidR="002744F6" w:rsidRPr="00643893">
              <w:t>(</w:t>
            </w:r>
            <w:r w:rsidR="00960E33" w:rsidRPr="00643893">
              <w:t xml:space="preserve">numatoma, kad </w:t>
            </w:r>
            <w:r w:rsidR="00A82A86" w:rsidRPr="00643893">
              <w:t>„</w:t>
            </w:r>
            <w:r w:rsidR="00A82A86" w:rsidRPr="00643893">
              <w:rPr>
                <w:color w:val="000000"/>
                <w:shd w:val="clear" w:color="auto" w:fill="FFFFFF"/>
              </w:rPr>
              <w:t>Lietuvos apygardos administracinis teismas veikia</w:t>
            </w:r>
            <w:r w:rsidR="000F0394" w:rsidRPr="00643893">
              <w:rPr>
                <w:color w:val="000000"/>
                <w:shd w:val="clear" w:color="auto" w:fill="FFFFFF"/>
              </w:rPr>
              <w:t xml:space="preserve"> </w:t>
            </w:r>
            <w:r w:rsidR="00A82A86" w:rsidRPr="00643893">
              <w:rPr>
                <w:color w:val="000000"/>
                <w:shd w:val="clear" w:color="auto" w:fill="FFFFFF"/>
              </w:rPr>
              <w:t>visoje Lietuvos Respublikos teritorijoje“</w:t>
            </w:r>
            <w:r w:rsidR="002744F6" w:rsidRPr="00643893">
              <w:rPr>
                <w:color w:val="000000"/>
                <w:shd w:val="clear" w:color="auto" w:fill="FFFFFF"/>
              </w:rPr>
              <w:t>)</w:t>
            </w:r>
            <w:r w:rsidR="0054174C" w:rsidRPr="00643893">
              <w:rPr>
                <w:color w:val="000000"/>
                <w:shd w:val="clear" w:color="auto" w:fill="FFFFFF"/>
              </w:rPr>
              <w:t>.</w:t>
            </w:r>
          </w:p>
          <w:p w14:paraId="6E7F32A1" w14:textId="11B3D047" w:rsidR="006A3D1B" w:rsidRPr="00643893" w:rsidRDefault="006A3D1B" w:rsidP="000F0394">
            <w:pPr>
              <w:tabs>
                <w:tab w:val="left" w:pos="7075"/>
              </w:tabs>
              <w:jc w:val="both"/>
              <w:rPr>
                <w:color w:val="000000"/>
                <w:shd w:val="clear" w:color="auto" w:fill="FFFFFF"/>
              </w:rPr>
            </w:pPr>
            <w:r w:rsidRPr="00643893">
              <w:rPr>
                <w:color w:val="000000"/>
                <w:shd w:val="clear" w:color="auto" w:fill="FFFFFF"/>
              </w:rPr>
              <w:t xml:space="preserve">Dėl ABTĮ pakeitimo projektu siūlomų reglamentuoti neprisijungimo prie </w:t>
            </w:r>
            <w:r w:rsidR="005F6EE7" w:rsidRPr="00643893">
              <w:rPr>
                <w:color w:val="000000"/>
                <w:shd w:val="clear" w:color="auto" w:fill="FFFFFF"/>
              </w:rPr>
              <w:t xml:space="preserve">teismo </w:t>
            </w:r>
            <w:r w:rsidRPr="00643893">
              <w:rPr>
                <w:color w:val="000000"/>
                <w:shd w:val="clear" w:color="auto" w:fill="FFFFFF"/>
              </w:rPr>
              <w:t>posėdžio pasekmių pažymėtina, kad būtų nepagrįsta tokiais atvejais atidėti bylos nagrinėjimą</w:t>
            </w:r>
            <w:r w:rsidR="009F6A44" w:rsidRPr="00643893">
              <w:rPr>
                <w:color w:val="000000"/>
                <w:shd w:val="clear" w:color="auto" w:fill="FFFFFF"/>
              </w:rPr>
              <w:t>, nes</w:t>
            </w:r>
            <w:r w:rsidRPr="00643893">
              <w:rPr>
                <w:color w:val="000000"/>
                <w:shd w:val="clear" w:color="auto" w:fill="FFFFFF"/>
              </w:rPr>
              <w:t xml:space="preserve"> tai </w:t>
            </w:r>
            <w:r w:rsidRPr="00643893">
              <w:rPr>
                <w:color w:val="000000"/>
                <w:shd w:val="clear" w:color="auto" w:fill="FFFFFF"/>
              </w:rPr>
              <w:lastRenderedPageBreak/>
              <w:t>sudarytų prielaidas piktnaudžiauti teismo procesu, vilkinti bylos nagrinėjimą. Taigi, neprisijungim</w:t>
            </w:r>
            <w:r w:rsidR="00762194" w:rsidRPr="00643893">
              <w:rPr>
                <w:color w:val="000000"/>
                <w:shd w:val="clear" w:color="auto" w:fill="FFFFFF"/>
              </w:rPr>
              <w:t>as</w:t>
            </w:r>
            <w:r w:rsidRPr="00643893">
              <w:rPr>
                <w:color w:val="000000"/>
                <w:shd w:val="clear" w:color="auto" w:fill="FFFFFF"/>
              </w:rPr>
              <w:t xml:space="preserve"> prie</w:t>
            </w:r>
            <w:r w:rsidR="00762194" w:rsidRPr="00643893">
              <w:rPr>
                <w:color w:val="000000"/>
                <w:shd w:val="clear" w:color="auto" w:fill="FFFFFF"/>
              </w:rPr>
              <w:t xml:space="preserve"> posėdžio, kai posėdis organizuojamas naudojant informacines ir elektroninių ryšių technologijas (per vaizdo konferencijas)</w:t>
            </w:r>
            <w:r w:rsidR="00CE6AF5" w:rsidRPr="00643893">
              <w:rPr>
                <w:color w:val="000000"/>
                <w:shd w:val="clear" w:color="auto" w:fill="FFFFFF"/>
              </w:rPr>
              <w:t>,</w:t>
            </w:r>
            <w:r w:rsidRPr="00643893">
              <w:rPr>
                <w:color w:val="000000"/>
                <w:shd w:val="clear" w:color="auto" w:fill="FFFFFF"/>
              </w:rPr>
              <w:t xml:space="preserve"> </w:t>
            </w:r>
            <w:r w:rsidR="00762194" w:rsidRPr="00643893">
              <w:rPr>
                <w:color w:val="000000"/>
                <w:shd w:val="clear" w:color="auto" w:fill="FFFFFF"/>
              </w:rPr>
              <w:t>ABTĮ pakeitimo projekte traktuojamas taip pat, kaip neatvykimas į teismo posėdį</w:t>
            </w:r>
            <w:r w:rsidR="005F6EE7" w:rsidRPr="00643893">
              <w:rPr>
                <w:color w:val="000000"/>
                <w:shd w:val="clear" w:color="auto" w:fill="FFFFFF"/>
              </w:rPr>
              <w:t>,</w:t>
            </w:r>
            <w:r w:rsidR="00762194" w:rsidRPr="00643893">
              <w:rPr>
                <w:color w:val="000000"/>
                <w:shd w:val="clear" w:color="auto" w:fill="FFFFFF"/>
              </w:rPr>
              <w:t xml:space="preserve"> ir abiem atvejais taikomos tokios pačios pasekmės – byla gali būti nagrinėjama toliau ir priimamas sprendimas. Atkreiptinas dėmesys, kad asmeniui fiziškai atvykti į posėdį</w:t>
            </w:r>
            <w:r w:rsidR="008B49A6" w:rsidRPr="00643893">
              <w:rPr>
                <w:color w:val="000000"/>
                <w:shd w:val="clear" w:color="auto" w:fill="FFFFFF"/>
              </w:rPr>
              <w:t>,</w:t>
            </w:r>
            <w:r w:rsidR="00762194" w:rsidRPr="00643893">
              <w:rPr>
                <w:color w:val="000000"/>
                <w:shd w:val="clear" w:color="auto" w:fill="FFFFFF"/>
              </w:rPr>
              <w:t xml:space="preserve"> taip pat </w:t>
            </w:r>
            <w:r w:rsidR="008B49A6" w:rsidRPr="00643893">
              <w:rPr>
                <w:color w:val="000000"/>
                <w:shd w:val="clear" w:color="auto" w:fill="FFFFFF"/>
              </w:rPr>
              <w:t xml:space="preserve">kaip ir jungimosi prie nuotolinio teismo posėdžio atveju, </w:t>
            </w:r>
            <w:r w:rsidR="00762194" w:rsidRPr="00643893">
              <w:rPr>
                <w:color w:val="000000"/>
                <w:shd w:val="clear" w:color="auto" w:fill="FFFFFF"/>
              </w:rPr>
              <w:t>gali sukliudyti nenumatytos aplinkybės (automobilio gedimas, gamtos stichijos)</w:t>
            </w:r>
            <w:r w:rsidR="008B49A6" w:rsidRPr="00643893">
              <w:rPr>
                <w:color w:val="000000"/>
                <w:shd w:val="clear" w:color="auto" w:fill="FFFFFF"/>
              </w:rPr>
              <w:t>. Tačiau pagal galiojantį teisinį reguliavimą tai nelaikoma pagrindu atidėti bylos nagrinėjimą.</w:t>
            </w:r>
          </w:p>
          <w:p w14:paraId="603E64EE" w14:textId="5D34BA66" w:rsidR="0054174C" w:rsidRPr="00643893" w:rsidRDefault="00FD4626" w:rsidP="00C6050A">
            <w:pPr>
              <w:tabs>
                <w:tab w:val="left" w:pos="7075"/>
              </w:tabs>
              <w:jc w:val="both"/>
            </w:pPr>
            <w:r w:rsidRPr="00643893">
              <w:rPr>
                <w:rFonts w:eastAsia="MS Mincho"/>
              </w:rPr>
              <w:t xml:space="preserve">Dėl galimybių organizuoti teismo posėdžius naudojant informacines ir elektroninių ryšių technologijas vertinimo </w:t>
            </w:r>
            <w:r w:rsidR="00762194" w:rsidRPr="00643893">
              <w:rPr>
                <w:rFonts w:eastAsia="MS Mincho"/>
              </w:rPr>
              <w:t>taip pat</w:t>
            </w:r>
            <w:r w:rsidRPr="00643893">
              <w:rPr>
                <w:rFonts w:eastAsia="MS Mincho"/>
              </w:rPr>
              <w:t xml:space="preserve"> žr. argumentus, išdėstytus dėl</w:t>
            </w:r>
            <w:r w:rsidR="002744F6" w:rsidRPr="00643893">
              <w:rPr>
                <w:rFonts w:eastAsia="MS Mincho"/>
              </w:rPr>
              <w:t xml:space="preserve"> Lietuvos advokatūros pastabos dėl</w:t>
            </w:r>
            <w:r w:rsidRPr="00643893">
              <w:rPr>
                <w:rFonts w:eastAsia="MS Mincho"/>
              </w:rPr>
              <w:t xml:space="preserve"> </w:t>
            </w:r>
            <w:r w:rsidRPr="00643893">
              <w:t>Teismų įstatymo pakeitimo projekto.</w:t>
            </w:r>
          </w:p>
          <w:p w14:paraId="7E44DED6" w14:textId="0A62ACED" w:rsidR="00863C21" w:rsidRPr="00643893" w:rsidRDefault="00863C21" w:rsidP="000F07D7">
            <w:pPr>
              <w:pStyle w:val="gmail-msocommenttext"/>
              <w:spacing w:before="0" w:beforeAutospacing="0" w:after="0" w:afterAutospacing="0"/>
              <w:jc w:val="both"/>
            </w:pPr>
          </w:p>
        </w:tc>
      </w:tr>
      <w:tr w:rsidR="000D615E" w:rsidRPr="00643893" w14:paraId="49809A3B" w14:textId="77777777" w:rsidTr="007337DC">
        <w:trPr>
          <w:trHeight w:val="605"/>
        </w:trPr>
        <w:tc>
          <w:tcPr>
            <w:tcW w:w="2011" w:type="dxa"/>
            <w:shd w:val="clear" w:color="auto" w:fill="auto"/>
          </w:tcPr>
          <w:p w14:paraId="2055DF2D" w14:textId="77777777" w:rsidR="000D615E" w:rsidRPr="00643893" w:rsidRDefault="000D615E" w:rsidP="007B73F8">
            <w:pPr>
              <w:jc w:val="both"/>
              <w:rPr>
                <w:color w:val="000000"/>
              </w:rPr>
            </w:pPr>
          </w:p>
        </w:tc>
        <w:tc>
          <w:tcPr>
            <w:tcW w:w="6804" w:type="dxa"/>
            <w:shd w:val="clear" w:color="auto" w:fill="auto"/>
          </w:tcPr>
          <w:p w14:paraId="195F969E" w14:textId="49DB0425" w:rsidR="000D615E" w:rsidRPr="00643893" w:rsidRDefault="009A3A21" w:rsidP="000F0394">
            <w:pPr>
              <w:tabs>
                <w:tab w:val="left" w:pos="7075"/>
              </w:tabs>
              <w:jc w:val="both"/>
            </w:pPr>
            <w:r w:rsidRPr="00643893">
              <w:t>Lietuvos advokatūra iš esmės pritaria Nutarimo 3.1. punkte išdėstytai pozicijai. Tačiau, Nutarime, taip pat, siūloma atkreipti dėmesį, kad tokiais išimtiniais atvejais, kai byla yra nagrinėjama pasitelkiant informacines ir elektroninių ryšių priemones –  ypatingas dėmesys turi būtų teikiamas proceso dalyvių sutikimui (nesutikimui)  su tokia bylos vykdymo tvarka. Todėl, siūlytina ANK 630 straipsnio 2 dalies, 661 straipsnio 5 dalies ir 662 straipsnio 10 dalis papildyti numatant, kad visais atvejais teismas privalo išklausyti proceso dalyvių nuomones – ar jie sutinka, kad byla būtų nagrinėjama naudojantis informacinėmis ir elektroninių ryšių technologijomis.</w:t>
            </w:r>
          </w:p>
        </w:tc>
        <w:tc>
          <w:tcPr>
            <w:tcW w:w="6521" w:type="dxa"/>
            <w:shd w:val="clear" w:color="auto" w:fill="auto"/>
          </w:tcPr>
          <w:p w14:paraId="65A9A72B" w14:textId="22FB23AF" w:rsidR="000D615E" w:rsidRPr="00643893" w:rsidRDefault="000D615E" w:rsidP="000D615E">
            <w:pPr>
              <w:jc w:val="both"/>
              <w:rPr>
                <w:b/>
              </w:rPr>
            </w:pPr>
            <w:r w:rsidRPr="00643893">
              <w:rPr>
                <w:b/>
              </w:rPr>
              <w:t>Iš dalies atsižvelgta</w:t>
            </w:r>
          </w:p>
          <w:p w14:paraId="0321FA01" w14:textId="30B63092" w:rsidR="000D615E" w:rsidRPr="00643893" w:rsidRDefault="000D615E" w:rsidP="000D615E">
            <w:pPr>
              <w:pStyle w:val="gmail-msocommenttext"/>
              <w:spacing w:before="0" w:beforeAutospacing="0" w:after="0" w:afterAutospacing="0"/>
              <w:jc w:val="both"/>
              <w:rPr>
                <w:b/>
                <w:bCs/>
                <w:color w:val="000000"/>
              </w:rPr>
            </w:pPr>
            <w:r w:rsidRPr="00643893">
              <w:t xml:space="preserve">Nutarimo projektas </w:t>
            </w:r>
            <w:r w:rsidR="007337DC" w:rsidRPr="00643893">
              <w:t>pagal</w:t>
            </w:r>
            <w:r w:rsidRPr="00643893">
              <w:t xml:space="preserve"> Teisėjų tarybos siūlymą </w:t>
            </w:r>
            <w:r w:rsidR="007337DC" w:rsidRPr="00643893">
              <w:t>papildytas šia nuostata</w:t>
            </w:r>
            <w:r w:rsidRPr="00643893">
              <w:t>: „Atsižvelgiant į ANK pakeitimo projekto rengėjų siekį plėsti nuotolinių teismo posėdžių galimybes, taip užtikrinant proceso operatyvumą, tikslinga papildyti ANK pakeitimo projektą ir ANK 624 straipsnio, reguliuojančio skundo dėl ne teismo tvarka priimto nutarimo administracinio nusižengimo byloje turinį ir formą, 2 dalyje įtvirtinti analogišką nuostatą, kaip nustatyta ABTĮ pakeitimo projektu siūlomame ABTĮ 24 straipsnio 2 dalies 10 punkte, t. y. kad proceso dalyviai jau pirminiuose teismui pateikiamuose procesiniuose dokumentuose išreikštų savo pageidavimą ar sutikimą dėl bylos nagrinėjimo nuotoliniu būdu. Tokiu būdu teismui prireikus nebereikėtų papildomai aiškintis šių aplinkybių.“</w:t>
            </w:r>
          </w:p>
        </w:tc>
      </w:tr>
      <w:tr w:rsidR="00484E25" w:rsidRPr="00643893" w14:paraId="6FDA94B5" w14:textId="77777777" w:rsidTr="007337DC">
        <w:trPr>
          <w:trHeight w:val="605"/>
        </w:trPr>
        <w:tc>
          <w:tcPr>
            <w:tcW w:w="2011" w:type="dxa"/>
            <w:shd w:val="clear" w:color="auto" w:fill="auto"/>
          </w:tcPr>
          <w:p w14:paraId="6C822B33" w14:textId="4934C1B5" w:rsidR="00484E25" w:rsidRPr="00643893" w:rsidRDefault="00484E25" w:rsidP="007B73F8">
            <w:pPr>
              <w:jc w:val="both"/>
              <w:rPr>
                <w:color w:val="000000"/>
              </w:rPr>
            </w:pPr>
            <w:r w:rsidRPr="00643893">
              <w:rPr>
                <w:color w:val="000000"/>
              </w:rPr>
              <w:t>Lietuvos Respublikos Prezidento kanceliarijos 2021 m. rugpjūčio 6 d. raštas Nr. 2D-4294</w:t>
            </w:r>
          </w:p>
        </w:tc>
        <w:tc>
          <w:tcPr>
            <w:tcW w:w="6804" w:type="dxa"/>
            <w:shd w:val="clear" w:color="auto" w:fill="auto"/>
          </w:tcPr>
          <w:p w14:paraId="6096DB2E" w14:textId="77777777" w:rsidR="00484E25" w:rsidRPr="00643893" w:rsidRDefault="00E8198E" w:rsidP="009F3100">
            <w:pPr>
              <w:jc w:val="both"/>
              <w:rPr>
                <w:rFonts w:eastAsiaTheme="minorHAnsi"/>
                <w:bCs/>
              </w:rPr>
            </w:pPr>
            <w:r w:rsidRPr="00643893">
              <w:t xml:space="preserve">Siūlome Nutarimo projektą taisyti, atsisakant šios (1.7 punkto) </w:t>
            </w:r>
            <w:r w:rsidRPr="00643893">
              <w:rPr>
                <w:rFonts w:eastAsiaTheme="minorHAnsi"/>
                <w:bCs/>
              </w:rPr>
              <w:t>pastabos dėl žemiau išvardintų argumentų:</w:t>
            </w:r>
          </w:p>
          <w:p w14:paraId="58C028E7" w14:textId="0BA800A7" w:rsidR="00E8198E" w:rsidRPr="00643893" w:rsidRDefault="00E8198E" w:rsidP="00CB7B6B">
            <w:pPr>
              <w:jc w:val="both"/>
              <w:rPr>
                <w:rFonts w:eastAsiaTheme="minorHAnsi"/>
                <w:bCs/>
              </w:rPr>
            </w:pPr>
            <w:r w:rsidRPr="00643893">
              <w:rPr>
                <w:rFonts w:eastAsiaTheme="minorHAnsi"/>
                <w:bCs/>
              </w:rPr>
              <w:t>Pažymėtina, kad į kandidatūrų į konkretaus teismo teisėjus sąrašą bus įtraukiami visi Atrankos komisijos įvertinti ir savo pageidavimą būti paskirti atitinkamo teismo (teismo rūmų) teisėjais išreiškę pretendentai. Kokia tvarka pretendentai išdėstyti tokiame sąraše teisinės reikšmės neturi, nes Respublikos Prezidentui renkantis kandidatus bus pateikiamas visas įvertintų pretendentų sąrašas</w:t>
            </w:r>
            <w:r w:rsidR="00FA7C34" w:rsidRPr="00643893">
              <w:rPr>
                <w:rFonts w:eastAsiaTheme="minorHAnsi"/>
                <w:bCs/>
              </w:rPr>
              <w:t xml:space="preserve">, kuriame nurodomas kiekvieno </w:t>
            </w:r>
            <w:r w:rsidR="000A17F7" w:rsidRPr="00643893">
              <w:rPr>
                <w:rFonts w:eastAsiaTheme="minorHAnsi"/>
                <w:bCs/>
              </w:rPr>
              <w:t>pretendento individualus Atrankos komisijos vertinimas.</w:t>
            </w:r>
            <w:r w:rsidR="006A2017" w:rsidRPr="00643893">
              <w:rPr>
                <w:rFonts w:eastAsiaTheme="minorHAnsi"/>
                <w:bCs/>
              </w:rPr>
              <w:t xml:space="preserve"> Įstatymo projektas nustato pagrindinius saugiklius ir principines nuostatas dėl sąrašo sudarymo.</w:t>
            </w:r>
            <w:r w:rsidR="00A731C0" w:rsidRPr="00643893">
              <w:rPr>
                <w:rFonts w:eastAsiaTheme="minorHAnsi"/>
                <w:bCs/>
              </w:rPr>
              <w:t xml:space="preserve"> Pažymėtina, kad įstatymo projekte</w:t>
            </w:r>
            <w:r w:rsidR="00B6769D" w:rsidRPr="00643893">
              <w:rPr>
                <w:rFonts w:eastAsiaTheme="minorHAnsi"/>
                <w:bCs/>
              </w:rPr>
              <w:t xml:space="preserve"> detalizuojama  vertinimų galiojimo trukmė, be to, projekte aiškiai įtvirtinama, kas ir iki kada į tokį sąrašą gali būti įrašyti: 55</w:t>
            </w:r>
            <w:r w:rsidR="00B6769D" w:rsidRPr="00643893">
              <w:rPr>
                <w:rFonts w:eastAsiaTheme="minorHAnsi"/>
                <w:bCs/>
                <w:vertAlign w:val="superscript"/>
              </w:rPr>
              <w:t>8</w:t>
            </w:r>
            <w:r w:rsidR="00B6769D" w:rsidRPr="00643893">
              <w:rPr>
                <w:rFonts w:eastAsiaTheme="minorHAnsi"/>
                <w:bCs/>
              </w:rPr>
              <w:t xml:space="preserve"> straipsn</w:t>
            </w:r>
            <w:r w:rsidR="007629BD" w:rsidRPr="00643893">
              <w:rPr>
                <w:rFonts w:eastAsiaTheme="minorHAnsi"/>
                <w:bCs/>
              </w:rPr>
              <w:t xml:space="preserve">io 3 dalis nustato, kad </w:t>
            </w:r>
            <w:r w:rsidR="009F3100" w:rsidRPr="00643893">
              <w:rPr>
                <w:rFonts w:eastAsiaTheme="minorHAnsi"/>
                <w:bCs/>
              </w:rPr>
              <w:t>Į kandidatūrų į konkretaus teismo teisėjus sąrašą įrašomi tik tie Atrankos komisijos įvertinti pretendentai, kurie iki Respublikos Prezidento kanceliarijos informacijos paskelbimo Nacionalinės teismų administracijos interneto svetainėje dienos buvo įrašyti į atitinkamos teismų pakopos ir jurisdikcijos įvertintų pretendentų į teisėjus sąrašą. Tokie pretendentai per 7 dienas nuo Respublikos Prezidento kanceliarijos informacijos paskelbimo Nacionalinės teismų administracijos interneto svetainėje dienos turi teisę pateikti prašymą:</w:t>
            </w:r>
            <w:r w:rsidR="004051EE" w:rsidRPr="00643893">
              <w:rPr>
                <w:rFonts w:eastAsiaTheme="minorHAnsi"/>
                <w:bCs/>
              </w:rPr>
              <w:t xml:space="preserve"> </w:t>
            </w:r>
            <w:r w:rsidR="009F3100" w:rsidRPr="00643893">
              <w:rPr>
                <w:rFonts w:eastAsiaTheme="minorHAnsi"/>
                <w:bCs/>
              </w:rPr>
              <w:t xml:space="preserve">1) atsisakyti </w:t>
            </w:r>
            <w:r w:rsidR="009F3100" w:rsidRPr="00643893">
              <w:rPr>
                <w:rFonts w:eastAsiaTheme="minorHAnsi"/>
                <w:bCs/>
              </w:rPr>
              <w:lastRenderedPageBreak/>
              <w:t>dalyvauti vykdant kandidatūrų į konkretaus teismo teisėjus pasirinkimą;</w:t>
            </w:r>
            <w:r w:rsidR="00CB7B6B" w:rsidRPr="00643893">
              <w:rPr>
                <w:rFonts w:eastAsiaTheme="minorHAnsi"/>
                <w:bCs/>
              </w:rPr>
              <w:t xml:space="preserve"> </w:t>
            </w:r>
            <w:r w:rsidR="009F3100" w:rsidRPr="00643893">
              <w:rPr>
                <w:rFonts w:eastAsiaTheme="minorHAnsi"/>
                <w:bCs/>
              </w:rPr>
              <w:t>2) papildyti šio Įstatymo 55</w:t>
            </w:r>
            <w:r w:rsidR="009F3100" w:rsidRPr="00643893">
              <w:rPr>
                <w:rFonts w:eastAsiaTheme="minorHAnsi"/>
                <w:bCs/>
                <w:vertAlign w:val="superscript"/>
              </w:rPr>
              <w:t>1</w:t>
            </w:r>
            <w:r w:rsidR="009F3100" w:rsidRPr="00643893">
              <w:rPr>
                <w:rFonts w:eastAsiaTheme="minorHAnsi"/>
                <w:bCs/>
              </w:rPr>
              <w:t> straipsnio 2 dalyje numatytą pretendento prioritetų sąrašą papildomai nurodant konkretų teismą, į kurio teisėjus vykdomas kandidatūrų pasirinkimas.</w:t>
            </w:r>
            <w:r w:rsidR="00FC30CB" w:rsidRPr="00643893">
              <w:rPr>
                <w:rFonts w:eastAsiaTheme="minorHAnsi"/>
                <w:bCs/>
              </w:rPr>
              <w:t xml:space="preserve"> Priešingai negu teigiama pastaboje, </w:t>
            </w:r>
            <w:r w:rsidR="00FC30CB" w:rsidRPr="00643893">
              <w:rPr>
                <w:bCs/>
              </w:rPr>
              <w:t xml:space="preserve">kelių atrankų rezultatų derinti nereikės, nes nebus kelių atrankų, t. y. pagal siūlomą naują atrankos modelį, nuolatos vyks vienas tęstinis individualus pretendentų vertinimas, atliekamas </w:t>
            </w:r>
            <w:r w:rsidR="00FC30CB" w:rsidRPr="00643893">
              <w:rPr>
                <w:rFonts w:eastAsiaTheme="minorHAnsi"/>
                <w:bCs/>
              </w:rPr>
              <w:t>Atrankos komisijos, kurio rezultatais bus nuolat pildomas ir atnaujinamas įvertintų pretendentų sąrašas.</w:t>
            </w:r>
          </w:p>
        </w:tc>
        <w:tc>
          <w:tcPr>
            <w:tcW w:w="6521" w:type="dxa"/>
            <w:shd w:val="clear" w:color="auto" w:fill="auto"/>
          </w:tcPr>
          <w:p w14:paraId="6577E0A9" w14:textId="1794B7FC" w:rsidR="00ED6A1F" w:rsidRPr="00643893" w:rsidRDefault="00ED6A1F" w:rsidP="00ED6A1F">
            <w:pPr>
              <w:jc w:val="both"/>
              <w:rPr>
                <w:b/>
              </w:rPr>
            </w:pPr>
            <w:r w:rsidRPr="00643893">
              <w:rPr>
                <w:b/>
              </w:rPr>
              <w:lastRenderedPageBreak/>
              <w:t>Iš dalies atsižvelgta</w:t>
            </w:r>
          </w:p>
          <w:p w14:paraId="715C0D13" w14:textId="7C0BC116" w:rsidR="00740D0F" w:rsidRPr="00643893" w:rsidRDefault="00740D0F" w:rsidP="00ED6A1F">
            <w:pPr>
              <w:jc w:val="both"/>
              <w:rPr>
                <w:bCs/>
              </w:rPr>
            </w:pPr>
            <w:r w:rsidRPr="00643893">
              <w:rPr>
                <w:bCs/>
              </w:rPr>
              <w:t xml:space="preserve">Atsisakyta </w:t>
            </w:r>
            <w:r w:rsidR="00DD73C2" w:rsidRPr="00643893">
              <w:rPr>
                <w:bCs/>
              </w:rPr>
              <w:t xml:space="preserve">Nutarimo </w:t>
            </w:r>
            <w:r w:rsidRPr="00643893">
              <w:rPr>
                <w:bCs/>
              </w:rPr>
              <w:t xml:space="preserve">projekte buvusio pasiūlymo reglamentuoti, kad </w:t>
            </w:r>
            <w:r w:rsidRPr="00643893">
              <w:rPr>
                <w:rFonts w:eastAsiaTheme="minorHAnsi"/>
                <w:bCs/>
              </w:rPr>
              <w:t>kandidatūrų į konkretaus teismo teisėjus sąrašas sudaromas, atsižvelgiant į pretendentų į teisėjus vertinimo Atrankos komisijoje rezultatus, taip pat atsisakyta</w:t>
            </w:r>
            <w:r w:rsidRPr="00643893">
              <w:rPr>
                <w:bCs/>
              </w:rPr>
              <w:t xml:space="preserve"> pastabos dėl kelių atrankų rezultatų </w:t>
            </w:r>
            <w:r w:rsidR="000D41AF" w:rsidRPr="00643893">
              <w:rPr>
                <w:bCs/>
              </w:rPr>
              <w:t>su</w:t>
            </w:r>
            <w:r w:rsidRPr="00643893">
              <w:rPr>
                <w:bCs/>
              </w:rPr>
              <w:t>derinimo.</w:t>
            </w:r>
          </w:p>
          <w:p w14:paraId="1D2C6C8C" w14:textId="4EAD85B8" w:rsidR="005F34B3" w:rsidRPr="00643893" w:rsidRDefault="005F34B3" w:rsidP="005F34B3">
            <w:pPr>
              <w:tabs>
                <w:tab w:val="left" w:pos="1276"/>
              </w:tabs>
              <w:jc w:val="both"/>
              <w:rPr>
                <w:lang w:eastAsia="en-US"/>
              </w:rPr>
            </w:pPr>
            <w:r w:rsidRPr="00643893">
              <w:t>A</w:t>
            </w:r>
            <w:r w:rsidR="000D41AF" w:rsidRPr="00643893">
              <w:t xml:space="preserve">tsižvelgiant į </w:t>
            </w:r>
            <w:r w:rsidR="000D41AF" w:rsidRPr="00643893">
              <w:rPr>
                <w:color w:val="000000"/>
              </w:rPr>
              <w:t>Respublikos Prezidento kanceliarijos</w:t>
            </w:r>
            <w:r w:rsidR="000D41AF" w:rsidRPr="00643893">
              <w:t xml:space="preserve"> pastaboje išdėstytus argumentus</w:t>
            </w:r>
            <w:r w:rsidR="00ED6A1F" w:rsidRPr="00643893">
              <w:t xml:space="preserve">, </w:t>
            </w:r>
            <w:r w:rsidRPr="00643893">
              <w:t>taip pat į Teisėjų tarybos pastabą dėl atitinkamos Nutarimo projekto nuostatos</w:t>
            </w:r>
            <w:r w:rsidR="00E14E7E" w:rsidRPr="00643893">
              <w:t>,</w:t>
            </w:r>
            <w:r w:rsidR="00740D0F" w:rsidRPr="00643893">
              <w:t xml:space="preserve"> </w:t>
            </w:r>
            <w:r w:rsidRPr="00643893">
              <w:rPr>
                <w:lang w:eastAsia="en-US"/>
              </w:rPr>
              <w:t>Nutarimo projekte išdėstytas pasiūlymas Teismų įstatymo 55</w:t>
            </w:r>
            <w:r w:rsidRPr="00643893">
              <w:rPr>
                <w:vertAlign w:val="superscript"/>
                <w:lang w:eastAsia="en-US"/>
              </w:rPr>
              <w:t>8</w:t>
            </w:r>
            <w:r w:rsidRPr="00643893">
              <w:rPr>
                <w:lang w:eastAsia="en-US"/>
              </w:rPr>
              <w:t xml:space="preserve"> straipsnyje ir 55</w:t>
            </w:r>
            <w:r w:rsidRPr="00643893">
              <w:rPr>
                <w:vertAlign w:val="superscript"/>
                <w:lang w:eastAsia="en-US"/>
              </w:rPr>
              <w:t>3</w:t>
            </w:r>
            <w:r w:rsidRPr="00643893">
              <w:rPr>
                <w:lang w:eastAsia="en-US"/>
              </w:rPr>
              <w:t xml:space="preserve"> straipsnyje nustatyti, kad tiek nuolat atnaujinamuose pretendentų į teisėjus sąrašuose, sudaromuose </w:t>
            </w:r>
            <w:r w:rsidR="00CD2F8D" w:rsidRPr="00643893">
              <w:rPr>
                <w:rFonts w:eastAsiaTheme="minorHAnsi"/>
              </w:rPr>
              <w:t>pagal atitinkamą teismų pakopą ir jurisdikciją</w:t>
            </w:r>
            <w:r w:rsidRPr="00643893">
              <w:rPr>
                <w:lang w:eastAsia="en-US"/>
              </w:rPr>
              <w:t>, tiek ir kandidatūrų į konkretaus teismo teisėjus sąrašuose nurodomi pretendentų į teisėjus vertinimo Atrankos komisijoje rezultatai, kadangi šie sąrašai yra sudaromi jau įvykus atrankos procedūroms.</w:t>
            </w:r>
          </w:p>
          <w:p w14:paraId="5EEE1CFA" w14:textId="4C4D07A2" w:rsidR="00484E25" w:rsidRPr="00643893" w:rsidRDefault="00484E25" w:rsidP="000D41AF">
            <w:pPr>
              <w:jc w:val="both"/>
              <w:rPr>
                <w:rFonts w:eastAsiaTheme="minorHAnsi"/>
              </w:rPr>
            </w:pPr>
          </w:p>
        </w:tc>
      </w:tr>
      <w:tr w:rsidR="005F34B3" w:rsidRPr="008D4FB0" w14:paraId="2671C7EA" w14:textId="77777777" w:rsidTr="007337DC">
        <w:trPr>
          <w:trHeight w:val="605"/>
        </w:trPr>
        <w:tc>
          <w:tcPr>
            <w:tcW w:w="2011" w:type="dxa"/>
            <w:shd w:val="clear" w:color="auto" w:fill="auto"/>
          </w:tcPr>
          <w:p w14:paraId="0CD9214D" w14:textId="77777777" w:rsidR="005F34B3" w:rsidRPr="00643893" w:rsidRDefault="005F34B3" w:rsidP="007B73F8">
            <w:pPr>
              <w:jc w:val="both"/>
              <w:rPr>
                <w:color w:val="000000"/>
              </w:rPr>
            </w:pPr>
          </w:p>
        </w:tc>
        <w:tc>
          <w:tcPr>
            <w:tcW w:w="6804" w:type="dxa"/>
            <w:shd w:val="clear" w:color="auto" w:fill="auto"/>
          </w:tcPr>
          <w:p w14:paraId="410C7930" w14:textId="3DDAC5C9" w:rsidR="00154F4E" w:rsidRPr="00643893" w:rsidRDefault="00154F4E" w:rsidP="00154F4E">
            <w:pPr>
              <w:jc w:val="both"/>
              <w:rPr>
                <w:rFonts w:eastAsiaTheme="minorHAnsi"/>
                <w:bCs/>
              </w:rPr>
            </w:pPr>
            <w:r w:rsidRPr="00643893">
              <w:t xml:space="preserve">Siūlome Nutarimo projektą taisyti, atsisakant šios (1.14 punkto) </w:t>
            </w:r>
            <w:r w:rsidRPr="00643893">
              <w:rPr>
                <w:rFonts w:eastAsiaTheme="minorHAnsi"/>
                <w:bCs/>
              </w:rPr>
              <w:t>pastabos dėl žemiau išvardintų argumentų:</w:t>
            </w:r>
          </w:p>
          <w:p w14:paraId="24F5A81C" w14:textId="13BAAE05" w:rsidR="00154F4E" w:rsidRPr="00643893" w:rsidRDefault="00154F4E" w:rsidP="009F3100">
            <w:pPr>
              <w:jc w:val="both"/>
            </w:pPr>
            <w:r w:rsidRPr="00643893">
              <w:t>Argumentas, kad apylinkių teismų teisėjams bus apsunkintos karjeros galimybės nėra pagrįstas. Teismų sistema yra pakankamai uždara, o pastaruoju metu susirūpinimą kelia ir vyraujanti tendencija – mažėja asmenų, norinčių tapti teisėjais, skaičius. Todėl būtina ieškoti būdų sistemai atverti, pritraukiant reikšmingą patirtį turinčius teisininkus. Siūlomas keitimas vertintinas ne kaip galimybių apsunkinimas, o priešingai – sąlygų konkurencijai sudarymas, siekiant pritraukti kuo stipresnius kandidatus į teisėjus. &lt;...&gt;</w:t>
            </w:r>
          </w:p>
          <w:p w14:paraId="56A850D1" w14:textId="77777777" w:rsidR="00154F4E" w:rsidRPr="00643893" w:rsidRDefault="00154F4E" w:rsidP="009F3100">
            <w:pPr>
              <w:jc w:val="both"/>
            </w:pPr>
            <w:r w:rsidRPr="00643893">
              <w:t>Atkreiptinas dėmesys ir į tai, kad šiuo metu galiojantis reguliavimas įtvirtina galimybę mokslininkams atitinkantiems įstatymo keliamus reikalavimus pretenduoti ne tik į apylinkės teismą, bet ir į aukštesnės grandies teismus (Teismų įstatymo 66, 67, 68 straipsniai). Tuo tarpu, įstatymo projekte aptariami pretendentai galės pretenduoti ne į aukštesnės, bet tik į pirmos pakopos specializuotą teismą.</w:t>
            </w:r>
          </w:p>
          <w:p w14:paraId="00DF2FAA" w14:textId="36C9252A" w:rsidR="00154F4E" w:rsidRPr="00643893" w:rsidRDefault="00154F4E" w:rsidP="009F3100">
            <w:pPr>
              <w:jc w:val="both"/>
            </w:pPr>
            <w:r w:rsidRPr="00643893">
              <w:t xml:space="preserve">Taigi, įstatymo pakeitimu siūlomas reguliavimas tik praplečia galimybes asmenims, turintiems reikšmingos administracinės teisės taikymo patirties pretenduoti į apygardos administracinio teismo teisėjo vietą, nesudarant išimtinių privilegijų, nes toks asmuo turės išlaikyti egzaminą į teisėjus ir būti vertinamas atrankos komisijos bendra tvarka. </w:t>
            </w:r>
          </w:p>
        </w:tc>
        <w:tc>
          <w:tcPr>
            <w:tcW w:w="6521" w:type="dxa"/>
            <w:shd w:val="clear" w:color="auto" w:fill="auto"/>
          </w:tcPr>
          <w:p w14:paraId="4A00AA7C" w14:textId="3FE62289" w:rsidR="000930DC" w:rsidRPr="00643893" w:rsidRDefault="00AC32A6" w:rsidP="00ED6A1F">
            <w:pPr>
              <w:jc w:val="both"/>
              <w:rPr>
                <w:b/>
                <w:bCs/>
              </w:rPr>
            </w:pPr>
            <w:r w:rsidRPr="00643893">
              <w:rPr>
                <w:b/>
                <w:bCs/>
              </w:rPr>
              <w:t xml:space="preserve">Iš dalies </w:t>
            </w:r>
            <w:r w:rsidR="000930DC" w:rsidRPr="00643893">
              <w:rPr>
                <w:b/>
                <w:bCs/>
              </w:rPr>
              <w:t>atsižvelgta</w:t>
            </w:r>
          </w:p>
          <w:p w14:paraId="0D343213" w14:textId="04F49888" w:rsidR="005F34B3" w:rsidRPr="00EA774C" w:rsidRDefault="00AC32A6" w:rsidP="00ED6A1F">
            <w:pPr>
              <w:jc w:val="both"/>
              <w:rPr>
                <w:b/>
              </w:rPr>
            </w:pPr>
            <w:r w:rsidRPr="00643893">
              <w:t>Nutarimo projekto nuostatoje atsisakyta argumento dėl teisėjų karjeros galimybių apsunkinimo. Visgi m</w:t>
            </w:r>
            <w:r w:rsidR="000930DC" w:rsidRPr="00643893">
              <w:t>anytina, kad 10 metų teisinio darbo stažą viešojo administravimo srityje gali turėti neapibrėžtai platus asmenų ratas, o jų įgyta dalykinė patirtis nebūtinai naudinga teisėjo darbui. Šie asmenys iškart galėtų pretenduoti tapti apygardos administracinio teismo teisėjais (</w:t>
            </w:r>
            <w:r w:rsidR="00EA774C" w:rsidRPr="00643893">
              <w:t>aplenkdami</w:t>
            </w:r>
            <w:r w:rsidR="000930DC" w:rsidRPr="00643893">
              <w:t xml:space="preserve"> apylinkės teismo grandį). Todėl kompromiso dėlei siūlytina apsiriboti kitomis </w:t>
            </w:r>
            <w:r w:rsidR="00EA774C" w:rsidRPr="00643893">
              <w:t xml:space="preserve">Teismų įstatymo pakeitimo </w:t>
            </w:r>
            <w:r w:rsidR="000930DC" w:rsidRPr="00643893">
              <w:t>projekte išvardytomis pareigybėmis, kurios didžiąja dalimi yra susijusios ir su patirtimi nagrinėjant ginčus: kadenciją baigę Seimo kontrolieriai, Lietuvos administracinių ginčų komisijos, Vyriausiosios tarnybinės etikos komisijos, Vyriausiosios rinkimų komisijos, Valstybinės energetikos reguliavimo tarybos, Mokestinių ginčų komisijos, Konkurencijos tarybos pirmininkai, jų pavaduotojai ir nariai.</w:t>
            </w:r>
          </w:p>
        </w:tc>
      </w:tr>
    </w:tbl>
    <w:p w14:paraId="421B23FB" w14:textId="77777777" w:rsidR="007146D7" w:rsidRPr="00CC6B48" w:rsidRDefault="007146D7" w:rsidP="002C742D">
      <w:pPr>
        <w:rPr>
          <w:b/>
          <w:iCs/>
        </w:rPr>
      </w:pPr>
    </w:p>
    <w:sectPr w:rsidR="007146D7" w:rsidRPr="00CC6B48" w:rsidSect="00822BA3">
      <w:headerReference w:type="default" r:id="rId8"/>
      <w:pgSz w:w="16838" w:h="11906" w:orient="landscape"/>
      <w:pgMar w:top="85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49D0F" w14:textId="77777777" w:rsidR="00F534F0" w:rsidRDefault="00F534F0" w:rsidP="002E4284">
      <w:r>
        <w:separator/>
      </w:r>
    </w:p>
  </w:endnote>
  <w:endnote w:type="continuationSeparator" w:id="0">
    <w:p w14:paraId="26D75628" w14:textId="77777777" w:rsidR="00F534F0" w:rsidRDefault="00F534F0" w:rsidP="002E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1B8AD" w14:textId="77777777" w:rsidR="00F534F0" w:rsidRDefault="00F534F0" w:rsidP="002E4284">
      <w:r>
        <w:separator/>
      </w:r>
    </w:p>
  </w:footnote>
  <w:footnote w:type="continuationSeparator" w:id="0">
    <w:p w14:paraId="06062586" w14:textId="77777777" w:rsidR="00F534F0" w:rsidRDefault="00F534F0" w:rsidP="002E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120618"/>
      <w:docPartObj>
        <w:docPartGallery w:val="Page Numbers (Top of Page)"/>
        <w:docPartUnique/>
      </w:docPartObj>
    </w:sdtPr>
    <w:sdtEndPr/>
    <w:sdtContent>
      <w:p w14:paraId="79617938" w14:textId="77777777" w:rsidR="00221AE5" w:rsidRDefault="006E7B98">
        <w:pPr>
          <w:pStyle w:val="Header"/>
          <w:jc w:val="center"/>
        </w:pPr>
        <w:r>
          <w:fldChar w:fldCharType="begin"/>
        </w:r>
        <w:r w:rsidR="00221AE5">
          <w:instrText>PAGE   \* MERGEFORMAT</w:instrText>
        </w:r>
        <w:r>
          <w:fldChar w:fldCharType="separate"/>
        </w:r>
        <w:r w:rsidR="003F40FA">
          <w:rPr>
            <w:noProof/>
          </w:rPr>
          <w:t>2</w:t>
        </w:r>
        <w:r>
          <w:rPr>
            <w:noProof/>
          </w:rPr>
          <w:fldChar w:fldCharType="end"/>
        </w:r>
      </w:p>
    </w:sdtContent>
  </w:sdt>
  <w:p w14:paraId="2B745799" w14:textId="77777777" w:rsidR="00221AE5" w:rsidRDefault="0022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19E2"/>
    <w:multiLevelType w:val="hybridMultilevel"/>
    <w:tmpl w:val="A3CEB89E"/>
    <w:lvl w:ilvl="0" w:tplc="98A6A1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BD6487F"/>
    <w:multiLevelType w:val="hybridMultilevel"/>
    <w:tmpl w:val="B4E2F11A"/>
    <w:lvl w:ilvl="0" w:tplc="9956EDC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0D896F1D"/>
    <w:multiLevelType w:val="hybridMultilevel"/>
    <w:tmpl w:val="B4E2F11A"/>
    <w:lvl w:ilvl="0" w:tplc="9956EDC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105B286A"/>
    <w:multiLevelType w:val="hybridMultilevel"/>
    <w:tmpl w:val="B860EBC4"/>
    <w:lvl w:ilvl="0" w:tplc="A4F249E8">
      <w:start w:val="6"/>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4" w15:restartNumberingAfterBreak="0">
    <w:nsid w:val="1851066E"/>
    <w:multiLevelType w:val="hybridMultilevel"/>
    <w:tmpl w:val="8EA83CD2"/>
    <w:lvl w:ilvl="0" w:tplc="7DCEE916">
      <w:start w:val="1"/>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1BC75155"/>
    <w:multiLevelType w:val="hybridMultilevel"/>
    <w:tmpl w:val="98D0C788"/>
    <w:lvl w:ilvl="0" w:tplc="848C5C9E">
      <w:start w:val="1"/>
      <w:numFmt w:val="decimal"/>
      <w:suff w:val="space"/>
      <w:lvlText w:val="%1."/>
      <w:lvlJc w:val="left"/>
      <w:pPr>
        <w:ind w:left="1121" w:hanging="360"/>
      </w:pPr>
      <w:rPr>
        <w:rFonts w:hint="default"/>
        <w:i w:val="0"/>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6" w15:restartNumberingAfterBreak="0">
    <w:nsid w:val="1EA26BCC"/>
    <w:multiLevelType w:val="hybridMultilevel"/>
    <w:tmpl w:val="92264A4A"/>
    <w:lvl w:ilvl="0" w:tplc="D3DAD96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EA43864"/>
    <w:multiLevelType w:val="multilevel"/>
    <w:tmpl w:val="1D0A5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243828"/>
    <w:multiLevelType w:val="hybridMultilevel"/>
    <w:tmpl w:val="0036757C"/>
    <w:lvl w:ilvl="0" w:tplc="976A32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89878AC"/>
    <w:multiLevelType w:val="hybridMultilevel"/>
    <w:tmpl w:val="B4E2F11A"/>
    <w:lvl w:ilvl="0" w:tplc="9956EDC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28B60DB6"/>
    <w:multiLevelType w:val="hybridMultilevel"/>
    <w:tmpl w:val="F0626FBC"/>
    <w:lvl w:ilvl="0" w:tplc="2DE4F68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2C684BC0"/>
    <w:multiLevelType w:val="hybridMultilevel"/>
    <w:tmpl w:val="625E2B34"/>
    <w:lvl w:ilvl="0" w:tplc="409CF9C4">
      <w:start w:val="1"/>
      <w:numFmt w:val="decimal"/>
      <w:suff w:val="space"/>
      <w:lvlText w:val="%1."/>
      <w:lvlJc w:val="left"/>
      <w:pPr>
        <w:ind w:left="1121" w:hanging="360"/>
      </w:pPr>
      <w:rPr>
        <w:rFonts w:hint="default"/>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12" w15:restartNumberingAfterBreak="0">
    <w:nsid w:val="2E471847"/>
    <w:multiLevelType w:val="hybridMultilevel"/>
    <w:tmpl w:val="538C7DAC"/>
    <w:lvl w:ilvl="0" w:tplc="41E447D6">
      <w:start w:val="1"/>
      <w:numFmt w:val="decimal"/>
      <w:suff w:val="space"/>
      <w:lvlText w:val="%1."/>
      <w:lvlJc w:val="left"/>
      <w:pPr>
        <w:ind w:left="11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8A64A7"/>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4AB5018"/>
    <w:multiLevelType w:val="hybridMultilevel"/>
    <w:tmpl w:val="51B0234C"/>
    <w:lvl w:ilvl="0" w:tplc="B8BA2BF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3CD62853"/>
    <w:multiLevelType w:val="hybridMultilevel"/>
    <w:tmpl w:val="40182642"/>
    <w:lvl w:ilvl="0" w:tplc="AF90A41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4D7F408C"/>
    <w:multiLevelType w:val="hybridMultilevel"/>
    <w:tmpl w:val="40182642"/>
    <w:lvl w:ilvl="0" w:tplc="AF90A41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7" w15:restartNumberingAfterBreak="0">
    <w:nsid w:val="618C140A"/>
    <w:multiLevelType w:val="hybridMultilevel"/>
    <w:tmpl w:val="3A58B654"/>
    <w:lvl w:ilvl="0" w:tplc="2D2A2BE4">
      <w:start w:val="1"/>
      <w:numFmt w:val="decimal"/>
      <w:suff w:val="space"/>
      <w:lvlText w:val="%1."/>
      <w:lvlJc w:val="left"/>
      <w:pPr>
        <w:ind w:left="1121" w:hanging="360"/>
      </w:pPr>
      <w:rPr>
        <w:rFonts w:hint="default"/>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18" w15:restartNumberingAfterBreak="0">
    <w:nsid w:val="709D779B"/>
    <w:multiLevelType w:val="hybridMultilevel"/>
    <w:tmpl w:val="0A581FBC"/>
    <w:lvl w:ilvl="0" w:tplc="68503B22">
      <w:start w:val="1"/>
      <w:numFmt w:val="decimal"/>
      <w:suff w:val="space"/>
      <w:lvlText w:val="%1."/>
      <w:lvlJc w:val="left"/>
      <w:pPr>
        <w:ind w:left="1121" w:hanging="360"/>
      </w:pPr>
      <w:rPr>
        <w:rFonts w:hint="default"/>
      </w:rPr>
    </w:lvl>
    <w:lvl w:ilvl="1" w:tplc="04270019" w:tentative="1">
      <w:start w:val="1"/>
      <w:numFmt w:val="lowerLetter"/>
      <w:lvlText w:val="%2."/>
      <w:lvlJc w:val="left"/>
      <w:pPr>
        <w:ind w:left="1841" w:hanging="360"/>
      </w:pPr>
    </w:lvl>
    <w:lvl w:ilvl="2" w:tplc="0427001B" w:tentative="1">
      <w:start w:val="1"/>
      <w:numFmt w:val="lowerRoman"/>
      <w:lvlText w:val="%3."/>
      <w:lvlJc w:val="right"/>
      <w:pPr>
        <w:ind w:left="2561" w:hanging="180"/>
      </w:pPr>
    </w:lvl>
    <w:lvl w:ilvl="3" w:tplc="0427000F" w:tentative="1">
      <w:start w:val="1"/>
      <w:numFmt w:val="decimal"/>
      <w:lvlText w:val="%4."/>
      <w:lvlJc w:val="left"/>
      <w:pPr>
        <w:ind w:left="3281" w:hanging="360"/>
      </w:pPr>
    </w:lvl>
    <w:lvl w:ilvl="4" w:tplc="04270019" w:tentative="1">
      <w:start w:val="1"/>
      <w:numFmt w:val="lowerLetter"/>
      <w:lvlText w:val="%5."/>
      <w:lvlJc w:val="left"/>
      <w:pPr>
        <w:ind w:left="4001" w:hanging="360"/>
      </w:pPr>
    </w:lvl>
    <w:lvl w:ilvl="5" w:tplc="0427001B" w:tentative="1">
      <w:start w:val="1"/>
      <w:numFmt w:val="lowerRoman"/>
      <w:lvlText w:val="%6."/>
      <w:lvlJc w:val="right"/>
      <w:pPr>
        <w:ind w:left="4721" w:hanging="180"/>
      </w:pPr>
    </w:lvl>
    <w:lvl w:ilvl="6" w:tplc="0427000F" w:tentative="1">
      <w:start w:val="1"/>
      <w:numFmt w:val="decimal"/>
      <w:lvlText w:val="%7."/>
      <w:lvlJc w:val="left"/>
      <w:pPr>
        <w:ind w:left="5441" w:hanging="360"/>
      </w:pPr>
    </w:lvl>
    <w:lvl w:ilvl="7" w:tplc="04270019" w:tentative="1">
      <w:start w:val="1"/>
      <w:numFmt w:val="lowerLetter"/>
      <w:lvlText w:val="%8."/>
      <w:lvlJc w:val="left"/>
      <w:pPr>
        <w:ind w:left="6161" w:hanging="360"/>
      </w:pPr>
    </w:lvl>
    <w:lvl w:ilvl="8" w:tplc="0427001B" w:tentative="1">
      <w:start w:val="1"/>
      <w:numFmt w:val="lowerRoman"/>
      <w:lvlText w:val="%9."/>
      <w:lvlJc w:val="right"/>
      <w:pPr>
        <w:ind w:left="6881" w:hanging="180"/>
      </w:pPr>
    </w:lvl>
  </w:abstractNum>
  <w:abstractNum w:abstractNumId="19" w15:restartNumberingAfterBreak="0">
    <w:nsid w:val="76027435"/>
    <w:multiLevelType w:val="hybridMultilevel"/>
    <w:tmpl w:val="B4E2F11A"/>
    <w:lvl w:ilvl="0" w:tplc="9956EDC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13"/>
  </w:num>
  <w:num w:numId="2">
    <w:abstractNumId w:val="0"/>
  </w:num>
  <w:num w:numId="3">
    <w:abstractNumId w:val="18"/>
  </w:num>
  <w:num w:numId="4">
    <w:abstractNumId w:val="17"/>
  </w:num>
  <w:num w:numId="5">
    <w:abstractNumId w:val="5"/>
  </w:num>
  <w:num w:numId="6">
    <w:abstractNumId w:val="12"/>
  </w:num>
  <w:num w:numId="7">
    <w:abstractNumId w:val="8"/>
  </w:num>
  <w:num w:numId="8">
    <w:abstractNumId w:val="11"/>
  </w:num>
  <w:num w:numId="9">
    <w:abstractNumId w:val="10"/>
  </w:num>
  <w:num w:numId="10">
    <w:abstractNumId w:val="6"/>
  </w:num>
  <w:num w:numId="11">
    <w:abstractNumId w:val="7"/>
    <w:lvlOverride w:ilvl="0">
      <w:startOverride w:val="2"/>
    </w:lvlOverride>
  </w:num>
  <w:num w:numId="12">
    <w:abstractNumId w:val="4"/>
  </w:num>
  <w:num w:numId="13">
    <w:abstractNumId w:val="1"/>
  </w:num>
  <w:num w:numId="14">
    <w:abstractNumId w:val="9"/>
  </w:num>
  <w:num w:numId="15">
    <w:abstractNumId w:val="19"/>
  </w:num>
  <w:num w:numId="16">
    <w:abstractNumId w:val="3"/>
  </w:num>
  <w:num w:numId="17">
    <w:abstractNumId w:val="2"/>
  </w:num>
  <w:num w:numId="18">
    <w:abstractNumId w:val="15"/>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F8D"/>
    <w:rsid w:val="0000051C"/>
    <w:rsid w:val="00000BDA"/>
    <w:rsid w:val="000013B4"/>
    <w:rsid w:val="00001AC5"/>
    <w:rsid w:val="00002A34"/>
    <w:rsid w:val="00002E77"/>
    <w:rsid w:val="00003D10"/>
    <w:rsid w:val="000042A3"/>
    <w:rsid w:val="00005562"/>
    <w:rsid w:val="0000565C"/>
    <w:rsid w:val="000059F2"/>
    <w:rsid w:val="00005F5F"/>
    <w:rsid w:val="000064BD"/>
    <w:rsid w:val="00006D11"/>
    <w:rsid w:val="0001043B"/>
    <w:rsid w:val="000106F6"/>
    <w:rsid w:val="000115C7"/>
    <w:rsid w:val="00011FC0"/>
    <w:rsid w:val="00012367"/>
    <w:rsid w:val="00012735"/>
    <w:rsid w:val="00014B39"/>
    <w:rsid w:val="00014BF2"/>
    <w:rsid w:val="00016F20"/>
    <w:rsid w:val="00017190"/>
    <w:rsid w:val="00017551"/>
    <w:rsid w:val="00017881"/>
    <w:rsid w:val="00020243"/>
    <w:rsid w:val="00021256"/>
    <w:rsid w:val="00021D8C"/>
    <w:rsid w:val="00021D9E"/>
    <w:rsid w:val="00022B93"/>
    <w:rsid w:val="00024592"/>
    <w:rsid w:val="00026842"/>
    <w:rsid w:val="00026A19"/>
    <w:rsid w:val="00027F77"/>
    <w:rsid w:val="0003074A"/>
    <w:rsid w:val="000309DC"/>
    <w:rsid w:val="00031796"/>
    <w:rsid w:val="0003372A"/>
    <w:rsid w:val="000345F1"/>
    <w:rsid w:val="000347BA"/>
    <w:rsid w:val="000349FA"/>
    <w:rsid w:val="00034FF9"/>
    <w:rsid w:val="0004011E"/>
    <w:rsid w:val="00041EF8"/>
    <w:rsid w:val="0004207F"/>
    <w:rsid w:val="00042BE3"/>
    <w:rsid w:val="00043FDA"/>
    <w:rsid w:val="00044093"/>
    <w:rsid w:val="00045367"/>
    <w:rsid w:val="000459CE"/>
    <w:rsid w:val="00046018"/>
    <w:rsid w:val="00046547"/>
    <w:rsid w:val="00050CB3"/>
    <w:rsid w:val="000536C3"/>
    <w:rsid w:val="000536DB"/>
    <w:rsid w:val="00053CD7"/>
    <w:rsid w:val="00054799"/>
    <w:rsid w:val="0005528A"/>
    <w:rsid w:val="00055A3F"/>
    <w:rsid w:val="0005642B"/>
    <w:rsid w:val="000567ED"/>
    <w:rsid w:val="0005680B"/>
    <w:rsid w:val="0005765D"/>
    <w:rsid w:val="00061025"/>
    <w:rsid w:val="00062756"/>
    <w:rsid w:val="00062C1F"/>
    <w:rsid w:val="00063E89"/>
    <w:rsid w:val="00065A10"/>
    <w:rsid w:val="00066404"/>
    <w:rsid w:val="00066E62"/>
    <w:rsid w:val="00066EF8"/>
    <w:rsid w:val="00066F54"/>
    <w:rsid w:val="00067939"/>
    <w:rsid w:val="00067A8E"/>
    <w:rsid w:val="000725EA"/>
    <w:rsid w:val="00072DE0"/>
    <w:rsid w:val="00076945"/>
    <w:rsid w:val="000769F9"/>
    <w:rsid w:val="00080158"/>
    <w:rsid w:val="000810C4"/>
    <w:rsid w:val="00081793"/>
    <w:rsid w:val="000818C8"/>
    <w:rsid w:val="00081E51"/>
    <w:rsid w:val="00082378"/>
    <w:rsid w:val="00083A24"/>
    <w:rsid w:val="000842DE"/>
    <w:rsid w:val="0008475B"/>
    <w:rsid w:val="0008700B"/>
    <w:rsid w:val="00087040"/>
    <w:rsid w:val="00087900"/>
    <w:rsid w:val="00090B45"/>
    <w:rsid w:val="000922A4"/>
    <w:rsid w:val="000930DC"/>
    <w:rsid w:val="00093526"/>
    <w:rsid w:val="00093608"/>
    <w:rsid w:val="0009615D"/>
    <w:rsid w:val="00096596"/>
    <w:rsid w:val="00096F6A"/>
    <w:rsid w:val="000971CF"/>
    <w:rsid w:val="00097745"/>
    <w:rsid w:val="000A0681"/>
    <w:rsid w:val="000A0944"/>
    <w:rsid w:val="000A0A93"/>
    <w:rsid w:val="000A0C9F"/>
    <w:rsid w:val="000A17F7"/>
    <w:rsid w:val="000A3FBD"/>
    <w:rsid w:val="000A4785"/>
    <w:rsid w:val="000A5F1D"/>
    <w:rsid w:val="000A6690"/>
    <w:rsid w:val="000A6AB0"/>
    <w:rsid w:val="000A72F8"/>
    <w:rsid w:val="000A742B"/>
    <w:rsid w:val="000A7C84"/>
    <w:rsid w:val="000B0385"/>
    <w:rsid w:val="000B20B4"/>
    <w:rsid w:val="000B287B"/>
    <w:rsid w:val="000B32D4"/>
    <w:rsid w:val="000B3417"/>
    <w:rsid w:val="000B4673"/>
    <w:rsid w:val="000B46E4"/>
    <w:rsid w:val="000B47E4"/>
    <w:rsid w:val="000B4A2D"/>
    <w:rsid w:val="000B5FFE"/>
    <w:rsid w:val="000B7375"/>
    <w:rsid w:val="000C1CAA"/>
    <w:rsid w:val="000C22C9"/>
    <w:rsid w:val="000C3794"/>
    <w:rsid w:val="000C43E6"/>
    <w:rsid w:val="000C5170"/>
    <w:rsid w:val="000C5B7E"/>
    <w:rsid w:val="000C7326"/>
    <w:rsid w:val="000C7AE7"/>
    <w:rsid w:val="000C7D6F"/>
    <w:rsid w:val="000D07B1"/>
    <w:rsid w:val="000D136C"/>
    <w:rsid w:val="000D1829"/>
    <w:rsid w:val="000D2098"/>
    <w:rsid w:val="000D3D4B"/>
    <w:rsid w:val="000D3E82"/>
    <w:rsid w:val="000D41AF"/>
    <w:rsid w:val="000D4262"/>
    <w:rsid w:val="000D4C16"/>
    <w:rsid w:val="000D5784"/>
    <w:rsid w:val="000D57C5"/>
    <w:rsid w:val="000D615E"/>
    <w:rsid w:val="000E0116"/>
    <w:rsid w:val="000E0627"/>
    <w:rsid w:val="000E1B3E"/>
    <w:rsid w:val="000E1E50"/>
    <w:rsid w:val="000E20E9"/>
    <w:rsid w:val="000E3392"/>
    <w:rsid w:val="000E3914"/>
    <w:rsid w:val="000E3AA2"/>
    <w:rsid w:val="000E3C3C"/>
    <w:rsid w:val="000E420A"/>
    <w:rsid w:val="000E625E"/>
    <w:rsid w:val="000E7BC6"/>
    <w:rsid w:val="000F0333"/>
    <w:rsid w:val="000F0394"/>
    <w:rsid w:val="000F0794"/>
    <w:rsid w:val="000F07D7"/>
    <w:rsid w:val="000F0902"/>
    <w:rsid w:val="000F0C02"/>
    <w:rsid w:val="000F0C3E"/>
    <w:rsid w:val="000F1CB6"/>
    <w:rsid w:val="000F35C6"/>
    <w:rsid w:val="000F3E9C"/>
    <w:rsid w:val="000F41BC"/>
    <w:rsid w:val="000F4611"/>
    <w:rsid w:val="000F51B9"/>
    <w:rsid w:val="000F6001"/>
    <w:rsid w:val="000F603D"/>
    <w:rsid w:val="000F66CD"/>
    <w:rsid w:val="000F76F4"/>
    <w:rsid w:val="000F7B97"/>
    <w:rsid w:val="0010026B"/>
    <w:rsid w:val="00105BF6"/>
    <w:rsid w:val="001066F0"/>
    <w:rsid w:val="00106994"/>
    <w:rsid w:val="00106C20"/>
    <w:rsid w:val="001077FC"/>
    <w:rsid w:val="00110C6B"/>
    <w:rsid w:val="00110D49"/>
    <w:rsid w:val="001113F0"/>
    <w:rsid w:val="00111ED2"/>
    <w:rsid w:val="00113FFC"/>
    <w:rsid w:val="001152FD"/>
    <w:rsid w:val="00115772"/>
    <w:rsid w:val="00116034"/>
    <w:rsid w:val="00116ABC"/>
    <w:rsid w:val="001200DB"/>
    <w:rsid w:val="00120387"/>
    <w:rsid w:val="00120655"/>
    <w:rsid w:val="00120C5D"/>
    <w:rsid w:val="001219A1"/>
    <w:rsid w:val="00122628"/>
    <w:rsid w:val="00122D9A"/>
    <w:rsid w:val="0012323F"/>
    <w:rsid w:val="001232E8"/>
    <w:rsid w:val="001248F4"/>
    <w:rsid w:val="00124ED9"/>
    <w:rsid w:val="00125F8F"/>
    <w:rsid w:val="0012605D"/>
    <w:rsid w:val="00126E4B"/>
    <w:rsid w:val="00127929"/>
    <w:rsid w:val="00127C2C"/>
    <w:rsid w:val="00130E99"/>
    <w:rsid w:val="001310C4"/>
    <w:rsid w:val="0013162A"/>
    <w:rsid w:val="00131867"/>
    <w:rsid w:val="001319F7"/>
    <w:rsid w:val="00131C3F"/>
    <w:rsid w:val="00131CC4"/>
    <w:rsid w:val="00137B76"/>
    <w:rsid w:val="0014146A"/>
    <w:rsid w:val="00141EA8"/>
    <w:rsid w:val="001425BB"/>
    <w:rsid w:val="001446BF"/>
    <w:rsid w:val="001454D2"/>
    <w:rsid w:val="00145A77"/>
    <w:rsid w:val="00146A62"/>
    <w:rsid w:val="00146A97"/>
    <w:rsid w:val="00147646"/>
    <w:rsid w:val="001524B4"/>
    <w:rsid w:val="00154F4E"/>
    <w:rsid w:val="00156501"/>
    <w:rsid w:val="001578EB"/>
    <w:rsid w:val="00161234"/>
    <w:rsid w:val="00161C9D"/>
    <w:rsid w:val="00162392"/>
    <w:rsid w:val="0016253D"/>
    <w:rsid w:val="00162BB3"/>
    <w:rsid w:val="00163749"/>
    <w:rsid w:val="00163DD6"/>
    <w:rsid w:val="00164F6C"/>
    <w:rsid w:val="001659AC"/>
    <w:rsid w:val="00166421"/>
    <w:rsid w:val="00166E91"/>
    <w:rsid w:val="001674D6"/>
    <w:rsid w:val="00167F5E"/>
    <w:rsid w:val="001709CD"/>
    <w:rsid w:val="001718D4"/>
    <w:rsid w:val="00171EC5"/>
    <w:rsid w:val="00172059"/>
    <w:rsid w:val="00173539"/>
    <w:rsid w:val="00173C98"/>
    <w:rsid w:val="00173CD4"/>
    <w:rsid w:val="00175617"/>
    <w:rsid w:val="0017620D"/>
    <w:rsid w:val="00176EFA"/>
    <w:rsid w:val="001800B6"/>
    <w:rsid w:val="00180C1E"/>
    <w:rsid w:val="0018200B"/>
    <w:rsid w:val="001826C0"/>
    <w:rsid w:val="0018290B"/>
    <w:rsid w:val="00182CF6"/>
    <w:rsid w:val="00182EAA"/>
    <w:rsid w:val="00184502"/>
    <w:rsid w:val="0018537A"/>
    <w:rsid w:val="0018567A"/>
    <w:rsid w:val="00185EF1"/>
    <w:rsid w:val="0018638D"/>
    <w:rsid w:val="00187988"/>
    <w:rsid w:val="0019078C"/>
    <w:rsid w:val="00190EF4"/>
    <w:rsid w:val="0019103A"/>
    <w:rsid w:val="0019105F"/>
    <w:rsid w:val="00192C65"/>
    <w:rsid w:val="00192EE6"/>
    <w:rsid w:val="00194ED2"/>
    <w:rsid w:val="00196332"/>
    <w:rsid w:val="00196BCD"/>
    <w:rsid w:val="00196E28"/>
    <w:rsid w:val="0019737D"/>
    <w:rsid w:val="00197A17"/>
    <w:rsid w:val="001A0081"/>
    <w:rsid w:val="001A051F"/>
    <w:rsid w:val="001A20E8"/>
    <w:rsid w:val="001A49E2"/>
    <w:rsid w:val="001A4BEB"/>
    <w:rsid w:val="001A5158"/>
    <w:rsid w:val="001B01EA"/>
    <w:rsid w:val="001B16CD"/>
    <w:rsid w:val="001B25E8"/>
    <w:rsid w:val="001B3A90"/>
    <w:rsid w:val="001B3FE0"/>
    <w:rsid w:val="001B47DE"/>
    <w:rsid w:val="001B5079"/>
    <w:rsid w:val="001B510C"/>
    <w:rsid w:val="001B535E"/>
    <w:rsid w:val="001B5608"/>
    <w:rsid w:val="001B5F92"/>
    <w:rsid w:val="001B6FF9"/>
    <w:rsid w:val="001B74A0"/>
    <w:rsid w:val="001B75DC"/>
    <w:rsid w:val="001C0D58"/>
    <w:rsid w:val="001C1518"/>
    <w:rsid w:val="001C2640"/>
    <w:rsid w:val="001C2857"/>
    <w:rsid w:val="001C2EFF"/>
    <w:rsid w:val="001C32AE"/>
    <w:rsid w:val="001C35A3"/>
    <w:rsid w:val="001C4CA1"/>
    <w:rsid w:val="001C597A"/>
    <w:rsid w:val="001C5D26"/>
    <w:rsid w:val="001C7665"/>
    <w:rsid w:val="001C7AC4"/>
    <w:rsid w:val="001C7D56"/>
    <w:rsid w:val="001D05E4"/>
    <w:rsid w:val="001D15C4"/>
    <w:rsid w:val="001D15DF"/>
    <w:rsid w:val="001D3C52"/>
    <w:rsid w:val="001D433D"/>
    <w:rsid w:val="001D4869"/>
    <w:rsid w:val="001E05ED"/>
    <w:rsid w:val="001E1CEA"/>
    <w:rsid w:val="001E1EE3"/>
    <w:rsid w:val="001E1F19"/>
    <w:rsid w:val="001E41AE"/>
    <w:rsid w:val="001E4B12"/>
    <w:rsid w:val="001E53DF"/>
    <w:rsid w:val="001E562D"/>
    <w:rsid w:val="001E6451"/>
    <w:rsid w:val="001E69D1"/>
    <w:rsid w:val="001E7042"/>
    <w:rsid w:val="001E7472"/>
    <w:rsid w:val="001E7EB7"/>
    <w:rsid w:val="001F031D"/>
    <w:rsid w:val="001F0F6C"/>
    <w:rsid w:val="001F105A"/>
    <w:rsid w:val="001F1707"/>
    <w:rsid w:val="001F18A7"/>
    <w:rsid w:val="001F1ADC"/>
    <w:rsid w:val="001F2249"/>
    <w:rsid w:val="001F24E5"/>
    <w:rsid w:val="001F2D02"/>
    <w:rsid w:val="001F2F6E"/>
    <w:rsid w:val="001F363E"/>
    <w:rsid w:val="001F4C02"/>
    <w:rsid w:val="001F539B"/>
    <w:rsid w:val="001F66D7"/>
    <w:rsid w:val="0020006E"/>
    <w:rsid w:val="00202304"/>
    <w:rsid w:val="0020355F"/>
    <w:rsid w:val="00203DBD"/>
    <w:rsid w:val="00204201"/>
    <w:rsid w:val="00207526"/>
    <w:rsid w:val="002075E8"/>
    <w:rsid w:val="002076D7"/>
    <w:rsid w:val="0021341B"/>
    <w:rsid w:val="00213D70"/>
    <w:rsid w:val="002142E6"/>
    <w:rsid w:val="00215394"/>
    <w:rsid w:val="002155A5"/>
    <w:rsid w:val="0021724C"/>
    <w:rsid w:val="0021785D"/>
    <w:rsid w:val="00217860"/>
    <w:rsid w:val="00217B80"/>
    <w:rsid w:val="00217F43"/>
    <w:rsid w:val="002212E8"/>
    <w:rsid w:val="00221AE5"/>
    <w:rsid w:val="00221DB0"/>
    <w:rsid w:val="00221E88"/>
    <w:rsid w:val="00222849"/>
    <w:rsid w:val="002229EE"/>
    <w:rsid w:val="00223EE2"/>
    <w:rsid w:val="00224613"/>
    <w:rsid w:val="00224D7F"/>
    <w:rsid w:val="00224EEE"/>
    <w:rsid w:val="00224F85"/>
    <w:rsid w:val="00225B41"/>
    <w:rsid w:val="0022755D"/>
    <w:rsid w:val="00227BAB"/>
    <w:rsid w:val="00230695"/>
    <w:rsid w:val="00231A03"/>
    <w:rsid w:val="00231A99"/>
    <w:rsid w:val="00231AD5"/>
    <w:rsid w:val="00231E8F"/>
    <w:rsid w:val="002337F2"/>
    <w:rsid w:val="00233BDE"/>
    <w:rsid w:val="00236130"/>
    <w:rsid w:val="002362EB"/>
    <w:rsid w:val="0024127A"/>
    <w:rsid w:val="00241B0E"/>
    <w:rsid w:val="002422B3"/>
    <w:rsid w:val="00242648"/>
    <w:rsid w:val="0024267B"/>
    <w:rsid w:val="002432CB"/>
    <w:rsid w:val="002442E0"/>
    <w:rsid w:val="00244649"/>
    <w:rsid w:val="0024520E"/>
    <w:rsid w:val="00245A9A"/>
    <w:rsid w:val="00247754"/>
    <w:rsid w:val="00247DE7"/>
    <w:rsid w:val="0025067A"/>
    <w:rsid w:val="002506E7"/>
    <w:rsid w:val="00251F3D"/>
    <w:rsid w:val="002532BF"/>
    <w:rsid w:val="00253B46"/>
    <w:rsid w:val="00254C85"/>
    <w:rsid w:val="00255526"/>
    <w:rsid w:val="002555D7"/>
    <w:rsid w:val="00256131"/>
    <w:rsid w:val="00257379"/>
    <w:rsid w:val="002605AC"/>
    <w:rsid w:val="00260B81"/>
    <w:rsid w:val="00260E78"/>
    <w:rsid w:val="0026159D"/>
    <w:rsid w:val="0026308D"/>
    <w:rsid w:val="0026397E"/>
    <w:rsid w:val="00265382"/>
    <w:rsid w:val="00265B2B"/>
    <w:rsid w:val="00265DF6"/>
    <w:rsid w:val="00270539"/>
    <w:rsid w:val="0027058E"/>
    <w:rsid w:val="002729D7"/>
    <w:rsid w:val="00274040"/>
    <w:rsid w:val="002744F6"/>
    <w:rsid w:val="00275667"/>
    <w:rsid w:val="00277B03"/>
    <w:rsid w:val="002805DB"/>
    <w:rsid w:val="00280CC2"/>
    <w:rsid w:val="002822AE"/>
    <w:rsid w:val="00283B7D"/>
    <w:rsid w:val="00284A60"/>
    <w:rsid w:val="00284B70"/>
    <w:rsid w:val="00286729"/>
    <w:rsid w:val="00287C03"/>
    <w:rsid w:val="00290B28"/>
    <w:rsid w:val="0029117A"/>
    <w:rsid w:val="0029245C"/>
    <w:rsid w:val="00292C95"/>
    <w:rsid w:val="00293976"/>
    <w:rsid w:val="00294005"/>
    <w:rsid w:val="002941A2"/>
    <w:rsid w:val="002958CD"/>
    <w:rsid w:val="0029705C"/>
    <w:rsid w:val="002A0E76"/>
    <w:rsid w:val="002A219A"/>
    <w:rsid w:val="002A23D0"/>
    <w:rsid w:val="002A3656"/>
    <w:rsid w:val="002A4B27"/>
    <w:rsid w:val="002A6155"/>
    <w:rsid w:val="002A6E6C"/>
    <w:rsid w:val="002A6EBF"/>
    <w:rsid w:val="002A6F36"/>
    <w:rsid w:val="002A719C"/>
    <w:rsid w:val="002A722E"/>
    <w:rsid w:val="002A7E97"/>
    <w:rsid w:val="002B022F"/>
    <w:rsid w:val="002B0593"/>
    <w:rsid w:val="002B09C7"/>
    <w:rsid w:val="002B1195"/>
    <w:rsid w:val="002B1A9F"/>
    <w:rsid w:val="002B20E0"/>
    <w:rsid w:val="002B3813"/>
    <w:rsid w:val="002B3AFA"/>
    <w:rsid w:val="002B4992"/>
    <w:rsid w:val="002B5105"/>
    <w:rsid w:val="002B5C0F"/>
    <w:rsid w:val="002B6BCD"/>
    <w:rsid w:val="002C0215"/>
    <w:rsid w:val="002C15BA"/>
    <w:rsid w:val="002C1CDC"/>
    <w:rsid w:val="002C1EF9"/>
    <w:rsid w:val="002C2F1E"/>
    <w:rsid w:val="002C2F84"/>
    <w:rsid w:val="002C3771"/>
    <w:rsid w:val="002C393C"/>
    <w:rsid w:val="002C3C4E"/>
    <w:rsid w:val="002C451F"/>
    <w:rsid w:val="002C4D7A"/>
    <w:rsid w:val="002C51C5"/>
    <w:rsid w:val="002C67A4"/>
    <w:rsid w:val="002C742D"/>
    <w:rsid w:val="002D0282"/>
    <w:rsid w:val="002D03FB"/>
    <w:rsid w:val="002D1487"/>
    <w:rsid w:val="002D1570"/>
    <w:rsid w:val="002D1684"/>
    <w:rsid w:val="002D2170"/>
    <w:rsid w:val="002D32A7"/>
    <w:rsid w:val="002D374D"/>
    <w:rsid w:val="002D38B2"/>
    <w:rsid w:val="002D3ABD"/>
    <w:rsid w:val="002D3E03"/>
    <w:rsid w:val="002D40DE"/>
    <w:rsid w:val="002D48C3"/>
    <w:rsid w:val="002D4C2D"/>
    <w:rsid w:val="002D52DE"/>
    <w:rsid w:val="002D5C76"/>
    <w:rsid w:val="002D7098"/>
    <w:rsid w:val="002E0557"/>
    <w:rsid w:val="002E0900"/>
    <w:rsid w:val="002E0EA1"/>
    <w:rsid w:val="002E0FC8"/>
    <w:rsid w:val="002E1D52"/>
    <w:rsid w:val="002E2302"/>
    <w:rsid w:val="002E4284"/>
    <w:rsid w:val="002E43D7"/>
    <w:rsid w:val="002E526E"/>
    <w:rsid w:val="002E63E6"/>
    <w:rsid w:val="002F19E4"/>
    <w:rsid w:val="002F1D65"/>
    <w:rsid w:val="002F2E6B"/>
    <w:rsid w:val="002F355F"/>
    <w:rsid w:val="002F48B6"/>
    <w:rsid w:val="002F48BE"/>
    <w:rsid w:val="002F4B13"/>
    <w:rsid w:val="002F586C"/>
    <w:rsid w:val="002F6FC9"/>
    <w:rsid w:val="002F7A9D"/>
    <w:rsid w:val="00300394"/>
    <w:rsid w:val="0030294C"/>
    <w:rsid w:val="003030A6"/>
    <w:rsid w:val="003039E2"/>
    <w:rsid w:val="00304F0A"/>
    <w:rsid w:val="003056FD"/>
    <w:rsid w:val="00305D55"/>
    <w:rsid w:val="003066F8"/>
    <w:rsid w:val="003068EB"/>
    <w:rsid w:val="00311567"/>
    <w:rsid w:val="00311852"/>
    <w:rsid w:val="00311C30"/>
    <w:rsid w:val="003121CD"/>
    <w:rsid w:val="003123D2"/>
    <w:rsid w:val="003131E8"/>
    <w:rsid w:val="00313576"/>
    <w:rsid w:val="00313588"/>
    <w:rsid w:val="00315023"/>
    <w:rsid w:val="00315AAD"/>
    <w:rsid w:val="0031627A"/>
    <w:rsid w:val="00316632"/>
    <w:rsid w:val="00316852"/>
    <w:rsid w:val="003178B6"/>
    <w:rsid w:val="003179D7"/>
    <w:rsid w:val="00320CF8"/>
    <w:rsid w:val="0032137C"/>
    <w:rsid w:val="003228C7"/>
    <w:rsid w:val="00322917"/>
    <w:rsid w:val="00322A04"/>
    <w:rsid w:val="00322A4F"/>
    <w:rsid w:val="00322C56"/>
    <w:rsid w:val="0032340A"/>
    <w:rsid w:val="0032361F"/>
    <w:rsid w:val="00324665"/>
    <w:rsid w:val="003248A0"/>
    <w:rsid w:val="00326225"/>
    <w:rsid w:val="0033014A"/>
    <w:rsid w:val="00331568"/>
    <w:rsid w:val="00331B1B"/>
    <w:rsid w:val="003329F0"/>
    <w:rsid w:val="00332C40"/>
    <w:rsid w:val="0033336E"/>
    <w:rsid w:val="00333EA8"/>
    <w:rsid w:val="00334586"/>
    <w:rsid w:val="00335E49"/>
    <w:rsid w:val="00335FAE"/>
    <w:rsid w:val="00336BD0"/>
    <w:rsid w:val="00337248"/>
    <w:rsid w:val="00340C3F"/>
    <w:rsid w:val="003417BF"/>
    <w:rsid w:val="003425CB"/>
    <w:rsid w:val="0034261F"/>
    <w:rsid w:val="00343CF5"/>
    <w:rsid w:val="00344237"/>
    <w:rsid w:val="00345CCE"/>
    <w:rsid w:val="00347314"/>
    <w:rsid w:val="00347877"/>
    <w:rsid w:val="00353488"/>
    <w:rsid w:val="00354621"/>
    <w:rsid w:val="003547AD"/>
    <w:rsid w:val="00354E0E"/>
    <w:rsid w:val="00356C8B"/>
    <w:rsid w:val="00357DBC"/>
    <w:rsid w:val="00361EF9"/>
    <w:rsid w:val="0036296E"/>
    <w:rsid w:val="00363C82"/>
    <w:rsid w:val="003641D6"/>
    <w:rsid w:val="003650A4"/>
    <w:rsid w:val="003652C6"/>
    <w:rsid w:val="003666D5"/>
    <w:rsid w:val="00367764"/>
    <w:rsid w:val="00367A52"/>
    <w:rsid w:val="00370059"/>
    <w:rsid w:val="00370D50"/>
    <w:rsid w:val="0037124D"/>
    <w:rsid w:val="003718E8"/>
    <w:rsid w:val="00371A33"/>
    <w:rsid w:val="00371A49"/>
    <w:rsid w:val="00372029"/>
    <w:rsid w:val="0037214F"/>
    <w:rsid w:val="003731F5"/>
    <w:rsid w:val="00373C09"/>
    <w:rsid w:val="00374979"/>
    <w:rsid w:val="00374FCE"/>
    <w:rsid w:val="003750A8"/>
    <w:rsid w:val="00375447"/>
    <w:rsid w:val="003756AE"/>
    <w:rsid w:val="00375DD8"/>
    <w:rsid w:val="00375DDC"/>
    <w:rsid w:val="00376E8C"/>
    <w:rsid w:val="0038078B"/>
    <w:rsid w:val="00380ECE"/>
    <w:rsid w:val="00382FCA"/>
    <w:rsid w:val="00382FED"/>
    <w:rsid w:val="00383A89"/>
    <w:rsid w:val="00383D2C"/>
    <w:rsid w:val="00383E58"/>
    <w:rsid w:val="00384601"/>
    <w:rsid w:val="00384CE2"/>
    <w:rsid w:val="00385F39"/>
    <w:rsid w:val="003862E7"/>
    <w:rsid w:val="0039024E"/>
    <w:rsid w:val="00390D9E"/>
    <w:rsid w:val="00392DE3"/>
    <w:rsid w:val="003937FA"/>
    <w:rsid w:val="00393A5B"/>
    <w:rsid w:val="00394CCE"/>
    <w:rsid w:val="003964D6"/>
    <w:rsid w:val="00397E0E"/>
    <w:rsid w:val="003A2DFC"/>
    <w:rsid w:val="003A2FEB"/>
    <w:rsid w:val="003A47E5"/>
    <w:rsid w:val="003A4907"/>
    <w:rsid w:val="003A538E"/>
    <w:rsid w:val="003A56EF"/>
    <w:rsid w:val="003A5DFC"/>
    <w:rsid w:val="003A5E4C"/>
    <w:rsid w:val="003A6227"/>
    <w:rsid w:val="003A6B25"/>
    <w:rsid w:val="003A7D8F"/>
    <w:rsid w:val="003B1392"/>
    <w:rsid w:val="003B18B8"/>
    <w:rsid w:val="003B2E7C"/>
    <w:rsid w:val="003B4689"/>
    <w:rsid w:val="003B5722"/>
    <w:rsid w:val="003B7CD4"/>
    <w:rsid w:val="003C02C1"/>
    <w:rsid w:val="003C070C"/>
    <w:rsid w:val="003C0CEC"/>
    <w:rsid w:val="003C1356"/>
    <w:rsid w:val="003C3A38"/>
    <w:rsid w:val="003C3F7C"/>
    <w:rsid w:val="003C4D6A"/>
    <w:rsid w:val="003C5445"/>
    <w:rsid w:val="003C68B3"/>
    <w:rsid w:val="003D30D9"/>
    <w:rsid w:val="003D4237"/>
    <w:rsid w:val="003D4EEA"/>
    <w:rsid w:val="003D5796"/>
    <w:rsid w:val="003D5B8A"/>
    <w:rsid w:val="003D611F"/>
    <w:rsid w:val="003D76C6"/>
    <w:rsid w:val="003D7D63"/>
    <w:rsid w:val="003E0492"/>
    <w:rsid w:val="003E1A2B"/>
    <w:rsid w:val="003E28B0"/>
    <w:rsid w:val="003E340B"/>
    <w:rsid w:val="003E3F07"/>
    <w:rsid w:val="003E48A3"/>
    <w:rsid w:val="003E69F5"/>
    <w:rsid w:val="003E72BA"/>
    <w:rsid w:val="003E7313"/>
    <w:rsid w:val="003E7E84"/>
    <w:rsid w:val="003F0091"/>
    <w:rsid w:val="003F030F"/>
    <w:rsid w:val="003F0338"/>
    <w:rsid w:val="003F08C9"/>
    <w:rsid w:val="003F1B17"/>
    <w:rsid w:val="003F1C78"/>
    <w:rsid w:val="003F1DAC"/>
    <w:rsid w:val="003F3907"/>
    <w:rsid w:val="003F40FA"/>
    <w:rsid w:val="00400257"/>
    <w:rsid w:val="00400C9C"/>
    <w:rsid w:val="00400FA1"/>
    <w:rsid w:val="004017CE"/>
    <w:rsid w:val="00401998"/>
    <w:rsid w:val="00403388"/>
    <w:rsid w:val="00404388"/>
    <w:rsid w:val="00404AB1"/>
    <w:rsid w:val="004051EE"/>
    <w:rsid w:val="004056DA"/>
    <w:rsid w:val="00405D5C"/>
    <w:rsid w:val="00406616"/>
    <w:rsid w:val="00406D2C"/>
    <w:rsid w:val="0040765C"/>
    <w:rsid w:val="00407C13"/>
    <w:rsid w:val="00411A63"/>
    <w:rsid w:val="004135B1"/>
    <w:rsid w:val="004136F3"/>
    <w:rsid w:val="0041717B"/>
    <w:rsid w:val="004221EC"/>
    <w:rsid w:val="00424C3B"/>
    <w:rsid w:val="00427C84"/>
    <w:rsid w:val="00427F96"/>
    <w:rsid w:val="00430184"/>
    <w:rsid w:val="0043088B"/>
    <w:rsid w:val="004310C4"/>
    <w:rsid w:val="00431472"/>
    <w:rsid w:val="004314DF"/>
    <w:rsid w:val="004317A3"/>
    <w:rsid w:val="00431BCF"/>
    <w:rsid w:val="00431D06"/>
    <w:rsid w:val="00431D99"/>
    <w:rsid w:val="00431F38"/>
    <w:rsid w:val="004331AA"/>
    <w:rsid w:val="004337D5"/>
    <w:rsid w:val="00440507"/>
    <w:rsid w:val="004426AB"/>
    <w:rsid w:val="004433A7"/>
    <w:rsid w:val="004446E5"/>
    <w:rsid w:val="00444806"/>
    <w:rsid w:val="00445572"/>
    <w:rsid w:val="00445C1B"/>
    <w:rsid w:val="00445F07"/>
    <w:rsid w:val="00446D76"/>
    <w:rsid w:val="00446E75"/>
    <w:rsid w:val="00447F38"/>
    <w:rsid w:val="00450793"/>
    <w:rsid w:val="00450916"/>
    <w:rsid w:val="004513D6"/>
    <w:rsid w:val="00452829"/>
    <w:rsid w:val="00452F06"/>
    <w:rsid w:val="00453AB1"/>
    <w:rsid w:val="0045456C"/>
    <w:rsid w:val="004547FE"/>
    <w:rsid w:val="004548EE"/>
    <w:rsid w:val="00455E60"/>
    <w:rsid w:val="00456E1D"/>
    <w:rsid w:val="00460961"/>
    <w:rsid w:val="004609AC"/>
    <w:rsid w:val="00460A24"/>
    <w:rsid w:val="00460C2A"/>
    <w:rsid w:val="0046110F"/>
    <w:rsid w:val="004624D8"/>
    <w:rsid w:val="00462EF7"/>
    <w:rsid w:val="004645CB"/>
    <w:rsid w:val="00465C52"/>
    <w:rsid w:val="00465C95"/>
    <w:rsid w:val="00467E45"/>
    <w:rsid w:val="00471361"/>
    <w:rsid w:val="0047150C"/>
    <w:rsid w:val="00472656"/>
    <w:rsid w:val="00472B6D"/>
    <w:rsid w:val="0047518C"/>
    <w:rsid w:val="00477C02"/>
    <w:rsid w:val="00481162"/>
    <w:rsid w:val="004823C2"/>
    <w:rsid w:val="0048332E"/>
    <w:rsid w:val="004848E4"/>
    <w:rsid w:val="00484AE7"/>
    <w:rsid w:val="00484E25"/>
    <w:rsid w:val="00486B0A"/>
    <w:rsid w:val="00486C5A"/>
    <w:rsid w:val="004876E4"/>
    <w:rsid w:val="00487FA4"/>
    <w:rsid w:val="00492098"/>
    <w:rsid w:val="0049349D"/>
    <w:rsid w:val="00494E4F"/>
    <w:rsid w:val="00497ADC"/>
    <w:rsid w:val="00497D36"/>
    <w:rsid w:val="00497F44"/>
    <w:rsid w:val="004A0780"/>
    <w:rsid w:val="004A0D80"/>
    <w:rsid w:val="004A0DB9"/>
    <w:rsid w:val="004A2313"/>
    <w:rsid w:val="004A27A4"/>
    <w:rsid w:val="004A2DB5"/>
    <w:rsid w:val="004A3033"/>
    <w:rsid w:val="004A3947"/>
    <w:rsid w:val="004A4B2A"/>
    <w:rsid w:val="004A4F19"/>
    <w:rsid w:val="004A5DE5"/>
    <w:rsid w:val="004A5E14"/>
    <w:rsid w:val="004A627D"/>
    <w:rsid w:val="004A6CC1"/>
    <w:rsid w:val="004A7577"/>
    <w:rsid w:val="004B06A2"/>
    <w:rsid w:val="004B08BA"/>
    <w:rsid w:val="004B1C9F"/>
    <w:rsid w:val="004B1E3D"/>
    <w:rsid w:val="004B227E"/>
    <w:rsid w:val="004B25B1"/>
    <w:rsid w:val="004B2C97"/>
    <w:rsid w:val="004B777C"/>
    <w:rsid w:val="004B7C94"/>
    <w:rsid w:val="004C12EE"/>
    <w:rsid w:val="004C2019"/>
    <w:rsid w:val="004C2169"/>
    <w:rsid w:val="004C37C5"/>
    <w:rsid w:val="004C4107"/>
    <w:rsid w:val="004C4B9E"/>
    <w:rsid w:val="004C5ED0"/>
    <w:rsid w:val="004C7321"/>
    <w:rsid w:val="004C7F92"/>
    <w:rsid w:val="004D04EA"/>
    <w:rsid w:val="004D0510"/>
    <w:rsid w:val="004D075E"/>
    <w:rsid w:val="004D1BA7"/>
    <w:rsid w:val="004D24A0"/>
    <w:rsid w:val="004D2BF5"/>
    <w:rsid w:val="004D3317"/>
    <w:rsid w:val="004D3F42"/>
    <w:rsid w:val="004D4089"/>
    <w:rsid w:val="004D41FA"/>
    <w:rsid w:val="004D4500"/>
    <w:rsid w:val="004D499E"/>
    <w:rsid w:val="004D4A9A"/>
    <w:rsid w:val="004D7B0A"/>
    <w:rsid w:val="004E0396"/>
    <w:rsid w:val="004E13FB"/>
    <w:rsid w:val="004E2910"/>
    <w:rsid w:val="004E3543"/>
    <w:rsid w:val="004E4EFE"/>
    <w:rsid w:val="004E5316"/>
    <w:rsid w:val="004E588C"/>
    <w:rsid w:val="004E660B"/>
    <w:rsid w:val="004E778C"/>
    <w:rsid w:val="004F0FCB"/>
    <w:rsid w:val="004F28B5"/>
    <w:rsid w:val="004F3B67"/>
    <w:rsid w:val="004F682C"/>
    <w:rsid w:val="004F6F33"/>
    <w:rsid w:val="004F71C6"/>
    <w:rsid w:val="005001EC"/>
    <w:rsid w:val="005016D5"/>
    <w:rsid w:val="005029C3"/>
    <w:rsid w:val="00502BB7"/>
    <w:rsid w:val="005050C3"/>
    <w:rsid w:val="00505AB3"/>
    <w:rsid w:val="0050639A"/>
    <w:rsid w:val="00507C36"/>
    <w:rsid w:val="00507F4A"/>
    <w:rsid w:val="00511059"/>
    <w:rsid w:val="0051326E"/>
    <w:rsid w:val="005168CD"/>
    <w:rsid w:val="005175C5"/>
    <w:rsid w:val="005178A1"/>
    <w:rsid w:val="0052015F"/>
    <w:rsid w:val="0052194B"/>
    <w:rsid w:val="00522729"/>
    <w:rsid w:val="0052461F"/>
    <w:rsid w:val="00527395"/>
    <w:rsid w:val="00527E85"/>
    <w:rsid w:val="005300B2"/>
    <w:rsid w:val="00530169"/>
    <w:rsid w:val="00530339"/>
    <w:rsid w:val="00530A14"/>
    <w:rsid w:val="00530D19"/>
    <w:rsid w:val="005315D4"/>
    <w:rsid w:val="00533009"/>
    <w:rsid w:val="005330E8"/>
    <w:rsid w:val="0053458F"/>
    <w:rsid w:val="00534758"/>
    <w:rsid w:val="00536912"/>
    <w:rsid w:val="00536E4C"/>
    <w:rsid w:val="00536E61"/>
    <w:rsid w:val="005377A2"/>
    <w:rsid w:val="00540962"/>
    <w:rsid w:val="00540A46"/>
    <w:rsid w:val="0054174C"/>
    <w:rsid w:val="0054220C"/>
    <w:rsid w:val="005448D9"/>
    <w:rsid w:val="00545047"/>
    <w:rsid w:val="00545E43"/>
    <w:rsid w:val="00545F78"/>
    <w:rsid w:val="005475BA"/>
    <w:rsid w:val="005504FA"/>
    <w:rsid w:val="0055128E"/>
    <w:rsid w:val="00551F5F"/>
    <w:rsid w:val="00552324"/>
    <w:rsid w:val="00552360"/>
    <w:rsid w:val="00552438"/>
    <w:rsid w:val="00554096"/>
    <w:rsid w:val="00555A80"/>
    <w:rsid w:val="00555ED6"/>
    <w:rsid w:val="0055712D"/>
    <w:rsid w:val="00557186"/>
    <w:rsid w:val="00557826"/>
    <w:rsid w:val="00557C61"/>
    <w:rsid w:val="0056110F"/>
    <w:rsid w:val="00561293"/>
    <w:rsid w:val="00561BEA"/>
    <w:rsid w:val="005620C4"/>
    <w:rsid w:val="00562EFD"/>
    <w:rsid w:val="00563C99"/>
    <w:rsid w:val="00563DC0"/>
    <w:rsid w:val="00563E93"/>
    <w:rsid w:val="00564587"/>
    <w:rsid w:val="005658D7"/>
    <w:rsid w:val="00565C10"/>
    <w:rsid w:val="00565CA8"/>
    <w:rsid w:val="00565D5E"/>
    <w:rsid w:val="00565FF3"/>
    <w:rsid w:val="0056631C"/>
    <w:rsid w:val="005671D3"/>
    <w:rsid w:val="00570274"/>
    <w:rsid w:val="00570D82"/>
    <w:rsid w:val="005711E8"/>
    <w:rsid w:val="00571B54"/>
    <w:rsid w:val="0057296D"/>
    <w:rsid w:val="00572E62"/>
    <w:rsid w:val="00574226"/>
    <w:rsid w:val="005742B0"/>
    <w:rsid w:val="00574701"/>
    <w:rsid w:val="0057479E"/>
    <w:rsid w:val="005750DA"/>
    <w:rsid w:val="00575632"/>
    <w:rsid w:val="00575B21"/>
    <w:rsid w:val="0057763B"/>
    <w:rsid w:val="0058467F"/>
    <w:rsid w:val="00584C35"/>
    <w:rsid w:val="0058694D"/>
    <w:rsid w:val="0058799C"/>
    <w:rsid w:val="005879DE"/>
    <w:rsid w:val="00587A3F"/>
    <w:rsid w:val="00587EE8"/>
    <w:rsid w:val="00593083"/>
    <w:rsid w:val="00593179"/>
    <w:rsid w:val="0059353A"/>
    <w:rsid w:val="00593717"/>
    <w:rsid w:val="005941F5"/>
    <w:rsid w:val="00594415"/>
    <w:rsid w:val="0059569E"/>
    <w:rsid w:val="0059617A"/>
    <w:rsid w:val="00596479"/>
    <w:rsid w:val="005964B3"/>
    <w:rsid w:val="005973D8"/>
    <w:rsid w:val="005A0394"/>
    <w:rsid w:val="005A049D"/>
    <w:rsid w:val="005A0C97"/>
    <w:rsid w:val="005A12CB"/>
    <w:rsid w:val="005A2E3E"/>
    <w:rsid w:val="005A3615"/>
    <w:rsid w:val="005A38CB"/>
    <w:rsid w:val="005A44D6"/>
    <w:rsid w:val="005A7C55"/>
    <w:rsid w:val="005B1608"/>
    <w:rsid w:val="005B2109"/>
    <w:rsid w:val="005B2317"/>
    <w:rsid w:val="005B259F"/>
    <w:rsid w:val="005B2A4A"/>
    <w:rsid w:val="005B3CC3"/>
    <w:rsid w:val="005B3D90"/>
    <w:rsid w:val="005B418D"/>
    <w:rsid w:val="005B484D"/>
    <w:rsid w:val="005B5278"/>
    <w:rsid w:val="005B534D"/>
    <w:rsid w:val="005B5CAF"/>
    <w:rsid w:val="005B5EE6"/>
    <w:rsid w:val="005B665B"/>
    <w:rsid w:val="005B6C88"/>
    <w:rsid w:val="005C1578"/>
    <w:rsid w:val="005C2DFC"/>
    <w:rsid w:val="005C3882"/>
    <w:rsid w:val="005C3893"/>
    <w:rsid w:val="005C490E"/>
    <w:rsid w:val="005C4EE9"/>
    <w:rsid w:val="005C69E5"/>
    <w:rsid w:val="005C75E8"/>
    <w:rsid w:val="005D131D"/>
    <w:rsid w:val="005D3678"/>
    <w:rsid w:val="005D400C"/>
    <w:rsid w:val="005D4296"/>
    <w:rsid w:val="005D5BEA"/>
    <w:rsid w:val="005D6A3E"/>
    <w:rsid w:val="005E441E"/>
    <w:rsid w:val="005E5B44"/>
    <w:rsid w:val="005F0D3F"/>
    <w:rsid w:val="005F11E3"/>
    <w:rsid w:val="005F34B3"/>
    <w:rsid w:val="005F492D"/>
    <w:rsid w:val="005F4B25"/>
    <w:rsid w:val="005F4E58"/>
    <w:rsid w:val="005F5CA5"/>
    <w:rsid w:val="005F62F7"/>
    <w:rsid w:val="005F65B6"/>
    <w:rsid w:val="005F6EE7"/>
    <w:rsid w:val="005F70AF"/>
    <w:rsid w:val="005F721A"/>
    <w:rsid w:val="0060019F"/>
    <w:rsid w:val="00600303"/>
    <w:rsid w:val="0060343B"/>
    <w:rsid w:val="00603CB7"/>
    <w:rsid w:val="00604134"/>
    <w:rsid w:val="0060441F"/>
    <w:rsid w:val="0060530D"/>
    <w:rsid w:val="006067CB"/>
    <w:rsid w:val="0060727A"/>
    <w:rsid w:val="00607324"/>
    <w:rsid w:val="00607BD4"/>
    <w:rsid w:val="006108F0"/>
    <w:rsid w:val="00611B26"/>
    <w:rsid w:val="00611E8C"/>
    <w:rsid w:val="00611F79"/>
    <w:rsid w:val="00612193"/>
    <w:rsid w:val="0061437F"/>
    <w:rsid w:val="006146A4"/>
    <w:rsid w:val="00614E00"/>
    <w:rsid w:val="00616911"/>
    <w:rsid w:val="00616D29"/>
    <w:rsid w:val="00617B73"/>
    <w:rsid w:val="00617BE1"/>
    <w:rsid w:val="00622386"/>
    <w:rsid w:val="0062260B"/>
    <w:rsid w:val="00623601"/>
    <w:rsid w:val="00623A61"/>
    <w:rsid w:val="00625079"/>
    <w:rsid w:val="00625294"/>
    <w:rsid w:val="00625B8D"/>
    <w:rsid w:val="00625ECB"/>
    <w:rsid w:val="006263D4"/>
    <w:rsid w:val="0062650C"/>
    <w:rsid w:val="006307EF"/>
    <w:rsid w:val="00630A39"/>
    <w:rsid w:val="00631CC3"/>
    <w:rsid w:val="0063556E"/>
    <w:rsid w:val="006368E7"/>
    <w:rsid w:val="00636DEC"/>
    <w:rsid w:val="00637C00"/>
    <w:rsid w:val="00640BC2"/>
    <w:rsid w:val="00641078"/>
    <w:rsid w:val="0064274B"/>
    <w:rsid w:val="00642CB5"/>
    <w:rsid w:val="00643879"/>
    <w:rsid w:val="00643893"/>
    <w:rsid w:val="00643916"/>
    <w:rsid w:val="00643A16"/>
    <w:rsid w:val="00644401"/>
    <w:rsid w:val="00644697"/>
    <w:rsid w:val="00645E89"/>
    <w:rsid w:val="00646B73"/>
    <w:rsid w:val="00646FB0"/>
    <w:rsid w:val="0065098E"/>
    <w:rsid w:val="00650E75"/>
    <w:rsid w:val="006511C8"/>
    <w:rsid w:val="00651293"/>
    <w:rsid w:val="00651D60"/>
    <w:rsid w:val="00651E44"/>
    <w:rsid w:val="00652047"/>
    <w:rsid w:val="0065234E"/>
    <w:rsid w:val="0065369D"/>
    <w:rsid w:val="0065382E"/>
    <w:rsid w:val="00654AE0"/>
    <w:rsid w:val="00654DAC"/>
    <w:rsid w:val="00654F49"/>
    <w:rsid w:val="00656A7B"/>
    <w:rsid w:val="00660C1D"/>
    <w:rsid w:val="006625FF"/>
    <w:rsid w:val="006645CB"/>
    <w:rsid w:val="00664AF7"/>
    <w:rsid w:val="00667D6E"/>
    <w:rsid w:val="006713CF"/>
    <w:rsid w:val="0067153A"/>
    <w:rsid w:val="00671C9C"/>
    <w:rsid w:val="00671F7A"/>
    <w:rsid w:val="00672C99"/>
    <w:rsid w:val="00673A1E"/>
    <w:rsid w:val="006744EE"/>
    <w:rsid w:val="00674C5C"/>
    <w:rsid w:val="006775E7"/>
    <w:rsid w:val="0068002D"/>
    <w:rsid w:val="006803F8"/>
    <w:rsid w:val="00680DD6"/>
    <w:rsid w:val="00681A74"/>
    <w:rsid w:val="00681E00"/>
    <w:rsid w:val="0068224A"/>
    <w:rsid w:val="00682582"/>
    <w:rsid w:val="00683720"/>
    <w:rsid w:val="00683909"/>
    <w:rsid w:val="00683A73"/>
    <w:rsid w:val="00684D32"/>
    <w:rsid w:val="00685402"/>
    <w:rsid w:val="00685C29"/>
    <w:rsid w:val="006875FC"/>
    <w:rsid w:val="00691294"/>
    <w:rsid w:val="00691B0C"/>
    <w:rsid w:val="006923D2"/>
    <w:rsid w:val="006927D0"/>
    <w:rsid w:val="006930AA"/>
    <w:rsid w:val="00693142"/>
    <w:rsid w:val="0069389F"/>
    <w:rsid w:val="00693A41"/>
    <w:rsid w:val="006948D6"/>
    <w:rsid w:val="00695F33"/>
    <w:rsid w:val="00697AC1"/>
    <w:rsid w:val="006A0EEB"/>
    <w:rsid w:val="006A1874"/>
    <w:rsid w:val="006A1F54"/>
    <w:rsid w:val="006A2017"/>
    <w:rsid w:val="006A2BE5"/>
    <w:rsid w:val="006A2E0C"/>
    <w:rsid w:val="006A3A45"/>
    <w:rsid w:val="006A3B43"/>
    <w:rsid w:val="006A3D1B"/>
    <w:rsid w:val="006A3E54"/>
    <w:rsid w:val="006A3F07"/>
    <w:rsid w:val="006A4184"/>
    <w:rsid w:val="006A594F"/>
    <w:rsid w:val="006A5F62"/>
    <w:rsid w:val="006A625E"/>
    <w:rsid w:val="006A76CE"/>
    <w:rsid w:val="006A782B"/>
    <w:rsid w:val="006B1176"/>
    <w:rsid w:val="006B17D4"/>
    <w:rsid w:val="006B1EA7"/>
    <w:rsid w:val="006B59C2"/>
    <w:rsid w:val="006B64A6"/>
    <w:rsid w:val="006B736A"/>
    <w:rsid w:val="006C0519"/>
    <w:rsid w:val="006C24FF"/>
    <w:rsid w:val="006C325C"/>
    <w:rsid w:val="006C4054"/>
    <w:rsid w:val="006C4303"/>
    <w:rsid w:val="006C4671"/>
    <w:rsid w:val="006C4C87"/>
    <w:rsid w:val="006C4FDA"/>
    <w:rsid w:val="006C5A4C"/>
    <w:rsid w:val="006C5DFE"/>
    <w:rsid w:val="006C77BE"/>
    <w:rsid w:val="006C7B30"/>
    <w:rsid w:val="006C7BA2"/>
    <w:rsid w:val="006C7E06"/>
    <w:rsid w:val="006D0A1F"/>
    <w:rsid w:val="006D18CA"/>
    <w:rsid w:val="006D2EDC"/>
    <w:rsid w:val="006D2F79"/>
    <w:rsid w:val="006D40B8"/>
    <w:rsid w:val="006D5090"/>
    <w:rsid w:val="006D553E"/>
    <w:rsid w:val="006D594D"/>
    <w:rsid w:val="006D5ACF"/>
    <w:rsid w:val="006D627D"/>
    <w:rsid w:val="006D7E79"/>
    <w:rsid w:val="006E109D"/>
    <w:rsid w:val="006E1376"/>
    <w:rsid w:val="006E1657"/>
    <w:rsid w:val="006E1B19"/>
    <w:rsid w:val="006E2254"/>
    <w:rsid w:val="006E331C"/>
    <w:rsid w:val="006E35F9"/>
    <w:rsid w:val="006E3723"/>
    <w:rsid w:val="006E4681"/>
    <w:rsid w:val="006E498C"/>
    <w:rsid w:val="006E5866"/>
    <w:rsid w:val="006E5A2E"/>
    <w:rsid w:val="006E65C9"/>
    <w:rsid w:val="006E6D1B"/>
    <w:rsid w:val="006E7B0C"/>
    <w:rsid w:val="006E7B98"/>
    <w:rsid w:val="006E7F71"/>
    <w:rsid w:val="006F0CDA"/>
    <w:rsid w:val="006F1A45"/>
    <w:rsid w:val="006F3EB5"/>
    <w:rsid w:val="006F4ADC"/>
    <w:rsid w:val="006F5F75"/>
    <w:rsid w:val="006F5F97"/>
    <w:rsid w:val="006F7503"/>
    <w:rsid w:val="00701A55"/>
    <w:rsid w:val="0070289B"/>
    <w:rsid w:val="007028F8"/>
    <w:rsid w:val="00705507"/>
    <w:rsid w:val="00705D9D"/>
    <w:rsid w:val="00711256"/>
    <w:rsid w:val="007120F7"/>
    <w:rsid w:val="00712F76"/>
    <w:rsid w:val="00713744"/>
    <w:rsid w:val="00713872"/>
    <w:rsid w:val="00713A1A"/>
    <w:rsid w:val="0071428F"/>
    <w:rsid w:val="00714693"/>
    <w:rsid w:val="007146D7"/>
    <w:rsid w:val="00714E47"/>
    <w:rsid w:val="0071508C"/>
    <w:rsid w:val="00715F47"/>
    <w:rsid w:val="00716AC0"/>
    <w:rsid w:val="00717652"/>
    <w:rsid w:val="0071799E"/>
    <w:rsid w:val="00717D4D"/>
    <w:rsid w:val="00717DC4"/>
    <w:rsid w:val="0072060A"/>
    <w:rsid w:val="0072063D"/>
    <w:rsid w:val="00720C97"/>
    <w:rsid w:val="00723582"/>
    <w:rsid w:val="00723CB8"/>
    <w:rsid w:val="00724DAB"/>
    <w:rsid w:val="00724DEB"/>
    <w:rsid w:val="007273FB"/>
    <w:rsid w:val="00727912"/>
    <w:rsid w:val="00727EE6"/>
    <w:rsid w:val="00727F6A"/>
    <w:rsid w:val="00730900"/>
    <w:rsid w:val="00730920"/>
    <w:rsid w:val="00730ADB"/>
    <w:rsid w:val="00731039"/>
    <w:rsid w:val="007321BB"/>
    <w:rsid w:val="00733135"/>
    <w:rsid w:val="007337DC"/>
    <w:rsid w:val="007338D5"/>
    <w:rsid w:val="00734ECD"/>
    <w:rsid w:val="007353F8"/>
    <w:rsid w:val="00735CB4"/>
    <w:rsid w:val="007361E0"/>
    <w:rsid w:val="0073656A"/>
    <w:rsid w:val="00740CDE"/>
    <w:rsid w:val="00740D0F"/>
    <w:rsid w:val="0074288C"/>
    <w:rsid w:val="00742965"/>
    <w:rsid w:val="0074303F"/>
    <w:rsid w:val="00744BE3"/>
    <w:rsid w:val="00746C07"/>
    <w:rsid w:val="00747ACC"/>
    <w:rsid w:val="00747BDC"/>
    <w:rsid w:val="00751118"/>
    <w:rsid w:val="007515AB"/>
    <w:rsid w:val="00751BE3"/>
    <w:rsid w:val="00751CB8"/>
    <w:rsid w:val="00752462"/>
    <w:rsid w:val="00752780"/>
    <w:rsid w:val="00753491"/>
    <w:rsid w:val="007546C7"/>
    <w:rsid w:val="00754725"/>
    <w:rsid w:val="00754A12"/>
    <w:rsid w:val="00754DAA"/>
    <w:rsid w:val="00755EF1"/>
    <w:rsid w:val="0075606C"/>
    <w:rsid w:val="00756642"/>
    <w:rsid w:val="00756A4A"/>
    <w:rsid w:val="00757EF5"/>
    <w:rsid w:val="007605A4"/>
    <w:rsid w:val="0076081A"/>
    <w:rsid w:val="00760A8F"/>
    <w:rsid w:val="00761469"/>
    <w:rsid w:val="00761ABB"/>
    <w:rsid w:val="00761E64"/>
    <w:rsid w:val="00762194"/>
    <w:rsid w:val="0076293D"/>
    <w:rsid w:val="00762992"/>
    <w:rsid w:val="007629BD"/>
    <w:rsid w:val="00764229"/>
    <w:rsid w:val="007646E3"/>
    <w:rsid w:val="007649D3"/>
    <w:rsid w:val="00764F52"/>
    <w:rsid w:val="00772F28"/>
    <w:rsid w:val="00773008"/>
    <w:rsid w:val="007734B2"/>
    <w:rsid w:val="00773D1E"/>
    <w:rsid w:val="00774895"/>
    <w:rsid w:val="00774A72"/>
    <w:rsid w:val="007754D3"/>
    <w:rsid w:val="007762AC"/>
    <w:rsid w:val="007766C4"/>
    <w:rsid w:val="00776CA0"/>
    <w:rsid w:val="007770C4"/>
    <w:rsid w:val="007772A5"/>
    <w:rsid w:val="00777D6D"/>
    <w:rsid w:val="007800C2"/>
    <w:rsid w:val="00780334"/>
    <w:rsid w:val="00780A91"/>
    <w:rsid w:val="00780ADA"/>
    <w:rsid w:val="007810BA"/>
    <w:rsid w:val="00782455"/>
    <w:rsid w:val="00784545"/>
    <w:rsid w:val="0078506C"/>
    <w:rsid w:val="00786600"/>
    <w:rsid w:val="007875FF"/>
    <w:rsid w:val="007900A4"/>
    <w:rsid w:val="00790FF2"/>
    <w:rsid w:val="00791930"/>
    <w:rsid w:val="00793385"/>
    <w:rsid w:val="007933C5"/>
    <w:rsid w:val="00793B1A"/>
    <w:rsid w:val="007941D0"/>
    <w:rsid w:val="007941E4"/>
    <w:rsid w:val="00794BFB"/>
    <w:rsid w:val="00795159"/>
    <w:rsid w:val="00795E25"/>
    <w:rsid w:val="007969AF"/>
    <w:rsid w:val="00797B17"/>
    <w:rsid w:val="007A00FB"/>
    <w:rsid w:val="007A04D7"/>
    <w:rsid w:val="007A464E"/>
    <w:rsid w:val="007A4767"/>
    <w:rsid w:val="007A4B02"/>
    <w:rsid w:val="007A4FC9"/>
    <w:rsid w:val="007A5F58"/>
    <w:rsid w:val="007B0AAE"/>
    <w:rsid w:val="007B0C36"/>
    <w:rsid w:val="007B199A"/>
    <w:rsid w:val="007B2DC8"/>
    <w:rsid w:val="007B2EE8"/>
    <w:rsid w:val="007B3510"/>
    <w:rsid w:val="007B5C0B"/>
    <w:rsid w:val="007B620B"/>
    <w:rsid w:val="007B7C20"/>
    <w:rsid w:val="007C100D"/>
    <w:rsid w:val="007C17DE"/>
    <w:rsid w:val="007C1C3D"/>
    <w:rsid w:val="007C28CA"/>
    <w:rsid w:val="007C2B24"/>
    <w:rsid w:val="007C6041"/>
    <w:rsid w:val="007C76A8"/>
    <w:rsid w:val="007D1402"/>
    <w:rsid w:val="007D42DD"/>
    <w:rsid w:val="007D4521"/>
    <w:rsid w:val="007D4DAF"/>
    <w:rsid w:val="007D4E7D"/>
    <w:rsid w:val="007D572F"/>
    <w:rsid w:val="007D6A40"/>
    <w:rsid w:val="007D7637"/>
    <w:rsid w:val="007E1067"/>
    <w:rsid w:val="007E1CA9"/>
    <w:rsid w:val="007E2B59"/>
    <w:rsid w:val="007E2C24"/>
    <w:rsid w:val="007E37CF"/>
    <w:rsid w:val="007E49DB"/>
    <w:rsid w:val="007E5184"/>
    <w:rsid w:val="007E5D53"/>
    <w:rsid w:val="007E7CF0"/>
    <w:rsid w:val="007F16DE"/>
    <w:rsid w:val="007F19FC"/>
    <w:rsid w:val="007F1A15"/>
    <w:rsid w:val="007F1BE8"/>
    <w:rsid w:val="007F25E3"/>
    <w:rsid w:val="007F2FC0"/>
    <w:rsid w:val="007F3EB6"/>
    <w:rsid w:val="007F3EF4"/>
    <w:rsid w:val="007F401C"/>
    <w:rsid w:val="007F4447"/>
    <w:rsid w:val="007F5000"/>
    <w:rsid w:val="007F5B07"/>
    <w:rsid w:val="007F6E4E"/>
    <w:rsid w:val="00800010"/>
    <w:rsid w:val="008006EF"/>
    <w:rsid w:val="00800C4D"/>
    <w:rsid w:val="00801469"/>
    <w:rsid w:val="008035D5"/>
    <w:rsid w:val="00803D7D"/>
    <w:rsid w:val="0080492A"/>
    <w:rsid w:val="00805329"/>
    <w:rsid w:val="008056E2"/>
    <w:rsid w:val="008066C8"/>
    <w:rsid w:val="0080768C"/>
    <w:rsid w:val="00810284"/>
    <w:rsid w:val="008114DE"/>
    <w:rsid w:val="008114E0"/>
    <w:rsid w:val="00813783"/>
    <w:rsid w:val="0081529E"/>
    <w:rsid w:val="008158C2"/>
    <w:rsid w:val="00821CA7"/>
    <w:rsid w:val="0082247D"/>
    <w:rsid w:val="00822635"/>
    <w:rsid w:val="00822BA3"/>
    <w:rsid w:val="008231DF"/>
    <w:rsid w:val="0082346B"/>
    <w:rsid w:val="00823650"/>
    <w:rsid w:val="00823CD8"/>
    <w:rsid w:val="00825044"/>
    <w:rsid w:val="0082598B"/>
    <w:rsid w:val="00826733"/>
    <w:rsid w:val="00826833"/>
    <w:rsid w:val="00830636"/>
    <w:rsid w:val="00831663"/>
    <w:rsid w:val="0083178F"/>
    <w:rsid w:val="0083263E"/>
    <w:rsid w:val="00832C46"/>
    <w:rsid w:val="00833D0E"/>
    <w:rsid w:val="008340D5"/>
    <w:rsid w:val="008345B7"/>
    <w:rsid w:val="00835219"/>
    <w:rsid w:val="00835B97"/>
    <w:rsid w:val="00836183"/>
    <w:rsid w:val="00837741"/>
    <w:rsid w:val="00837B9D"/>
    <w:rsid w:val="00840784"/>
    <w:rsid w:val="00840CF4"/>
    <w:rsid w:val="00841437"/>
    <w:rsid w:val="0084167A"/>
    <w:rsid w:val="0084230A"/>
    <w:rsid w:val="0084334F"/>
    <w:rsid w:val="008439BF"/>
    <w:rsid w:val="0084460D"/>
    <w:rsid w:val="008448BB"/>
    <w:rsid w:val="00845609"/>
    <w:rsid w:val="008465AE"/>
    <w:rsid w:val="00846706"/>
    <w:rsid w:val="00846DAA"/>
    <w:rsid w:val="008500C2"/>
    <w:rsid w:val="00850A07"/>
    <w:rsid w:val="00850B7E"/>
    <w:rsid w:val="00851A67"/>
    <w:rsid w:val="008522EC"/>
    <w:rsid w:val="00852387"/>
    <w:rsid w:val="008523D4"/>
    <w:rsid w:val="00852B8A"/>
    <w:rsid w:val="008537A2"/>
    <w:rsid w:val="00854249"/>
    <w:rsid w:val="0085444D"/>
    <w:rsid w:val="00854507"/>
    <w:rsid w:val="008545A6"/>
    <w:rsid w:val="008575F1"/>
    <w:rsid w:val="00860F2D"/>
    <w:rsid w:val="0086101F"/>
    <w:rsid w:val="00861112"/>
    <w:rsid w:val="00861B4C"/>
    <w:rsid w:val="0086246E"/>
    <w:rsid w:val="008628D3"/>
    <w:rsid w:val="00863991"/>
    <w:rsid w:val="00863C21"/>
    <w:rsid w:val="0086594B"/>
    <w:rsid w:val="00866B73"/>
    <w:rsid w:val="008670C8"/>
    <w:rsid w:val="00867CE3"/>
    <w:rsid w:val="00867E5C"/>
    <w:rsid w:val="00870A57"/>
    <w:rsid w:val="00870B4F"/>
    <w:rsid w:val="0087237B"/>
    <w:rsid w:val="00872386"/>
    <w:rsid w:val="00872479"/>
    <w:rsid w:val="00875FB9"/>
    <w:rsid w:val="00876BB5"/>
    <w:rsid w:val="008770B2"/>
    <w:rsid w:val="0088137E"/>
    <w:rsid w:val="00881B51"/>
    <w:rsid w:val="00881E16"/>
    <w:rsid w:val="0088334B"/>
    <w:rsid w:val="00883962"/>
    <w:rsid w:val="00886425"/>
    <w:rsid w:val="008872B3"/>
    <w:rsid w:val="00887939"/>
    <w:rsid w:val="0089062D"/>
    <w:rsid w:val="00893D98"/>
    <w:rsid w:val="00893F7D"/>
    <w:rsid w:val="00894AD7"/>
    <w:rsid w:val="00896FD5"/>
    <w:rsid w:val="008979EA"/>
    <w:rsid w:val="00897EF8"/>
    <w:rsid w:val="008A006C"/>
    <w:rsid w:val="008A01D3"/>
    <w:rsid w:val="008A0645"/>
    <w:rsid w:val="008A09B7"/>
    <w:rsid w:val="008A0E40"/>
    <w:rsid w:val="008A10A8"/>
    <w:rsid w:val="008A1A82"/>
    <w:rsid w:val="008A1C44"/>
    <w:rsid w:val="008A278C"/>
    <w:rsid w:val="008A2D71"/>
    <w:rsid w:val="008A55AB"/>
    <w:rsid w:val="008A625E"/>
    <w:rsid w:val="008A65EB"/>
    <w:rsid w:val="008A6CC5"/>
    <w:rsid w:val="008A7F06"/>
    <w:rsid w:val="008B0B84"/>
    <w:rsid w:val="008B129D"/>
    <w:rsid w:val="008B2A40"/>
    <w:rsid w:val="008B3077"/>
    <w:rsid w:val="008B3833"/>
    <w:rsid w:val="008B39A6"/>
    <w:rsid w:val="008B3D4C"/>
    <w:rsid w:val="008B4251"/>
    <w:rsid w:val="008B4612"/>
    <w:rsid w:val="008B47DB"/>
    <w:rsid w:val="008B498B"/>
    <w:rsid w:val="008B49A6"/>
    <w:rsid w:val="008B558C"/>
    <w:rsid w:val="008B6A9D"/>
    <w:rsid w:val="008B74B2"/>
    <w:rsid w:val="008B7E88"/>
    <w:rsid w:val="008C14A4"/>
    <w:rsid w:val="008C1880"/>
    <w:rsid w:val="008C1A5E"/>
    <w:rsid w:val="008C1FD5"/>
    <w:rsid w:val="008C2209"/>
    <w:rsid w:val="008C2BD6"/>
    <w:rsid w:val="008C300F"/>
    <w:rsid w:val="008C3BDA"/>
    <w:rsid w:val="008C3FA3"/>
    <w:rsid w:val="008C5838"/>
    <w:rsid w:val="008C5A69"/>
    <w:rsid w:val="008C5F60"/>
    <w:rsid w:val="008C63B1"/>
    <w:rsid w:val="008C7CD5"/>
    <w:rsid w:val="008D2F47"/>
    <w:rsid w:val="008D3E12"/>
    <w:rsid w:val="008D4FB0"/>
    <w:rsid w:val="008D5C43"/>
    <w:rsid w:val="008D721A"/>
    <w:rsid w:val="008D73C8"/>
    <w:rsid w:val="008D7A20"/>
    <w:rsid w:val="008E174E"/>
    <w:rsid w:val="008E1FF6"/>
    <w:rsid w:val="008E25B8"/>
    <w:rsid w:val="008E2963"/>
    <w:rsid w:val="008E3644"/>
    <w:rsid w:val="008E36B3"/>
    <w:rsid w:val="008E3912"/>
    <w:rsid w:val="008E63CD"/>
    <w:rsid w:val="008E6725"/>
    <w:rsid w:val="008E7225"/>
    <w:rsid w:val="008E7A93"/>
    <w:rsid w:val="008F071A"/>
    <w:rsid w:val="008F0D51"/>
    <w:rsid w:val="008F1571"/>
    <w:rsid w:val="008F1BA3"/>
    <w:rsid w:val="008F2E92"/>
    <w:rsid w:val="008F4EF3"/>
    <w:rsid w:val="008F4F20"/>
    <w:rsid w:val="008F7E55"/>
    <w:rsid w:val="00900D40"/>
    <w:rsid w:val="00901723"/>
    <w:rsid w:val="0090380D"/>
    <w:rsid w:val="009047FD"/>
    <w:rsid w:val="00904B51"/>
    <w:rsid w:val="00904C6A"/>
    <w:rsid w:val="009052CF"/>
    <w:rsid w:val="00906E11"/>
    <w:rsid w:val="0090752F"/>
    <w:rsid w:val="00907ECD"/>
    <w:rsid w:val="009108A8"/>
    <w:rsid w:val="00910D82"/>
    <w:rsid w:val="00911AD1"/>
    <w:rsid w:val="009122C0"/>
    <w:rsid w:val="0091368C"/>
    <w:rsid w:val="00913D34"/>
    <w:rsid w:val="00914289"/>
    <w:rsid w:val="0091433A"/>
    <w:rsid w:val="00914C1C"/>
    <w:rsid w:val="00914E26"/>
    <w:rsid w:val="00915DFB"/>
    <w:rsid w:val="00916BF8"/>
    <w:rsid w:val="009204F7"/>
    <w:rsid w:val="00922708"/>
    <w:rsid w:val="00922E9A"/>
    <w:rsid w:val="00923423"/>
    <w:rsid w:val="0092712B"/>
    <w:rsid w:val="009277EF"/>
    <w:rsid w:val="00927B0A"/>
    <w:rsid w:val="00927FCF"/>
    <w:rsid w:val="009300D7"/>
    <w:rsid w:val="00931B8F"/>
    <w:rsid w:val="0093370D"/>
    <w:rsid w:val="00933D8B"/>
    <w:rsid w:val="00935B49"/>
    <w:rsid w:val="00935F8E"/>
    <w:rsid w:val="00936012"/>
    <w:rsid w:val="009361B8"/>
    <w:rsid w:val="0093664B"/>
    <w:rsid w:val="00936D33"/>
    <w:rsid w:val="00940277"/>
    <w:rsid w:val="00940486"/>
    <w:rsid w:val="009405C5"/>
    <w:rsid w:val="00941359"/>
    <w:rsid w:val="009421C8"/>
    <w:rsid w:val="00943037"/>
    <w:rsid w:val="009443C2"/>
    <w:rsid w:val="00944B79"/>
    <w:rsid w:val="00946509"/>
    <w:rsid w:val="0094686A"/>
    <w:rsid w:val="00946B3B"/>
    <w:rsid w:val="009501DE"/>
    <w:rsid w:val="0095038E"/>
    <w:rsid w:val="00950A9B"/>
    <w:rsid w:val="00951CED"/>
    <w:rsid w:val="00952049"/>
    <w:rsid w:val="00953390"/>
    <w:rsid w:val="00953EAD"/>
    <w:rsid w:val="00954350"/>
    <w:rsid w:val="009546BD"/>
    <w:rsid w:val="0095489F"/>
    <w:rsid w:val="00954FEE"/>
    <w:rsid w:val="0095603B"/>
    <w:rsid w:val="00956299"/>
    <w:rsid w:val="009563FC"/>
    <w:rsid w:val="00957EEC"/>
    <w:rsid w:val="009602F1"/>
    <w:rsid w:val="00960E33"/>
    <w:rsid w:val="00961A54"/>
    <w:rsid w:val="00961EA3"/>
    <w:rsid w:val="009620CC"/>
    <w:rsid w:val="00962519"/>
    <w:rsid w:val="00962836"/>
    <w:rsid w:val="00962880"/>
    <w:rsid w:val="00964291"/>
    <w:rsid w:val="009648B7"/>
    <w:rsid w:val="00964FC8"/>
    <w:rsid w:val="0096540A"/>
    <w:rsid w:val="009673AB"/>
    <w:rsid w:val="00970512"/>
    <w:rsid w:val="009707DE"/>
    <w:rsid w:val="009708F0"/>
    <w:rsid w:val="00971036"/>
    <w:rsid w:val="00971EEE"/>
    <w:rsid w:val="00972E6B"/>
    <w:rsid w:val="00973788"/>
    <w:rsid w:val="0097422B"/>
    <w:rsid w:val="00974B99"/>
    <w:rsid w:val="00975D0A"/>
    <w:rsid w:val="009761EB"/>
    <w:rsid w:val="00977E33"/>
    <w:rsid w:val="0098018E"/>
    <w:rsid w:val="009804F0"/>
    <w:rsid w:val="0098298A"/>
    <w:rsid w:val="00982D88"/>
    <w:rsid w:val="00983246"/>
    <w:rsid w:val="00983607"/>
    <w:rsid w:val="009849A7"/>
    <w:rsid w:val="00984E36"/>
    <w:rsid w:val="009851A2"/>
    <w:rsid w:val="00986F32"/>
    <w:rsid w:val="009902C1"/>
    <w:rsid w:val="00991602"/>
    <w:rsid w:val="00991B95"/>
    <w:rsid w:val="00993E78"/>
    <w:rsid w:val="00994F4E"/>
    <w:rsid w:val="0099533E"/>
    <w:rsid w:val="00997D7C"/>
    <w:rsid w:val="009A00B1"/>
    <w:rsid w:val="009A21D0"/>
    <w:rsid w:val="009A2567"/>
    <w:rsid w:val="009A351F"/>
    <w:rsid w:val="009A3A21"/>
    <w:rsid w:val="009A3DE8"/>
    <w:rsid w:val="009A546D"/>
    <w:rsid w:val="009A5EDD"/>
    <w:rsid w:val="009A63DB"/>
    <w:rsid w:val="009A704D"/>
    <w:rsid w:val="009A7D7D"/>
    <w:rsid w:val="009B03AF"/>
    <w:rsid w:val="009B05C4"/>
    <w:rsid w:val="009B26C9"/>
    <w:rsid w:val="009B2908"/>
    <w:rsid w:val="009B2F03"/>
    <w:rsid w:val="009B36C0"/>
    <w:rsid w:val="009B38D0"/>
    <w:rsid w:val="009B43C4"/>
    <w:rsid w:val="009B496C"/>
    <w:rsid w:val="009B4B1A"/>
    <w:rsid w:val="009B56A7"/>
    <w:rsid w:val="009B5BBA"/>
    <w:rsid w:val="009B5C2D"/>
    <w:rsid w:val="009B5C35"/>
    <w:rsid w:val="009B5C5F"/>
    <w:rsid w:val="009B5CFE"/>
    <w:rsid w:val="009B65DA"/>
    <w:rsid w:val="009B7254"/>
    <w:rsid w:val="009C1011"/>
    <w:rsid w:val="009C1465"/>
    <w:rsid w:val="009C36B1"/>
    <w:rsid w:val="009C3990"/>
    <w:rsid w:val="009C4252"/>
    <w:rsid w:val="009C4305"/>
    <w:rsid w:val="009C470C"/>
    <w:rsid w:val="009C4A16"/>
    <w:rsid w:val="009C5E9B"/>
    <w:rsid w:val="009C6ED4"/>
    <w:rsid w:val="009C7B59"/>
    <w:rsid w:val="009D063D"/>
    <w:rsid w:val="009D09C0"/>
    <w:rsid w:val="009D0F32"/>
    <w:rsid w:val="009D153C"/>
    <w:rsid w:val="009D1C66"/>
    <w:rsid w:val="009D2A65"/>
    <w:rsid w:val="009D3321"/>
    <w:rsid w:val="009D3698"/>
    <w:rsid w:val="009D49E7"/>
    <w:rsid w:val="009D5267"/>
    <w:rsid w:val="009D5AF9"/>
    <w:rsid w:val="009D7330"/>
    <w:rsid w:val="009D7E2D"/>
    <w:rsid w:val="009E09C3"/>
    <w:rsid w:val="009E1CD0"/>
    <w:rsid w:val="009E1D1E"/>
    <w:rsid w:val="009E1E9F"/>
    <w:rsid w:val="009E1ED2"/>
    <w:rsid w:val="009E38CB"/>
    <w:rsid w:val="009E669C"/>
    <w:rsid w:val="009E739B"/>
    <w:rsid w:val="009E73F3"/>
    <w:rsid w:val="009E79BE"/>
    <w:rsid w:val="009F0C28"/>
    <w:rsid w:val="009F14BC"/>
    <w:rsid w:val="009F2FAA"/>
    <w:rsid w:val="009F3100"/>
    <w:rsid w:val="009F3A94"/>
    <w:rsid w:val="009F50DC"/>
    <w:rsid w:val="009F50EF"/>
    <w:rsid w:val="009F5125"/>
    <w:rsid w:val="009F6A44"/>
    <w:rsid w:val="009F70B3"/>
    <w:rsid w:val="009F74B1"/>
    <w:rsid w:val="00A00C90"/>
    <w:rsid w:val="00A01871"/>
    <w:rsid w:val="00A02023"/>
    <w:rsid w:val="00A02191"/>
    <w:rsid w:val="00A02DDA"/>
    <w:rsid w:val="00A031A2"/>
    <w:rsid w:val="00A03645"/>
    <w:rsid w:val="00A04762"/>
    <w:rsid w:val="00A05BF1"/>
    <w:rsid w:val="00A05DBA"/>
    <w:rsid w:val="00A0674E"/>
    <w:rsid w:val="00A06D43"/>
    <w:rsid w:val="00A070E6"/>
    <w:rsid w:val="00A075DA"/>
    <w:rsid w:val="00A0769A"/>
    <w:rsid w:val="00A101A2"/>
    <w:rsid w:val="00A12495"/>
    <w:rsid w:val="00A1384A"/>
    <w:rsid w:val="00A14893"/>
    <w:rsid w:val="00A14983"/>
    <w:rsid w:val="00A15505"/>
    <w:rsid w:val="00A1596A"/>
    <w:rsid w:val="00A16F53"/>
    <w:rsid w:val="00A17C35"/>
    <w:rsid w:val="00A21222"/>
    <w:rsid w:val="00A212F3"/>
    <w:rsid w:val="00A21462"/>
    <w:rsid w:val="00A2199F"/>
    <w:rsid w:val="00A23540"/>
    <w:rsid w:val="00A23AF1"/>
    <w:rsid w:val="00A254DB"/>
    <w:rsid w:val="00A25EF1"/>
    <w:rsid w:val="00A27519"/>
    <w:rsid w:val="00A27BCF"/>
    <w:rsid w:val="00A34009"/>
    <w:rsid w:val="00A3548B"/>
    <w:rsid w:val="00A35E35"/>
    <w:rsid w:val="00A36412"/>
    <w:rsid w:val="00A36596"/>
    <w:rsid w:val="00A37E25"/>
    <w:rsid w:val="00A40498"/>
    <w:rsid w:val="00A410F9"/>
    <w:rsid w:val="00A42C78"/>
    <w:rsid w:val="00A4339B"/>
    <w:rsid w:val="00A433EE"/>
    <w:rsid w:val="00A44FDB"/>
    <w:rsid w:val="00A459BC"/>
    <w:rsid w:val="00A45DE7"/>
    <w:rsid w:val="00A4613C"/>
    <w:rsid w:val="00A50940"/>
    <w:rsid w:val="00A50CCE"/>
    <w:rsid w:val="00A5170F"/>
    <w:rsid w:val="00A520BA"/>
    <w:rsid w:val="00A5216F"/>
    <w:rsid w:val="00A52404"/>
    <w:rsid w:val="00A52F45"/>
    <w:rsid w:val="00A52F88"/>
    <w:rsid w:val="00A551BA"/>
    <w:rsid w:val="00A55CBC"/>
    <w:rsid w:val="00A56065"/>
    <w:rsid w:val="00A57ED6"/>
    <w:rsid w:val="00A57F0C"/>
    <w:rsid w:val="00A602AF"/>
    <w:rsid w:val="00A61C17"/>
    <w:rsid w:val="00A629F7"/>
    <w:rsid w:val="00A642CD"/>
    <w:rsid w:val="00A6436C"/>
    <w:rsid w:val="00A64F57"/>
    <w:rsid w:val="00A6536F"/>
    <w:rsid w:val="00A675EC"/>
    <w:rsid w:val="00A6771C"/>
    <w:rsid w:val="00A70859"/>
    <w:rsid w:val="00A7087D"/>
    <w:rsid w:val="00A70A47"/>
    <w:rsid w:val="00A710ED"/>
    <w:rsid w:val="00A719FC"/>
    <w:rsid w:val="00A725DA"/>
    <w:rsid w:val="00A72FF2"/>
    <w:rsid w:val="00A73092"/>
    <w:rsid w:val="00A731C0"/>
    <w:rsid w:val="00A73257"/>
    <w:rsid w:val="00A734EE"/>
    <w:rsid w:val="00A74944"/>
    <w:rsid w:val="00A74DCC"/>
    <w:rsid w:val="00A80F25"/>
    <w:rsid w:val="00A82A86"/>
    <w:rsid w:val="00A837BE"/>
    <w:rsid w:val="00A85F8D"/>
    <w:rsid w:val="00A86182"/>
    <w:rsid w:val="00A86860"/>
    <w:rsid w:val="00A86A8E"/>
    <w:rsid w:val="00A87331"/>
    <w:rsid w:val="00A90800"/>
    <w:rsid w:val="00A90857"/>
    <w:rsid w:val="00A9259C"/>
    <w:rsid w:val="00A92758"/>
    <w:rsid w:val="00A943A3"/>
    <w:rsid w:val="00A94C20"/>
    <w:rsid w:val="00A96214"/>
    <w:rsid w:val="00A96CD4"/>
    <w:rsid w:val="00A978DF"/>
    <w:rsid w:val="00AA141D"/>
    <w:rsid w:val="00AA1957"/>
    <w:rsid w:val="00AA1BA3"/>
    <w:rsid w:val="00AA1F76"/>
    <w:rsid w:val="00AA458D"/>
    <w:rsid w:val="00AA56A9"/>
    <w:rsid w:val="00AA5A85"/>
    <w:rsid w:val="00AA5E09"/>
    <w:rsid w:val="00AA6107"/>
    <w:rsid w:val="00AA70FB"/>
    <w:rsid w:val="00AA7703"/>
    <w:rsid w:val="00AB01E3"/>
    <w:rsid w:val="00AB24C2"/>
    <w:rsid w:val="00AB3240"/>
    <w:rsid w:val="00AB5B74"/>
    <w:rsid w:val="00AB5B8D"/>
    <w:rsid w:val="00AB72E7"/>
    <w:rsid w:val="00AB7548"/>
    <w:rsid w:val="00AB7E79"/>
    <w:rsid w:val="00AC02FB"/>
    <w:rsid w:val="00AC0D01"/>
    <w:rsid w:val="00AC1878"/>
    <w:rsid w:val="00AC1CC3"/>
    <w:rsid w:val="00AC2C4E"/>
    <w:rsid w:val="00AC32A6"/>
    <w:rsid w:val="00AC40DA"/>
    <w:rsid w:val="00AC64CD"/>
    <w:rsid w:val="00AC74B9"/>
    <w:rsid w:val="00AD072C"/>
    <w:rsid w:val="00AD1565"/>
    <w:rsid w:val="00AD1577"/>
    <w:rsid w:val="00AD2125"/>
    <w:rsid w:val="00AD2877"/>
    <w:rsid w:val="00AD4468"/>
    <w:rsid w:val="00AD4BB0"/>
    <w:rsid w:val="00AD57A0"/>
    <w:rsid w:val="00AE0C9D"/>
    <w:rsid w:val="00AE15C5"/>
    <w:rsid w:val="00AE1777"/>
    <w:rsid w:val="00AE2B3D"/>
    <w:rsid w:val="00AE2CD9"/>
    <w:rsid w:val="00AE2DB3"/>
    <w:rsid w:val="00AE4687"/>
    <w:rsid w:val="00AE478C"/>
    <w:rsid w:val="00AE4E72"/>
    <w:rsid w:val="00AE787B"/>
    <w:rsid w:val="00AF04B7"/>
    <w:rsid w:val="00AF2744"/>
    <w:rsid w:val="00AF3822"/>
    <w:rsid w:val="00AF3B65"/>
    <w:rsid w:val="00AF3F9E"/>
    <w:rsid w:val="00AF461D"/>
    <w:rsid w:val="00AF5910"/>
    <w:rsid w:val="00AF6980"/>
    <w:rsid w:val="00B013E0"/>
    <w:rsid w:val="00B022A4"/>
    <w:rsid w:val="00B03DE0"/>
    <w:rsid w:val="00B07125"/>
    <w:rsid w:val="00B077CC"/>
    <w:rsid w:val="00B07E82"/>
    <w:rsid w:val="00B10CFC"/>
    <w:rsid w:val="00B13D8D"/>
    <w:rsid w:val="00B13F64"/>
    <w:rsid w:val="00B1405C"/>
    <w:rsid w:val="00B143AD"/>
    <w:rsid w:val="00B16AD3"/>
    <w:rsid w:val="00B16C33"/>
    <w:rsid w:val="00B17239"/>
    <w:rsid w:val="00B17F49"/>
    <w:rsid w:val="00B21BDA"/>
    <w:rsid w:val="00B22BD2"/>
    <w:rsid w:val="00B23F7F"/>
    <w:rsid w:val="00B240EB"/>
    <w:rsid w:val="00B2519B"/>
    <w:rsid w:val="00B26CC5"/>
    <w:rsid w:val="00B27CF6"/>
    <w:rsid w:val="00B27E9D"/>
    <w:rsid w:val="00B30465"/>
    <w:rsid w:val="00B31F84"/>
    <w:rsid w:val="00B34313"/>
    <w:rsid w:val="00B3536C"/>
    <w:rsid w:val="00B3733B"/>
    <w:rsid w:val="00B37C2C"/>
    <w:rsid w:val="00B37DE0"/>
    <w:rsid w:val="00B404F7"/>
    <w:rsid w:val="00B41597"/>
    <w:rsid w:val="00B415BD"/>
    <w:rsid w:val="00B41B38"/>
    <w:rsid w:val="00B41C9B"/>
    <w:rsid w:val="00B42830"/>
    <w:rsid w:val="00B46ED5"/>
    <w:rsid w:val="00B46FE6"/>
    <w:rsid w:val="00B47B6E"/>
    <w:rsid w:val="00B51274"/>
    <w:rsid w:val="00B52DB9"/>
    <w:rsid w:val="00B52F5D"/>
    <w:rsid w:val="00B5353F"/>
    <w:rsid w:val="00B546B0"/>
    <w:rsid w:val="00B54DE7"/>
    <w:rsid w:val="00B55296"/>
    <w:rsid w:val="00B56EB6"/>
    <w:rsid w:val="00B57B0A"/>
    <w:rsid w:val="00B61CEF"/>
    <w:rsid w:val="00B62531"/>
    <w:rsid w:val="00B62946"/>
    <w:rsid w:val="00B62C6A"/>
    <w:rsid w:val="00B6436F"/>
    <w:rsid w:val="00B65399"/>
    <w:rsid w:val="00B65766"/>
    <w:rsid w:val="00B6705A"/>
    <w:rsid w:val="00B670C5"/>
    <w:rsid w:val="00B6769D"/>
    <w:rsid w:val="00B709B2"/>
    <w:rsid w:val="00B73C61"/>
    <w:rsid w:val="00B73DD6"/>
    <w:rsid w:val="00B7416A"/>
    <w:rsid w:val="00B7489F"/>
    <w:rsid w:val="00B774B1"/>
    <w:rsid w:val="00B802C9"/>
    <w:rsid w:val="00B81122"/>
    <w:rsid w:val="00B8123C"/>
    <w:rsid w:val="00B81831"/>
    <w:rsid w:val="00B81C2B"/>
    <w:rsid w:val="00B81DC9"/>
    <w:rsid w:val="00B8228A"/>
    <w:rsid w:val="00B82CA1"/>
    <w:rsid w:val="00B83607"/>
    <w:rsid w:val="00B839F1"/>
    <w:rsid w:val="00B86F0E"/>
    <w:rsid w:val="00B87674"/>
    <w:rsid w:val="00B8786E"/>
    <w:rsid w:val="00B90191"/>
    <w:rsid w:val="00B90B6C"/>
    <w:rsid w:val="00B90D04"/>
    <w:rsid w:val="00B90F40"/>
    <w:rsid w:val="00B914EB"/>
    <w:rsid w:val="00B91A81"/>
    <w:rsid w:val="00B92855"/>
    <w:rsid w:val="00B92BD7"/>
    <w:rsid w:val="00B93989"/>
    <w:rsid w:val="00B944D0"/>
    <w:rsid w:val="00B9788D"/>
    <w:rsid w:val="00BA0B9A"/>
    <w:rsid w:val="00BA0C71"/>
    <w:rsid w:val="00BA1277"/>
    <w:rsid w:val="00BA1585"/>
    <w:rsid w:val="00BA4349"/>
    <w:rsid w:val="00BA4398"/>
    <w:rsid w:val="00BA4CC5"/>
    <w:rsid w:val="00BA4E01"/>
    <w:rsid w:val="00BA56C3"/>
    <w:rsid w:val="00BA63B7"/>
    <w:rsid w:val="00BA7801"/>
    <w:rsid w:val="00BA7AD3"/>
    <w:rsid w:val="00BB02ED"/>
    <w:rsid w:val="00BB09A8"/>
    <w:rsid w:val="00BB139E"/>
    <w:rsid w:val="00BB154C"/>
    <w:rsid w:val="00BB2C6D"/>
    <w:rsid w:val="00BB38F8"/>
    <w:rsid w:val="00BC0436"/>
    <w:rsid w:val="00BC0D90"/>
    <w:rsid w:val="00BC2154"/>
    <w:rsid w:val="00BC2843"/>
    <w:rsid w:val="00BC3225"/>
    <w:rsid w:val="00BC36D5"/>
    <w:rsid w:val="00BC37DE"/>
    <w:rsid w:val="00BC3901"/>
    <w:rsid w:val="00BC5E99"/>
    <w:rsid w:val="00BD0DB1"/>
    <w:rsid w:val="00BD1325"/>
    <w:rsid w:val="00BD2BF7"/>
    <w:rsid w:val="00BD36E4"/>
    <w:rsid w:val="00BD3CD8"/>
    <w:rsid w:val="00BD4480"/>
    <w:rsid w:val="00BD4D1F"/>
    <w:rsid w:val="00BD702E"/>
    <w:rsid w:val="00BE0229"/>
    <w:rsid w:val="00BE0260"/>
    <w:rsid w:val="00BE09BE"/>
    <w:rsid w:val="00BE15D1"/>
    <w:rsid w:val="00BE220D"/>
    <w:rsid w:val="00BE4703"/>
    <w:rsid w:val="00BE5E52"/>
    <w:rsid w:val="00BE70B2"/>
    <w:rsid w:val="00BE7B44"/>
    <w:rsid w:val="00BF1FCD"/>
    <w:rsid w:val="00BF1FEB"/>
    <w:rsid w:val="00BF2E1A"/>
    <w:rsid w:val="00BF46A8"/>
    <w:rsid w:val="00BF4726"/>
    <w:rsid w:val="00BF4755"/>
    <w:rsid w:val="00BF4868"/>
    <w:rsid w:val="00BF4B30"/>
    <w:rsid w:val="00BF5A4E"/>
    <w:rsid w:val="00BF5FFF"/>
    <w:rsid w:val="00BF7AF4"/>
    <w:rsid w:val="00C001DA"/>
    <w:rsid w:val="00C013CE"/>
    <w:rsid w:val="00C02E15"/>
    <w:rsid w:val="00C02F90"/>
    <w:rsid w:val="00C04250"/>
    <w:rsid w:val="00C04BD7"/>
    <w:rsid w:val="00C05080"/>
    <w:rsid w:val="00C062FC"/>
    <w:rsid w:val="00C077B9"/>
    <w:rsid w:val="00C07ECE"/>
    <w:rsid w:val="00C104B2"/>
    <w:rsid w:val="00C10550"/>
    <w:rsid w:val="00C10E9F"/>
    <w:rsid w:val="00C11183"/>
    <w:rsid w:val="00C11F17"/>
    <w:rsid w:val="00C13111"/>
    <w:rsid w:val="00C14174"/>
    <w:rsid w:val="00C1489D"/>
    <w:rsid w:val="00C14C09"/>
    <w:rsid w:val="00C1504A"/>
    <w:rsid w:val="00C15D30"/>
    <w:rsid w:val="00C15DB2"/>
    <w:rsid w:val="00C15DDA"/>
    <w:rsid w:val="00C15FA4"/>
    <w:rsid w:val="00C16057"/>
    <w:rsid w:val="00C16347"/>
    <w:rsid w:val="00C1636F"/>
    <w:rsid w:val="00C16537"/>
    <w:rsid w:val="00C202E4"/>
    <w:rsid w:val="00C20C70"/>
    <w:rsid w:val="00C2144C"/>
    <w:rsid w:val="00C22979"/>
    <w:rsid w:val="00C2368E"/>
    <w:rsid w:val="00C24AA5"/>
    <w:rsid w:val="00C24B97"/>
    <w:rsid w:val="00C250BD"/>
    <w:rsid w:val="00C25252"/>
    <w:rsid w:val="00C265FF"/>
    <w:rsid w:val="00C2671D"/>
    <w:rsid w:val="00C3081B"/>
    <w:rsid w:val="00C31F24"/>
    <w:rsid w:val="00C31FCB"/>
    <w:rsid w:val="00C325E2"/>
    <w:rsid w:val="00C327A9"/>
    <w:rsid w:val="00C32839"/>
    <w:rsid w:val="00C33127"/>
    <w:rsid w:val="00C33B58"/>
    <w:rsid w:val="00C33BBC"/>
    <w:rsid w:val="00C34ACC"/>
    <w:rsid w:val="00C35089"/>
    <w:rsid w:val="00C35A7A"/>
    <w:rsid w:val="00C365F2"/>
    <w:rsid w:val="00C377C5"/>
    <w:rsid w:val="00C37BC2"/>
    <w:rsid w:val="00C400EB"/>
    <w:rsid w:val="00C4336D"/>
    <w:rsid w:val="00C43535"/>
    <w:rsid w:val="00C44604"/>
    <w:rsid w:val="00C45C54"/>
    <w:rsid w:val="00C465DB"/>
    <w:rsid w:val="00C46A23"/>
    <w:rsid w:val="00C51167"/>
    <w:rsid w:val="00C520A5"/>
    <w:rsid w:val="00C52258"/>
    <w:rsid w:val="00C532B8"/>
    <w:rsid w:val="00C5546A"/>
    <w:rsid w:val="00C56FDE"/>
    <w:rsid w:val="00C57934"/>
    <w:rsid w:val="00C6050A"/>
    <w:rsid w:val="00C6064B"/>
    <w:rsid w:val="00C61430"/>
    <w:rsid w:val="00C634FC"/>
    <w:rsid w:val="00C63809"/>
    <w:rsid w:val="00C63F2A"/>
    <w:rsid w:val="00C64095"/>
    <w:rsid w:val="00C6416D"/>
    <w:rsid w:val="00C64968"/>
    <w:rsid w:val="00C64A3F"/>
    <w:rsid w:val="00C64FAF"/>
    <w:rsid w:val="00C65156"/>
    <w:rsid w:val="00C65504"/>
    <w:rsid w:val="00C656EA"/>
    <w:rsid w:val="00C66F89"/>
    <w:rsid w:val="00C710CC"/>
    <w:rsid w:val="00C7248E"/>
    <w:rsid w:val="00C7285E"/>
    <w:rsid w:val="00C73313"/>
    <w:rsid w:val="00C73A3A"/>
    <w:rsid w:val="00C7721B"/>
    <w:rsid w:val="00C80EF4"/>
    <w:rsid w:val="00C81DF7"/>
    <w:rsid w:val="00C820CC"/>
    <w:rsid w:val="00C8216A"/>
    <w:rsid w:val="00C84F76"/>
    <w:rsid w:val="00C85AF0"/>
    <w:rsid w:val="00C85F8E"/>
    <w:rsid w:val="00C860EC"/>
    <w:rsid w:val="00C86CE4"/>
    <w:rsid w:val="00C900DB"/>
    <w:rsid w:val="00C9056A"/>
    <w:rsid w:val="00C90DE3"/>
    <w:rsid w:val="00C90EC0"/>
    <w:rsid w:val="00C9159A"/>
    <w:rsid w:val="00C91916"/>
    <w:rsid w:val="00C928DB"/>
    <w:rsid w:val="00C93B02"/>
    <w:rsid w:val="00C93C5A"/>
    <w:rsid w:val="00C94AF4"/>
    <w:rsid w:val="00C950A8"/>
    <w:rsid w:val="00C95310"/>
    <w:rsid w:val="00C962C7"/>
    <w:rsid w:val="00C97A5F"/>
    <w:rsid w:val="00C97B81"/>
    <w:rsid w:val="00C97E94"/>
    <w:rsid w:val="00CA0525"/>
    <w:rsid w:val="00CA0960"/>
    <w:rsid w:val="00CA138A"/>
    <w:rsid w:val="00CA3B85"/>
    <w:rsid w:val="00CA46AE"/>
    <w:rsid w:val="00CA4EEA"/>
    <w:rsid w:val="00CA515F"/>
    <w:rsid w:val="00CA5961"/>
    <w:rsid w:val="00CA7401"/>
    <w:rsid w:val="00CA79FE"/>
    <w:rsid w:val="00CB020D"/>
    <w:rsid w:val="00CB45AE"/>
    <w:rsid w:val="00CB4836"/>
    <w:rsid w:val="00CB48E5"/>
    <w:rsid w:val="00CB49F0"/>
    <w:rsid w:val="00CB4DB9"/>
    <w:rsid w:val="00CB73D6"/>
    <w:rsid w:val="00CB7B6B"/>
    <w:rsid w:val="00CC0DD2"/>
    <w:rsid w:val="00CC115A"/>
    <w:rsid w:val="00CC1CDF"/>
    <w:rsid w:val="00CC2157"/>
    <w:rsid w:val="00CC3A55"/>
    <w:rsid w:val="00CC5246"/>
    <w:rsid w:val="00CC584A"/>
    <w:rsid w:val="00CC6B48"/>
    <w:rsid w:val="00CC7FF1"/>
    <w:rsid w:val="00CD1213"/>
    <w:rsid w:val="00CD2F8D"/>
    <w:rsid w:val="00CD3AEC"/>
    <w:rsid w:val="00CD4E07"/>
    <w:rsid w:val="00CD5538"/>
    <w:rsid w:val="00CD567F"/>
    <w:rsid w:val="00CD56E9"/>
    <w:rsid w:val="00CD65D7"/>
    <w:rsid w:val="00CD7088"/>
    <w:rsid w:val="00CE1DE6"/>
    <w:rsid w:val="00CE4457"/>
    <w:rsid w:val="00CE57D0"/>
    <w:rsid w:val="00CE67BE"/>
    <w:rsid w:val="00CE6AF5"/>
    <w:rsid w:val="00CE756D"/>
    <w:rsid w:val="00CE76B0"/>
    <w:rsid w:val="00CE798C"/>
    <w:rsid w:val="00CF03D4"/>
    <w:rsid w:val="00CF041A"/>
    <w:rsid w:val="00CF28FF"/>
    <w:rsid w:val="00CF379F"/>
    <w:rsid w:val="00CF3EFD"/>
    <w:rsid w:val="00CF43CB"/>
    <w:rsid w:val="00CF46CE"/>
    <w:rsid w:val="00CF6D35"/>
    <w:rsid w:val="00CF6EF4"/>
    <w:rsid w:val="00CF7611"/>
    <w:rsid w:val="00D00921"/>
    <w:rsid w:val="00D031ED"/>
    <w:rsid w:val="00D0451B"/>
    <w:rsid w:val="00D05BEE"/>
    <w:rsid w:val="00D06078"/>
    <w:rsid w:val="00D0649D"/>
    <w:rsid w:val="00D06A3F"/>
    <w:rsid w:val="00D07788"/>
    <w:rsid w:val="00D0796F"/>
    <w:rsid w:val="00D104E2"/>
    <w:rsid w:val="00D1053D"/>
    <w:rsid w:val="00D1166A"/>
    <w:rsid w:val="00D11F09"/>
    <w:rsid w:val="00D1499B"/>
    <w:rsid w:val="00D149FB"/>
    <w:rsid w:val="00D151AE"/>
    <w:rsid w:val="00D156FC"/>
    <w:rsid w:val="00D15EEA"/>
    <w:rsid w:val="00D16209"/>
    <w:rsid w:val="00D168E6"/>
    <w:rsid w:val="00D16FEA"/>
    <w:rsid w:val="00D17C0B"/>
    <w:rsid w:val="00D17CB8"/>
    <w:rsid w:val="00D20FC6"/>
    <w:rsid w:val="00D21055"/>
    <w:rsid w:val="00D219A2"/>
    <w:rsid w:val="00D2311F"/>
    <w:rsid w:val="00D23734"/>
    <w:rsid w:val="00D251CE"/>
    <w:rsid w:val="00D2577D"/>
    <w:rsid w:val="00D25D27"/>
    <w:rsid w:val="00D25DA9"/>
    <w:rsid w:val="00D27838"/>
    <w:rsid w:val="00D27BD8"/>
    <w:rsid w:val="00D313E3"/>
    <w:rsid w:val="00D32433"/>
    <w:rsid w:val="00D33B43"/>
    <w:rsid w:val="00D35221"/>
    <w:rsid w:val="00D3576A"/>
    <w:rsid w:val="00D40532"/>
    <w:rsid w:val="00D4064F"/>
    <w:rsid w:val="00D40BEA"/>
    <w:rsid w:val="00D421BD"/>
    <w:rsid w:val="00D4288D"/>
    <w:rsid w:val="00D428BE"/>
    <w:rsid w:val="00D4399B"/>
    <w:rsid w:val="00D441BE"/>
    <w:rsid w:val="00D44D23"/>
    <w:rsid w:val="00D44D97"/>
    <w:rsid w:val="00D45446"/>
    <w:rsid w:val="00D50336"/>
    <w:rsid w:val="00D50516"/>
    <w:rsid w:val="00D50F1B"/>
    <w:rsid w:val="00D5106B"/>
    <w:rsid w:val="00D51A28"/>
    <w:rsid w:val="00D53337"/>
    <w:rsid w:val="00D536DF"/>
    <w:rsid w:val="00D5465A"/>
    <w:rsid w:val="00D55165"/>
    <w:rsid w:val="00D55347"/>
    <w:rsid w:val="00D55AD2"/>
    <w:rsid w:val="00D56B05"/>
    <w:rsid w:val="00D56CB5"/>
    <w:rsid w:val="00D57A1C"/>
    <w:rsid w:val="00D57E3D"/>
    <w:rsid w:val="00D609D4"/>
    <w:rsid w:val="00D60CFD"/>
    <w:rsid w:val="00D60F32"/>
    <w:rsid w:val="00D61D57"/>
    <w:rsid w:val="00D62262"/>
    <w:rsid w:val="00D6326E"/>
    <w:rsid w:val="00D63B14"/>
    <w:rsid w:val="00D64A3F"/>
    <w:rsid w:val="00D65E94"/>
    <w:rsid w:val="00D66401"/>
    <w:rsid w:val="00D66571"/>
    <w:rsid w:val="00D66C49"/>
    <w:rsid w:val="00D67A56"/>
    <w:rsid w:val="00D67C22"/>
    <w:rsid w:val="00D701FF"/>
    <w:rsid w:val="00D702E1"/>
    <w:rsid w:val="00D72619"/>
    <w:rsid w:val="00D733F6"/>
    <w:rsid w:val="00D74071"/>
    <w:rsid w:val="00D758BA"/>
    <w:rsid w:val="00D762EF"/>
    <w:rsid w:val="00D77395"/>
    <w:rsid w:val="00D80BD5"/>
    <w:rsid w:val="00D80C30"/>
    <w:rsid w:val="00D81B57"/>
    <w:rsid w:val="00D82568"/>
    <w:rsid w:val="00D827B9"/>
    <w:rsid w:val="00D83333"/>
    <w:rsid w:val="00D83447"/>
    <w:rsid w:val="00D83AE7"/>
    <w:rsid w:val="00D8679A"/>
    <w:rsid w:val="00D876B3"/>
    <w:rsid w:val="00D87ECC"/>
    <w:rsid w:val="00D90799"/>
    <w:rsid w:val="00D916F9"/>
    <w:rsid w:val="00D91AD2"/>
    <w:rsid w:val="00D92832"/>
    <w:rsid w:val="00D938B8"/>
    <w:rsid w:val="00D94A13"/>
    <w:rsid w:val="00D9533B"/>
    <w:rsid w:val="00D968F4"/>
    <w:rsid w:val="00D971D3"/>
    <w:rsid w:val="00DA014D"/>
    <w:rsid w:val="00DA076F"/>
    <w:rsid w:val="00DA1345"/>
    <w:rsid w:val="00DA1E04"/>
    <w:rsid w:val="00DA2E2C"/>
    <w:rsid w:val="00DA456C"/>
    <w:rsid w:val="00DA4596"/>
    <w:rsid w:val="00DA4958"/>
    <w:rsid w:val="00DA5590"/>
    <w:rsid w:val="00DA67BD"/>
    <w:rsid w:val="00DB008D"/>
    <w:rsid w:val="00DB19AC"/>
    <w:rsid w:val="00DB1D4B"/>
    <w:rsid w:val="00DB1F8F"/>
    <w:rsid w:val="00DB3152"/>
    <w:rsid w:val="00DB3A71"/>
    <w:rsid w:val="00DB4D14"/>
    <w:rsid w:val="00DB5246"/>
    <w:rsid w:val="00DB52A7"/>
    <w:rsid w:val="00DB5E35"/>
    <w:rsid w:val="00DB619B"/>
    <w:rsid w:val="00DB7FBA"/>
    <w:rsid w:val="00DC01D9"/>
    <w:rsid w:val="00DC1FD0"/>
    <w:rsid w:val="00DC208E"/>
    <w:rsid w:val="00DC2E1A"/>
    <w:rsid w:val="00DC3B7C"/>
    <w:rsid w:val="00DC5731"/>
    <w:rsid w:val="00DD1001"/>
    <w:rsid w:val="00DD26C7"/>
    <w:rsid w:val="00DD3AB9"/>
    <w:rsid w:val="00DD5DAE"/>
    <w:rsid w:val="00DD6DA2"/>
    <w:rsid w:val="00DD73C2"/>
    <w:rsid w:val="00DD7DBE"/>
    <w:rsid w:val="00DD7EFF"/>
    <w:rsid w:val="00DE01CB"/>
    <w:rsid w:val="00DE0502"/>
    <w:rsid w:val="00DE314D"/>
    <w:rsid w:val="00DE3D02"/>
    <w:rsid w:val="00DE4D6E"/>
    <w:rsid w:val="00DE4FA3"/>
    <w:rsid w:val="00DE5D07"/>
    <w:rsid w:val="00DE6A81"/>
    <w:rsid w:val="00DE72BA"/>
    <w:rsid w:val="00DE791E"/>
    <w:rsid w:val="00DE7C4D"/>
    <w:rsid w:val="00DE7CE1"/>
    <w:rsid w:val="00DF13B5"/>
    <w:rsid w:val="00DF1E11"/>
    <w:rsid w:val="00DF233E"/>
    <w:rsid w:val="00DF2B5F"/>
    <w:rsid w:val="00DF35A0"/>
    <w:rsid w:val="00DF40F7"/>
    <w:rsid w:val="00DF46D8"/>
    <w:rsid w:val="00DF4F85"/>
    <w:rsid w:val="00DF54E4"/>
    <w:rsid w:val="00DF72B0"/>
    <w:rsid w:val="00DF766C"/>
    <w:rsid w:val="00DF7773"/>
    <w:rsid w:val="00E00029"/>
    <w:rsid w:val="00E01FE8"/>
    <w:rsid w:val="00E02A3C"/>
    <w:rsid w:val="00E03BEC"/>
    <w:rsid w:val="00E05F37"/>
    <w:rsid w:val="00E06195"/>
    <w:rsid w:val="00E063EB"/>
    <w:rsid w:val="00E06E66"/>
    <w:rsid w:val="00E07149"/>
    <w:rsid w:val="00E074AD"/>
    <w:rsid w:val="00E07D1A"/>
    <w:rsid w:val="00E10440"/>
    <w:rsid w:val="00E10766"/>
    <w:rsid w:val="00E11EB8"/>
    <w:rsid w:val="00E12BCB"/>
    <w:rsid w:val="00E12C7E"/>
    <w:rsid w:val="00E13CFC"/>
    <w:rsid w:val="00E1475C"/>
    <w:rsid w:val="00E14892"/>
    <w:rsid w:val="00E14C08"/>
    <w:rsid w:val="00E14D50"/>
    <w:rsid w:val="00E14E32"/>
    <w:rsid w:val="00E14E7E"/>
    <w:rsid w:val="00E15EAA"/>
    <w:rsid w:val="00E20016"/>
    <w:rsid w:val="00E2083D"/>
    <w:rsid w:val="00E21FC9"/>
    <w:rsid w:val="00E233A1"/>
    <w:rsid w:val="00E2343D"/>
    <w:rsid w:val="00E24117"/>
    <w:rsid w:val="00E241ED"/>
    <w:rsid w:val="00E26630"/>
    <w:rsid w:val="00E307D3"/>
    <w:rsid w:val="00E3167A"/>
    <w:rsid w:val="00E316E2"/>
    <w:rsid w:val="00E32038"/>
    <w:rsid w:val="00E32932"/>
    <w:rsid w:val="00E334C2"/>
    <w:rsid w:val="00E3367A"/>
    <w:rsid w:val="00E34BA0"/>
    <w:rsid w:val="00E354D3"/>
    <w:rsid w:val="00E367B5"/>
    <w:rsid w:val="00E4011D"/>
    <w:rsid w:val="00E4029E"/>
    <w:rsid w:val="00E40464"/>
    <w:rsid w:val="00E41559"/>
    <w:rsid w:val="00E417B8"/>
    <w:rsid w:val="00E41C16"/>
    <w:rsid w:val="00E42EE5"/>
    <w:rsid w:val="00E4476D"/>
    <w:rsid w:val="00E45B70"/>
    <w:rsid w:val="00E46886"/>
    <w:rsid w:val="00E47095"/>
    <w:rsid w:val="00E47F84"/>
    <w:rsid w:val="00E50613"/>
    <w:rsid w:val="00E50BA4"/>
    <w:rsid w:val="00E50C3B"/>
    <w:rsid w:val="00E51064"/>
    <w:rsid w:val="00E51300"/>
    <w:rsid w:val="00E51E3D"/>
    <w:rsid w:val="00E5209C"/>
    <w:rsid w:val="00E56A6E"/>
    <w:rsid w:val="00E56B56"/>
    <w:rsid w:val="00E56FD9"/>
    <w:rsid w:val="00E57749"/>
    <w:rsid w:val="00E607E6"/>
    <w:rsid w:val="00E614A4"/>
    <w:rsid w:val="00E6169A"/>
    <w:rsid w:val="00E643A9"/>
    <w:rsid w:val="00E64EA4"/>
    <w:rsid w:val="00E65446"/>
    <w:rsid w:val="00E654FF"/>
    <w:rsid w:val="00E65B24"/>
    <w:rsid w:val="00E66A31"/>
    <w:rsid w:val="00E67CCB"/>
    <w:rsid w:val="00E67E63"/>
    <w:rsid w:val="00E71B17"/>
    <w:rsid w:val="00E720F6"/>
    <w:rsid w:val="00E731C6"/>
    <w:rsid w:val="00E7616A"/>
    <w:rsid w:val="00E76FAF"/>
    <w:rsid w:val="00E7729E"/>
    <w:rsid w:val="00E7739F"/>
    <w:rsid w:val="00E777E0"/>
    <w:rsid w:val="00E808FF"/>
    <w:rsid w:val="00E80B2E"/>
    <w:rsid w:val="00E80DFC"/>
    <w:rsid w:val="00E8198E"/>
    <w:rsid w:val="00E81F2A"/>
    <w:rsid w:val="00E8289C"/>
    <w:rsid w:val="00E82BA7"/>
    <w:rsid w:val="00E843FD"/>
    <w:rsid w:val="00E8594B"/>
    <w:rsid w:val="00E86339"/>
    <w:rsid w:val="00E87E10"/>
    <w:rsid w:val="00E911E5"/>
    <w:rsid w:val="00E91C53"/>
    <w:rsid w:val="00E92A97"/>
    <w:rsid w:val="00E92CED"/>
    <w:rsid w:val="00E92FAC"/>
    <w:rsid w:val="00E93C8F"/>
    <w:rsid w:val="00E9565E"/>
    <w:rsid w:val="00E956CF"/>
    <w:rsid w:val="00E96079"/>
    <w:rsid w:val="00E963C9"/>
    <w:rsid w:val="00E965C0"/>
    <w:rsid w:val="00EA0456"/>
    <w:rsid w:val="00EA40E1"/>
    <w:rsid w:val="00EA4429"/>
    <w:rsid w:val="00EA4D51"/>
    <w:rsid w:val="00EA774C"/>
    <w:rsid w:val="00EA7F92"/>
    <w:rsid w:val="00EB0841"/>
    <w:rsid w:val="00EB0FD1"/>
    <w:rsid w:val="00EB237C"/>
    <w:rsid w:val="00EB28EC"/>
    <w:rsid w:val="00EB29B9"/>
    <w:rsid w:val="00EB2EC8"/>
    <w:rsid w:val="00EB33EE"/>
    <w:rsid w:val="00EB348D"/>
    <w:rsid w:val="00EB38CA"/>
    <w:rsid w:val="00EB42AB"/>
    <w:rsid w:val="00EB5608"/>
    <w:rsid w:val="00EB5AAC"/>
    <w:rsid w:val="00EB7103"/>
    <w:rsid w:val="00EC15FD"/>
    <w:rsid w:val="00EC1A41"/>
    <w:rsid w:val="00EC20C4"/>
    <w:rsid w:val="00EC245C"/>
    <w:rsid w:val="00EC30C7"/>
    <w:rsid w:val="00EC352B"/>
    <w:rsid w:val="00EC429C"/>
    <w:rsid w:val="00EC4846"/>
    <w:rsid w:val="00EC491A"/>
    <w:rsid w:val="00EC4B5C"/>
    <w:rsid w:val="00EC4E25"/>
    <w:rsid w:val="00EC4ECD"/>
    <w:rsid w:val="00EC5AEC"/>
    <w:rsid w:val="00EC6423"/>
    <w:rsid w:val="00EC6A37"/>
    <w:rsid w:val="00EC6A92"/>
    <w:rsid w:val="00EC7D2A"/>
    <w:rsid w:val="00EC7FA0"/>
    <w:rsid w:val="00ED105D"/>
    <w:rsid w:val="00ED1AD8"/>
    <w:rsid w:val="00ED1D3D"/>
    <w:rsid w:val="00ED2839"/>
    <w:rsid w:val="00ED2FEC"/>
    <w:rsid w:val="00ED67B7"/>
    <w:rsid w:val="00ED6A1F"/>
    <w:rsid w:val="00ED6B0B"/>
    <w:rsid w:val="00ED7160"/>
    <w:rsid w:val="00EE1D98"/>
    <w:rsid w:val="00EE2767"/>
    <w:rsid w:val="00EE2A7D"/>
    <w:rsid w:val="00EE2E91"/>
    <w:rsid w:val="00EE3554"/>
    <w:rsid w:val="00EE3851"/>
    <w:rsid w:val="00EE3CF6"/>
    <w:rsid w:val="00EE47E0"/>
    <w:rsid w:val="00EE60C7"/>
    <w:rsid w:val="00EE6296"/>
    <w:rsid w:val="00EF0E77"/>
    <w:rsid w:val="00EF2049"/>
    <w:rsid w:val="00EF23FC"/>
    <w:rsid w:val="00EF289F"/>
    <w:rsid w:val="00EF4ACE"/>
    <w:rsid w:val="00EF4AD9"/>
    <w:rsid w:val="00EF56D4"/>
    <w:rsid w:val="00EF605B"/>
    <w:rsid w:val="00EF7646"/>
    <w:rsid w:val="00EF7894"/>
    <w:rsid w:val="00EF7A05"/>
    <w:rsid w:val="00EF7CD5"/>
    <w:rsid w:val="00EF7CDC"/>
    <w:rsid w:val="00F0186C"/>
    <w:rsid w:val="00F01982"/>
    <w:rsid w:val="00F02B81"/>
    <w:rsid w:val="00F03208"/>
    <w:rsid w:val="00F03A12"/>
    <w:rsid w:val="00F04A32"/>
    <w:rsid w:val="00F06008"/>
    <w:rsid w:val="00F070F6"/>
    <w:rsid w:val="00F119E4"/>
    <w:rsid w:val="00F12F39"/>
    <w:rsid w:val="00F13F8F"/>
    <w:rsid w:val="00F144CB"/>
    <w:rsid w:val="00F149C1"/>
    <w:rsid w:val="00F163BF"/>
    <w:rsid w:val="00F165BD"/>
    <w:rsid w:val="00F167A0"/>
    <w:rsid w:val="00F17269"/>
    <w:rsid w:val="00F17DC7"/>
    <w:rsid w:val="00F17E69"/>
    <w:rsid w:val="00F20565"/>
    <w:rsid w:val="00F23117"/>
    <w:rsid w:val="00F23D2B"/>
    <w:rsid w:val="00F243B5"/>
    <w:rsid w:val="00F24E3E"/>
    <w:rsid w:val="00F2564D"/>
    <w:rsid w:val="00F25B94"/>
    <w:rsid w:val="00F25BF0"/>
    <w:rsid w:val="00F25D04"/>
    <w:rsid w:val="00F25E94"/>
    <w:rsid w:val="00F261AD"/>
    <w:rsid w:val="00F26A06"/>
    <w:rsid w:val="00F2779E"/>
    <w:rsid w:val="00F300B2"/>
    <w:rsid w:val="00F31515"/>
    <w:rsid w:val="00F3177F"/>
    <w:rsid w:val="00F33F2A"/>
    <w:rsid w:val="00F346F2"/>
    <w:rsid w:val="00F34EE1"/>
    <w:rsid w:val="00F356E9"/>
    <w:rsid w:val="00F35FDB"/>
    <w:rsid w:val="00F36257"/>
    <w:rsid w:val="00F410B2"/>
    <w:rsid w:val="00F41B27"/>
    <w:rsid w:val="00F428AD"/>
    <w:rsid w:val="00F435E4"/>
    <w:rsid w:val="00F4364B"/>
    <w:rsid w:val="00F44870"/>
    <w:rsid w:val="00F44F9A"/>
    <w:rsid w:val="00F459F3"/>
    <w:rsid w:val="00F46752"/>
    <w:rsid w:val="00F47D1A"/>
    <w:rsid w:val="00F50974"/>
    <w:rsid w:val="00F52211"/>
    <w:rsid w:val="00F52346"/>
    <w:rsid w:val="00F534F0"/>
    <w:rsid w:val="00F53CAD"/>
    <w:rsid w:val="00F54E6F"/>
    <w:rsid w:val="00F55AF7"/>
    <w:rsid w:val="00F568DB"/>
    <w:rsid w:val="00F5727F"/>
    <w:rsid w:val="00F57E6B"/>
    <w:rsid w:val="00F60C25"/>
    <w:rsid w:val="00F60D26"/>
    <w:rsid w:val="00F626F0"/>
    <w:rsid w:val="00F6317A"/>
    <w:rsid w:val="00F65620"/>
    <w:rsid w:val="00F656B3"/>
    <w:rsid w:val="00F664F1"/>
    <w:rsid w:val="00F66808"/>
    <w:rsid w:val="00F66C68"/>
    <w:rsid w:val="00F66DF2"/>
    <w:rsid w:val="00F6750A"/>
    <w:rsid w:val="00F677E2"/>
    <w:rsid w:val="00F67CD8"/>
    <w:rsid w:val="00F71DCE"/>
    <w:rsid w:val="00F720DF"/>
    <w:rsid w:val="00F73411"/>
    <w:rsid w:val="00F734F6"/>
    <w:rsid w:val="00F74331"/>
    <w:rsid w:val="00F74587"/>
    <w:rsid w:val="00F74C6D"/>
    <w:rsid w:val="00F7605D"/>
    <w:rsid w:val="00F76BD2"/>
    <w:rsid w:val="00F77D52"/>
    <w:rsid w:val="00F77FA5"/>
    <w:rsid w:val="00F813E7"/>
    <w:rsid w:val="00F81902"/>
    <w:rsid w:val="00F839E2"/>
    <w:rsid w:val="00F84E4B"/>
    <w:rsid w:val="00F84F13"/>
    <w:rsid w:val="00F85811"/>
    <w:rsid w:val="00F87A22"/>
    <w:rsid w:val="00F901E8"/>
    <w:rsid w:val="00F902D1"/>
    <w:rsid w:val="00F92FF0"/>
    <w:rsid w:val="00F933DA"/>
    <w:rsid w:val="00F93C3F"/>
    <w:rsid w:val="00F93CEF"/>
    <w:rsid w:val="00F93FC7"/>
    <w:rsid w:val="00F9446F"/>
    <w:rsid w:val="00F94547"/>
    <w:rsid w:val="00F94A06"/>
    <w:rsid w:val="00F94ECB"/>
    <w:rsid w:val="00F964C6"/>
    <w:rsid w:val="00F96B3B"/>
    <w:rsid w:val="00F96DF8"/>
    <w:rsid w:val="00FA1E09"/>
    <w:rsid w:val="00FA21D6"/>
    <w:rsid w:val="00FA39C4"/>
    <w:rsid w:val="00FA3DB1"/>
    <w:rsid w:val="00FA4117"/>
    <w:rsid w:val="00FA41BB"/>
    <w:rsid w:val="00FA6F4E"/>
    <w:rsid w:val="00FA7C34"/>
    <w:rsid w:val="00FA7D27"/>
    <w:rsid w:val="00FB107A"/>
    <w:rsid w:val="00FB1D6C"/>
    <w:rsid w:val="00FB24CC"/>
    <w:rsid w:val="00FB2AE5"/>
    <w:rsid w:val="00FB3D65"/>
    <w:rsid w:val="00FB42E7"/>
    <w:rsid w:val="00FB47E1"/>
    <w:rsid w:val="00FB5F9D"/>
    <w:rsid w:val="00FB6017"/>
    <w:rsid w:val="00FB6171"/>
    <w:rsid w:val="00FB6CFE"/>
    <w:rsid w:val="00FC10E9"/>
    <w:rsid w:val="00FC1684"/>
    <w:rsid w:val="00FC17DC"/>
    <w:rsid w:val="00FC17DF"/>
    <w:rsid w:val="00FC30CB"/>
    <w:rsid w:val="00FC3407"/>
    <w:rsid w:val="00FC3498"/>
    <w:rsid w:val="00FC4CE6"/>
    <w:rsid w:val="00FC5327"/>
    <w:rsid w:val="00FC5B0F"/>
    <w:rsid w:val="00FC7C50"/>
    <w:rsid w:val="00FD0886"/>
    <w:rsid w:val="00FD1D6F"/>
    <w:rsid w:val="00FD3757"/>
    <w:rsid w:val="00FD435B"/>
    <w:rsid w:val="00FD4626"/>
    <w:rsid w:val="00FD55C6"/>
    <w:rsid w:val="00FE02E9"/>
    <w:rsid w:val="00FE1070"/>
    <w:rsid w:val="00FE314C"/>
    <w:rsid w:val="00FE3E76"/>
    <w:rsid w:val="00FE40FC"/>
    <w:rsid w:val="00FE410F"/>
    <w:rsid w:val="00FE4700"/>
    <w:rsid w:val="00FE55EB"/>
    <w:rsid w:val="00FE5A8B"/>
    <w:rsid w:val="00FE6B2C"/>
    <w:rsid w:val="00FF06AD"/>
    <w:rsid w:val="00FF09CC"/>
    <w:rsid w:val="00FF1766"/>
    <w:rsid w:val="00FF24BD"/>
    <w:rsid w:val="00FF2D35"/>
    <w:rsid w:val="00FF3362"/>
    <w:rsid w:val="00FF3ED4"/>
    <w:rsid w:val="00FF41B1"/>
    <w:rsid w:val="00FF50A1"/>
    <w:rsid w:val="00FF544B"/>
    <w:rsid w:val="00FF5720"/>
    <w:rsid w:val="00FF5987"/>
    <w:rsid w:val="00FF5AAD"/>
    <w:rsid w:val="00FF6E32"/>
    <w:rsid w:val="00FF7B80"/>
    <w:rsid w:val="00FF7C3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0AB94"/>
  <w15:docId w15:val="{63FD20EA-F26E-4C60-BAD8-4F1F2826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F8D"/>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A85F8D"/>
    <w:pPr>
      <w:ind w:left="1701" w:right="1701"/>
    </w:pPr>
    <w:rPr>
      <w:b/>
      <w:szCs w:val="20"/>
      <w:lang w:eastAsia="en-US"/>
    </w:rPr>
  </w:style>
  <w:style w:type="paragraph" w:styleId="PlainText">
    <w:name w:val="Plain Text"/>
    <w:basedOn w:val="Normal"/>
    <w:link w:val="PlainTextChar"/>
    <w:uiPriority w:val="99"/>
    <w:unhideWhenUsed/>
    <w:rsid w:val="00A85F8D"/>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A85F8D"/>
    <w:rPr>
      <w:rFonts w:ascii="Consolas" w:eastAsia="Calibri" w:hAnsi="Consolas" w:cs="Times New Roman"/>
      <w:sz w:val="21"/>
      <w:szCs w:val="21"/>
    </w:rPr>
  </w:style>
  <w:style w:type="character" w:customStyle="1" w:styleId="FontStyle53">
    <w:name w:val="Font Style53"/>
    <w:rsid w:val="00A85F8D"/>
    <w:rPr>
      <w:rFonts w:ascii="Times New Roman" w:hAnsi="Times New Roman" w:cs="Times New Roman"/>
      <w:b/>
      <w:bCs/>
      <w:sz w:val="22"/>
      <w:szCs w:val="22"/>
    </w:rPr>
  </w:style>
  <w:style w:type="paragraph" w:customStyle="1" w:styleId="statymopavad">
    <w:name w:val="Įstatymo pavad."/>
    <w:basedOn w:val="Normal"/>
    <w:rsid w:val="00A85F8D"/>
    <w:pPr>
      <w:spacing w:line="360" w:lineRule="auto"/>
      <w:ind w:firstLine="720"/>
      <w:jc w:val="center"/>
    </w:pPr>
    <w:rPr>
      <w:rFonts w:ascii="TimesLT" w:hAnsi="TimesLT"/>
      <w:caps/>
      <w:szCs w:val="20"/>
      <w:lang w:eastAsia="en-US"/>
    </w:rPr>
  </w:style>
  <w:style w:type="paragraph" w:styleId="ListParagraph">
    <w:name w:val="List Paragraph"/>
    <w:basedOn w:val="Normal"/>
    <w:uiPriority w:val="34"/>
    <w:qFormat/>
    <w:rsid w:val="00066404"/>
    <w:pPr>
      <w:spacing w:before="100" w:beforeAutospacing="1" w:after="100" w:afterAutospacing="1"/>
    </w:pPr>
  </w:style>
  <w:style w:type="paragraph" w:styleId="BalloonText">
    <w:name w:val="Balloon Text"/>
    <w:basedOn w:val="Normal"/>
    <w:link w:val="BalloonTextChar"/>
    <w:semiHidden/>
    <w:unhideWhenUsed/>
    <w:rsid w:val="00343CF5"/>
    <w:rPr>
      <w:rFonts w:ascii="Tahoma" w:hAnsi="Tahoma" w:cs="Tahoma"/>
      <w:sz w:val="16"/>
      <w:szCs w:val="16"/>
    </w:rPr>
  </w:style>
  <w:style w:type="character" w:customStyle="1" w:styleId="BalloonTextChar">
    <w:name w:val="Balloon Text Char"/>
    <w:basedOn w:val="DefaultParagraphFont"/>
    <w:link w:val="BalloonText"/>
    <w:uiPriority w:val="99"/>
    <w:semiHidden/>
    <w:rsid w:val="00343CF5"/>
    <w:rPr>
      <w:rFonts w:ascii="Tahoma" w:eastAsia="Times New Roman" w:hAnsi="Tahoma" w:cs="Tahoma"/>
      <w:sz w:val="16"/>
      <w:szCs w:val="16"/>
      <w:lang w:eastAsia="lt-LT"/>
    </w:rPr>
  </w:style>
  <w:style w:type="paragraph" w:styleId="Header">
    <w:name w:val="header"/>
    <w:basedOn w:val="Normal"/>
    <w:link w:val="HeaderChar"/>
    <w:unhideWhenUsed/>
    <w:rsid w:val="002E4284"/>
    <w:pPr>
      <w:tabs>
        <w:tab w:val="center" w:pos="4819"/>
        <w:tab w:val="right" w:pos="9638"/>
      </w:tabs>
    </w:pPr>
  </w:style>
  <w:style w:type="character" w:customStyle="1" w:styleId="HeaderChar">
    <w:name w:val="Header Char"/>
    <w:basedOn w:val="DefaultParagraphFont"/>
    <w:link w:val="Header"/>
    <w:uiPriority w:val="99"/>
    <w:rsid w:val="002E4284"/>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2E4284"/>
    <w:pPr>
      <w:tabs>
        <w:tab w:val="center" w:pos="4819"/>
        <w:tab w:val="right" w:pos="9638"/>
      </w:tabs>
    </w:pPr>
  </w:style>
  <w:style w:type="character" w:customStyle="1" w:styleId="FooterChar">
    <w:name w:val="Footer Char"/>
    <w:basedOn w:val="DefaultParagraphFont"/>
    <w:link w:val="Footer"/>
    <w:uiPriority w:val="99"/>
    <w:rsid w:val="002E4284"/>
    <w:rPr>
      <w:rFonts w:ascii="Times New Roman" w:eastAsia="Times New Roman" w:hAnsi="Times New Roman" w:cs="Times New Roman"/>
      <w:sz w:val="24"/>
      <w:szCs w:val="24"/>
      <w:lang w:eastAsia="lt-LT"/>
    </w:rPr>
  </w:style>
  <w:style w:type="table" w:styleId="TableGrid">
    <w:name w:val="Table Grid"/>
    <w:basedOn w:val="TableNormal"/>
    <w:uiPriority w:val="39"/>
    <w:rsid w:val="007D6A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224D7F"/>
    <w:pPr>
      <w:jc w:val="both"/>
    </w:pPr>
    <w:rPr>
      <w:sz w:val="22"/>
      <w:szCs w:val="20"/>
    </w:rPr>
  </w:style>
  <w:style w:type="character" w:customStyle="1" w:styleId="BodyText2Char">
    <w:name w:val="Body Text 2 Char"/>
    <w:basedOn w:val="DefaultParagraphFont"/>
    <w:link w:val="BodyText2"/>
    <w:rsid w:val="00224D7F"/>
    <w:rPr>
      <w:rFonts w:ascii="Times New Roman" w:eastAsia="Times New Roman" w:hAnsi="Times New Roman" w:cs="Times New Roman"/>
      <w:szCs w:val="20"/>
      <w:lang w:eastAsia="lt-LT"/>
    </w:rPr>
  </w:style>
  <w:style w:type="character" w:customStyle="1" w:styleId="right">
    <w:name w:val="right"/>
    <w:basedOn w:val="DefaultParagraphFont"/>
    <w:rsid w:val="00224D7F"/>
  </w:style>
  <w:style w:type="character" w:customStyle="1" w:styleId="FontStyle11">
    <w:name w:val="Font Style11"/>
    <w:rsid w:val="0088334B"/>
    <w:rPr>
      <w:rFonts w:ascii="Times New Roman" w:hAnsi="Times New Roman" w:cs="Times New Roman"/>
      <w:sz w:val="22"/>
      <w:szCs w:val="22"/>
    </w:rPr>
  </w:style>
  <w:style w:type="paragraph" w:styleId="NoSpacing">
    <w:name w:val="No Spacing"/>
    <w:uiPriority w:val="1"/>
    <w:qFormat/>
    <w:rsid w:val="0088334B"/>
    <w:pPr>
      <w:spacing w:after="0" w:line="240" w:lineRule="auto"/>
    </w:pPr>
    <w:rPr>
      <w:rFonts w:ascii="Calibri" w:eastAsia="Calibri" w:hAnsi="Calibri" w:cs="Times New Roman"/>
    </w:rPr>
  </w:style>
  <w:style w:type="character" w:styleId="PageNumber">
    <w:name w:val="page number"/>
    <w:basedOn w:val="DefaultParagraphFont"/>
    <w:semiHidden/>
    <w:rsid w:val="00106994"/>
  </w:style>
  <w:style w:type="character" w:styleId="Hyperlink">
    <w:name w:val="Hyperlink"/>
    <w:basedOn w:val="DefaultParagraphFont"/>
    <w:uiPriority w:val="99"/>
    <w:unhideWhenUsed/>
    <w:rsid w:val="00277B03"/>
    <w:rPr>
      <w:color w:val="0000FF" w:themeColor="hyperlink"/>
      <w:u w:val="single"/>
    </w:rPr>
  </w:style>
  <w:style w:type="paragraph" w:customStyle="1" w:styleId="ISTATYMAS">
    <w:name w:val="ISTATYMAS"/>
    <w:basedOn w:val="Normal"/>
    <w:rsid w:val="00C11F17"/>
    <w:pPr>
      <w:keepLines/>
      <w:suppressAutoHyphens/>
      <w:autoSpaceDE w:val="0"/>
      <w:autoSpaceDN w:val="0"/>
      <w:adjustRightInd w:val="0"/>
      <w:spacing w:line="288" w:lineRule="auto"/>
      <w:jc w:val="center"/>
    </w:pPr>
    <w:rPr>
      <w:color w:val="000000"/>
      <w:sz w:val="20"/>
      <w:szCs w:val="20"/>
      <w:lang w:val="en-US"/>
    </w:rPr>
  </w:style>
  <w:style w:type="character" w:customStyle="1" w:styleId="Bodytext7">
    <w:name w:val="Body text (7)_"/>
    <w:basedOn w:val="DefaultParagraphFont"/>
    <w:link w:val="Bodytext70"/>
    <w:rsid w:val="00082378"/>
    <w:rPr>
      <w:b/>
      <w:bCs/>
      <w:i/>
      <w:iCs/>
      <w:shd w:val="clear" w:color="auto" w:fill="FFFFFF"/>
    </w:rPr>
  </w:style>
  <w:style w:type="character" w:customStyle="1" w:styleId="Bodytext74ptNotBoldNotItalic">
    <w:name w:val="Body text (7) + 4 pt;Not Bold;Not Italic"/>
    <w:basedOn w:val="Bodytext7"/>
    <w:rsid w:val="00082378"/>
    <w:rPr>
      <w:rFonts w:ascii="Times New Roman" w:eastAsia="Times New Roman" w:hAnsi="Times New Roman" w:cs="Times New Roman"/>
      <w:b/>
      <w:bCs/>
      <w:i/>
      <w:iCs/>
      <w:color w:val="000000"/>
      <w:spacing w:val="0"/>
      <w:w w:val="100"/>
      <w:position w:val="0"/>
      <w:sz w:val="8"/>
      <w:szCs w:val="8"/>
      <w:shd w:val="clear" w:color="auto" w:fill="FFFFFF"/>
      <w:lang w:val="lt-LT" w:eastAsia="lt-LT" w:bidi="lt-LT"/>
    </w:rPr>
  </w:style>
  <w:style w:type="paragraph" w:customStyle="1" w:styleId="Bodytext70">
    <w:name w:val="Body text (7)"/>
    <w:basedOn w:val="Normal"/>
    <w:link w:val="Bodytext7"/>
    <w:rsid w:val="00082378"/>
    <w:pPr>
      <w:widowControl w:val="0"/>
      <w:shd w:val="clear" w:color="auto" w:fill="FFFFFF"/>
      <w:spacing w:before="300" w:line="317" w:lineRule="exact"/>
      <w:ind w:firstLine="860"/>
      <w:jc w:val="both"/>
    </w:pPr>
    <w:rPr>
      <w:rFonts w:asciiTheme="minorHAnsi" w:eastAsiaTheme="minorHAnsi" w:hAnsiTheme="minorHAnsi" w:cstheme="minorBidi"/>
      <w:b/>
      <w:bCs/>
      <w:i/>
      <w:iCs/>
      <w:sz w:val="22"/>
      <w:szCs w:val="22"/>
      <w:lang w:eastAsia="en-US"/>
    </w:rPr>
  </w:style>
  <w:style w:type="paragraph" w:customStyle="1" w:styleId="tekstas">
    <w:name w:val="tekstas"/>
    <w:basedOn w:val="Normal"/>
    <w:rsid w:val="00347877"/>
    <w:pPr>
      <w:spacing w:before="100" w:beforeAutospacing="1" w:after="100" w:afterAutospacing="1"/>
    </w:pPr>
  </w:style>
  <w:style w:type="paragraph" w:styleId="CommentText">
    <w:name w:val="annotation text"/>
    <w:basedOn w:val="Normal"/>
    <w:link w:val="CommentTextChar"/>
    <w:unhideWhenUsed/>
    <w:rsid w:val="002075E8"/>
    <w:pPr>
      <w:spacing w:before="100" w:beforeAutospacing="1" w:after="100" w:afterAutospacing="1"/>
    </w:pPr>
  </w:style>
  <w:style w:type="character" w:customStyle="1" w:styleId="CommentTextChar">
    <w:name w:val="Comment Text Char"/>
    <w:basedOn w:val="DefaultParagraphFont"/>
    <w:link w:val="CommentText"/>
    <w:rsid w:val="002075E8"/>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2075E8"/>
    <w:rPr>
      <w:b/>
      <w:bCs/>
    </w:rPr>
  </w:style>
  <w:style w:type="character" w:customStyle="1" w:styleId="st">
    <w:name w:val="st"/>
    <w:basedOn w:val="DefaultParagraphFont"/>
    <w:rsid w:val="002075E8"/>
  </w:style>
  <w:style w:type="character" w:customStyle="1" w:styleId="bold1">
    <w:name w:val="bold1"/>
    <w:basedOn w:val="DefaultParagraphFont"/>
    <w:rsid w:val="00761E64"/>
    <w:rPr>
      <w:b/>
      <w:bCs/>
    </w:rPr>
  </w:style>
  <w:style w:type="paragraph" w:styleId="FootnoteText">
    <w:name w:val="footnote text"/>
    <w:basedOn w:val="Normal"/>
    <w:link w:val="FootnoteTextChar"/>
    <w:uiPriority w:val="99"/>
    <w:semiHidden/>
    <w:unhideWhenUsed/>
    <w:rsid w:val="00CC7FF1"/>
    <w:rPr>
      <w:sz w:val="20"/>
      <w:szCs w:val="20"/>
      <w:lang w:eastAsia="en-US"/>
    </w:rPr>
  </w:style>
  <w:style w:type="character" w:customStyle="1" w:styleId="FootnoteTextChar">
    <w:name w:val="Footnote Text Char"/>
    <w:basedOn w:val="DefaultParagraphFont"/>
    <w:link w:val="FootnoteText"/>
    <w:uiPriority w:val="99"/>
    <w:semiHidden/>
    <w:rsid w:val="00CC7FF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C7FF1"/>
    <w:rPr>
      <w:vertAlign w:val="superscript"/>
    </w:rPr>
  </w:style>
  <w:style w:type="character" w:styleId="FollowedHyperlink">
    <w:name w:val="FollowedHyperlink"/>
    <w:basedOn w:val="DefaultParagraphFont"/>
    <w:uiPriority w:val="99"/>
    <w:semiHidden/>
    <w:unhideWhenUsed/>
    <w:rsid w:val="008D721A"/>
    <w:rPr>
      <w:color w:val="800080" w:themeColor="followedHyperlink"/>
      <w:u w:val="single"/>
    </w:rPr>
  </w:style>
  <w:style w:type="character" w:customStyle="1" w:styleId="tlid-translation">
    <w:name w:val="tlid-translation"/>
    <w:basedOn w:val="DefaultParagraphFont"/>
    <w:rsid w:val="00F070F6"/>
  </w:style>
  <w:style w:type="character" w:styleId="CommentReference">
    <w:name w:val="annotation reference"/>
    <w:basedOn w:val="DefaultParagraphFont"/>
    <w:uiPriority w:val="99"/>
    <w:semiHidden/>
    <w:unhideWhenUsed/>
    <w:rsid w:val="00693A41"/>
    <w:rPr>
      <w:sz w:val="16"/>
      <w:szCs w:val="16"/>
    </w:rPr>
  </w:style>
  <w:style w:type="paragraph" w:styleId="CommentSubject">
    <w:name w:val="annotation subject"/>
    <w:basedOn w:val="CommentText"/>
    <w:next w:val="CommentText"/>
    <w:link w:val="CommentSubjectChar"/>
    <w:uiPriority w:val="99"/>
    <w:semiHidden/>
    <w:unhideWhenUsed/>
    <w:rsid w:val="00693A41"/>
    <w:pPr>
      <w:spacing w:before="0" w:beforeAutospacing="0" w:after="0" w:afterAutospacing="0"/>
    </w:pPr>
    <w:rPr>
      <w:b/>
      <w:bCs/>
      <w:sz w:val="20"/>
      <w:szCs w:val="20"/>
    </w:rPr>
  </w:style>
  <w:style w:type="character" w:customStyle="1" w:styleId="CommentSubjectChar">
    <w:name w:val="Comment Subject Char"/>
    <w:basedOn w:val="CommentTextChar"/>
    <w:link w:val="CommentSubject"/>
    <w:uiPriority w:val="99"/>
    <w:semiHidden/>
    <w:rsid w:val="00693A41"/>
    <w:rPr>
      <w:rFonts w:ascii="Times New Roman" w:eastAsia="Times New Roman" w:hAnsi="Times New Roman" w:cs="Times New Roman"/>
      <w:b/>
      <w:bCs/>
      <w:sz w:val="20"/>
      <w:szCs w:val="20"/>
      <w:lang w:eastAsia="lt-LT"/>
    </w:rPr>
  </w:style>
  <w:style w:type="paragraph" w:styleId="EndnoteText">
    <w:name w:val="endnote text"/>
    <w:basedOn w:val="Normal"/>
    <w:link w:val="EndnoteTextChar"/>
    <w:uiPriority w:val="99"/>
    <w:semiHidden/>
    <w:unhideWhenUsed/>
    <w:rsid w:val="00DB19AC"/>
    <w:rPr>
      <w:sz w:val="20"/>
      <w:szCs w:val="20"/>
    </w:rPr>
  </w:style>
  <w:style w:type="character" w:customStyle="1" w:styleId="EndnoteTextChar">
    <w:name w:val="Endnote Text Char"/>
    <w:basedOn w:val="DefaultParagraphFont"/>
    <w:link w:val="EndnoteText"/>
    <w:uiPriority w:val="99"/>
    <w:semiHidden/>
    <w:rsid w:val="00DB19AC"/>
    <w:rPr>
      <w:rFonts w:ascii="Times New Roman" w:eastAsia="Times New Roman" w:hAnsi="Times New Roman" w:cs="Times New Roman"/>
      <w:sz w:val="20"/>
      <w:szCs w:val="20"/>
      <w:lang w:eastAsia="lt-LT"/>
    </w:rPr>
  </w:style>
  <w:style w:type="character" w:styleId="EndnoteReference">
    <w:name w:val="endnote reference"/>
    <w:basedOn w:val="DefaultParagraphFont"/>
    <w:uiPriority w:val="99"/>
    <w:semiHidden/>
    <w:unhideWhenUsed/>
    <w:rsid w:val="00DB19AC"/>
    <w:rPr>
      <w:vertAlign w:val="superscript"/>
    </w:rPr>
  </w:style>
  <w:style w:type="character" w:customStyle="1" w:styleId="normaltextrun1">
    <w:name w:val="normaltextrun1"/>
    <w:basedOn w:val="DefaultParagraphFont"/>
    <w:rsid w:val="00795159"/>
  </w:style>
  <w:style w:type="paragraph" w:customStyle="1" w:styleId="gmail-msocommenttext">
    <w:name w:val="gmail-msocommenttext"/>
    <w:basedOn w:val="Normal"/>
    <w:rsid w:val="00654DAC"/>
    <w:pPr>
      <w:spacing w:before="100" w:beforeAutospacing="1" w:after="100" w:afterAutospacing="1"/>
    </w:pPr>
  </w:style>
  <w:style w:type="paragraph" w:customStyle="1" w:styleId="tajtip">
    <w:name w:val="tajtip"/>
    <w:basedOn w:val="Normal"/>
    <w:rsid w:val="00DC3B7C"/>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941">
      <w:bodyDiv w:val="1"/>
      <w:marLeft w:val="0"/>
      <w:marRight w:val="0"/>
      <w:marTop w:val="0"/>
      <w:marBottom w:val="0"/>
      <w:divBdr>
        <w:top w:val="none" w:sz="0" w:space="0" w:color="auto"/>
        <w:left w:val="none" w:sz="0" w:space="0" w:color="auto"/>
        <w:bottom w:val="none" w:sz="0" w:space="0" w:color="auto"/>
        <w:right w:val="none" w:sz="0" w:space="0" w:color="auto"/>
      </w:divBdr>
    </w:div>
    <w:div w:id="32076322">
      <w:bodyDiv w:val="1"/>
      <w:marLeft w:val="0"/>
      <w:marRight w:val="0"/>
      <w:marTop w:val="0"/>
      <w:marBottom w:val="0"/>
      <w:divBdr>
        <w:top w:val="none" w:sz="0" w:space="0" w:color="auto"/>
        <w:left w:val="none" w:sz="0" w:space="0" w:color="auto"/>
        <w:bottom w:val="none" w:sz="0" w:space="0" w:color="auto"/>
        <w:right w:val="none" w:sz="0" w:space="0" w:color="auto"/>
      </w:divBdr>
      <w:divsChild>
        <w:div w:id="257951908">
          <w:marLeft w:val="0"/>
          <w:marRight w:val="0"/>
          <w:marTop w:val="0"/>
          <w:marBottom w:val="0"/>
          <w:divBdr>
            <w:top w:val="none" w:sz="0" w:space="0" w:color="auto"/>
            <w:left w:val="none" w:sz="0" w:space="0" w:color="auto"/>
            <w:bottom w:val="none" w:sz="0" w:space="0" w:color="auto"/>
            <w:right w:val="none" w:sz="0" w:space="0" w:color="auto"/>
          </w:divBdr>
          <w:divsChild>
            <w:div w:id="974674700">
              <w:marLeft w:val="0"/>
              <w:marRight w:val="0"/>
              <w:marTop w:val="0"/>
              <w:marBottom w:val="0"/>
              <w:divBdr>
                <w:top w:val="none" w:sz="0" w:space="0" w:color="auto"/>
                <w:left w:val="none" w:sz="0" w:space="0" w:color="auto"/>
                <w:bottom w:val="none" w:sz="0" w:space="0" w:color="auto"/>
                <w:right w:val="none" w:sz="0" w:space="0" w:color="auto"/>
              </w:divBdr>
              <w:divsChild>
                <w:div w:id="2063095138">
                  <w:marLeft w:val="0"/>
                  <w:marRight w:val="0"/>
                  <w:marTop w:val="0"/>
                  <w:marBottom w:val="0"/>
                  <w:divBdr>
                    <w:top w:val="none" w:sz="0" w:space="0" w:color="auto"/>
                    <w:left w:val="none" w:sz="0" w:space="0" w:color="auto"/>
                    <w:bottom w:val="none" w:sz="0" w:space="0" w:color="auto"/>
                    <w:right w:val="none" w:sz="0" w:space="0" w:color="auto"/>
                  </w:divBdr>
                  <w:divsChild>
                    <w:div w:id="1296913477">
                      <w:marLeft w:val="0"/>
                      <w:marRight w:val="0"/>
                      <w:marTop w:val="0"/>
                      <w:marBottom w:val="0"/>
                      <w:divBdr>
                        <w:top w:val="none" w:sz="0" w:space="0" w:color="auto"/>
                        <w:left w:val="none" w:sz="0" w:space="0" w:color="auto"/>
                        <w:bottom w:val="none" w:sz="0" w:space="0" w:color="auto"/>
                        <w:right w:val="none" w:sz="0" w:space="0" w:color="auto"/>
                      </w:divBdr>
                      <w:divsChild>
                        <w:div w:id="15701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65068">
      <w:bodyDiv w:val="1"/>
      <w:marLeft w:val="0"/>
      <w:marRight w:val="0"/>
      <w:marTop w:val="0"/>
      <w:marBottom w:val="0"/>
      <w:divBdr>
        <w:top w:val="none" w:sz="0" w:space="0" w:color="auto"/>
        <w:left w:val="none" w:sz="0" w:space="0" w:color="auto"/>
        <w:bottom w:val="none" w:sz="0" w:space="0" w:color="auto"/>
        <w:right w:val="none" w:sz="0" w:space="0" w:color="auto"/>
      </w:divBdr>
      <w:divsChild>
        <w:div w:id="267466372">
          <w:marLeft w:val="0"/>
          <w:marRight w:val="0"/>
          <w:marTop w:val="0"/>
          <w:marBottom w:val="0"/>
          <w:divBdr>
            <w:top w:val="none" w:sz="0" w:space="0" w:color="auto"/>
            <w:left w:val="none" w:sz="0" w:space="0" w:color="auto"/>
            <w:bottom w:val="none" w:sz="0" w:space="0" w:color="auto"/>
            <w:right w:val="none" w:sz="0" w:space="0" w:color="auto"/>
          </w:divBdr>
          <w:divsChild>
            <w:div w:id="1276063397">
              <w:marLeft w:val="0"/>
              <w:marRight w:val="0"/>
              <w:marTop w:val="0"/>
              <w:marBottom w:val="0"/>
              <w:divBdr>
                <w:top w:val="none" w:sz="0" w:space="0" w:color="auto"/>
                <w:left w:val="none" w:sz="0" w:space="0" w:color="auto"/>
                <w:bottom w:val="none" w:sz="0" w:space="0" w:color="auto"/>
                <w:right w:val="none" w:sz="0" w:space="0" w:color="auto"/>
              </w:divBdr>
              <w:divsChild>
                <w:div w:id="414278385">
                  <w:marLeft w:val="0"/>
                  <w:marRight w:val="0"/>
                  <w:marTop w:val="0"/>
                  <w:marBottom w:val="0"/>
                  <w:divBdr>
                    <w:top w:val="none" w:sz="0" w:space="0" w:color="auto"/>
                    <w:left w:val="none" w:sz="0" w:space="0" w:color="auto"/>
                    <w:bottom w:val="none" w:sz="0" w:space="0" w:color="auto"/>
                    <w:right w:val="none" w:sz="0" w:space="0" w:color="auto"/>
                  </w:divBdr>
                  <w:divsChild>
                    <w:div w:id="343630732">
                      <w:marLeft w:val="0"/>
                      <w:marRight w:val="0"/>
                      <w:marTop w:val="0"/>
                      <w:marBottom w:val="0"/>
                      <w:divBdr>
                        <w:top w:val="none" w:sz="0" w:space="0" w:color="auto"/>
                        <w:left w:val="none" w:sz="0" w:space="0" w:color="auto"/>
                        <w:bottom w:val="none" w:sz="0" w:space="0" w:color="auto"/>
                        <w:right w:val="none" w:sz="0" w:space="0" w:color="auto"/>
                      </w:divBdr>
                      <w:divsChild>
                        <w:div w:id="3786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994947">
      <w:bodyDiv w:val="1"/>
      <w:marLeft w:val="0"/>
      <w:marRight w:val="0"/>
      <w:marTop w:val="0"/>
      <w:marBottom w:val="0"/>
      <w:divBdr>
        <w:top w:val="none" w:sz="0" w:space="0" w:color="auto"/>
        <w:left w:val="none" w:sz="0" w:space="0" w:color="auto"/>
        <w:bottom w:val="none" w:sz="0" w:space="0" w:color="auto"/>
        <w:right w:val="none" w:sz="0" w:space="0" w:color="auto"/>
      </w:divBdr>
    </w:div>
    <w:div w:id="343750015">
      <w:bodyDiv w:val="1"/>
      <w:marLeft w:val="0"/>
      <w:marRight w:val="0"/>
      <w:marTop w:val="0"/>
      <w:marBottom w:val="0"/>
      <w:divBdr>
        <w:top w:val="none" w:sz="0" w:space="0" w:color="auto"/>
        <w:left w:val="none" w:sz="0" w:space="0" w:color="auto"/>
        <w:bottom w:val="none" w:sz="0" w:space="0" w:color="auto"/>
        <w:right w:val="none" w:sz="0" w:space="0" w:color="auto"/>
      </w:divBdr>
    </w:div>
    <w:div w:id="389575500">
      <w:bodyDiv w:val="1"/>
      <w:marLeft w:val="0"/>
      <w:marRight w:val="0"/>
      <w:marTop w:val="0"/>
      <w:marBottom w:val="0"/>
      <w:divBdr>
        <w:top w:val="none" w:sz="0" w:space="0" w:color="auto"/>
        <w:left w:val="none" w:sz="0" w:space="0" w:color="auto"/>
        <w:bottom w:val="none" w:sz="0" w:space="0" w:color="auto"/>
        <w:right w:val="none" w:sz="0" w:space="0" w:color="auto"/>
      </w:divBdr>
      <w:divsChild>
        <w:div w:id="120654287">
          <w:marLeft w:val="0"/>
          <w:marRight w:val="0"/>
          <w:marTop w:val="0"/>
          <w:marBottom w:val="0"/>
          <w:divBdr>
            <w:top w:val="none" w:sz="0" w:space="0" w:color="auto"/>
            <w:left w:val="none" w:sz="0" w:space="0" w:color="auto"/>
            <w:bottom w:val="none" w:sz="0" w:space="0" w:color="auto"/>
            <w:right w:val="none" w:sz="0" w:space="0" w:color="auto"/>
          </w:divBdr>
        </w:div>
        <w:div w:id="1105422813">
          <w:marLeft w:val="0"/>
          <w:marRight w:val="0"/>
          <w:marTop w:val="0"/>
          <w:marBottom w:val="0"/>
          <w:divBdr>
            <w:top w:val="none" w:sz="0" w:space="0" w:color="auto"/>
            <w:left w:val="none" w:sz="0" w:space="0" w:color="auto"/>
            <w:bottom w:val="none" w:sz="0" w:space="0" w:color="auto"/>
            <w:right w:val="none" w:sz="0" w:space="0" w:color="auto"/>
          </w:divBdr>
        </w:div>
        <w:div w:id="1507548619">
          <w:marLeft w:val="0"/>
          <w:marRight w:val="0"/>
          <w:marTop w:val="0"/>
          <w:marBottom w:val="0"/>
          <w:divBdr>
            <w:top w:val="none" w:sz="0" w:space="0" w:color="auto"/>
            <w:left w:val="none" w:sz="0" w:space="0" w:color="auto"/>
            <w:bottom w:val="none" w:sz="0" w:space="0" w:color="auto"/>
            <w:right w:val="none" w:sz="0" w:space="0" w:color="auto"/>
          </w:divBdr>
        </w:div>
        <w:div w:id="1780487096">
          <w:marLeft w:val="0"/>
          <w:marRight w:val="0"/>
          <w:marTop w:val="0"/>
          <w:marBottom w:val="0"/>
          <w:divBdr>
            <w:top w:val="none" w:sz="0" w:space="0" w:color="auto"/>
            <w:left w:val="none" w:sz="0" w:space="0" w:color="auto"/>
            <w:bottom w:val="none" w:sz="0" w:space="0" w:color="auto"/>
            <w:right w:val="none" w:sz="0" w:space="0" w:color="auto"/>
          </w:divBdr>
        </w:div>
        <w:div w:id="249433680">
          <w:marLeft w:val="0"/>
          <w:marRight w:val="0"/>
          <w:marTop w:val="0"/>
          <w:marBottom w:val="0"/>
          <w:divBdr>
            <w:top w:val="none" w:sz="0" w:space="0" w:color="auto"/>
            <w:left w:val="none" w:sz="0" w:space="0" w:color="auto"/>
            <w:bottom w:val="none" w:sz="0" w:space="0" w:color="auto"/>
            <w:right w:val="none" w:sz="0" w:space="0" w:color="auto"/>
          </w:divBdr>
        </w:div>
        <w:div w:id="671490507">
          <w:marLeft w:val="0"/>
          <w:marRight w:val="0"/>
          <w:marTop w:val="0"/>
          <w:marBottom w:val="0"/>
          <w:divBdr>
            <w:top w:val="none" w:sz="0" w:space="0" w:color="auto"/>
            <w:left w:val="none" w:sz="0" w:space="0" w:color="auto"/>
            <w:bottom w:val="none" w:sz="0" w:space="0" w:color="auto"/>
            <w:right w:val="none" w:sz="0" w:space="0" w:color="auto"/>
          </w:divBdr>
        </w:div>
        <w:div w:id="198511828">
          <w:marLeft w:val="0"/>
          <w:marRight w:val="0"/>
          <w:marTop w:val="0"/>
          <w:marBottom w:val="0"/>
          <w:divBdr>
            <w:top w:val="none" w:sz="0" w:space="0" w:color="auto"/>
            <w:left w:val="none" w:sz="0" w:space="0" w:color="auto"/>
            <w:bottom w:val="none" w:sz="0" w:space="0" w:color="auto"/>
            <w:right w:val="none" w:sz="0" w:space="0" w:color="auto"/>
          </w:divBdr>
        </w:div>
        <w:div w:id="706955079">
          <w:marLeft w:val="0"/>
          <w:marRight w:val="0"/>
          <w:marTop w:val="0"/>
          <w:marBottom w:val="0"/>
          <w:divBdr>
            <w:top w:val="none" w:sz="0" w:space="0" w:color="auto"/>
            <w:left w:val="none" w:sz="0" w:space="0" w:color="auto"/>
            <w:bottom w:val="none" w:sz="0" w:space="0" w:color="auto"/>
            <w:right w:val="none" w:sz="0" w:space="0" w:color="auto"/>
          </w:divBdr>
        </w:div>
      </w:divsChild>
    </w:div>
    <w:div w:id="750541254">
      <w:bodyDiv w:val="1"/>
      <w:marLeft w:val="0"/>
      <w:marRight w:val="0"/>
      <w:marTop w:val="0"/>
      <w:marBottom w:val="0"/>
      <w:divBdr>
        <w:top w:val="none" w:sz="0" w:space="0" w:color="auto"/>
        <w:left w:val="none" w:sz="0" w:space="0" w:color="auto"/>
        <w:bottom w:val="none" w:sz="0" w:space="0" w:color="auto"/>
        <w:right w:val="none" w:sz="0" w:space="0" w:color="auto"/>
      </w:divBdr>
    </w:div>
    <w:div w:id="802969006">
      <w:bodyDiv w:val="1"/>
      <w:marLeft w:val="225"/>
      <w:marRight w:val="225"/>
      <w:marTop w:val="0"/>
      <w:marBottom w:val="0"/>
      <w:divBdr>
        <w:top w:val="none" w:sz="0" w:space="0" w:color="auto"/>
        <w:left w:val="none" w:sz="0" w:space="0" w:color="auto"/>
        <w:bottom w:val="none" w:sz="0" w:space="0" w:color="auto"/>
        <w:right w:val="none" w:sz="0" w:space="0" w:color="auto"/>
      </w:divBdr>
      <w:divsChild>
        <w:div w:id="1919897667">
          <w:marLeft w:val="0"/>
          <w:marRight w:val="0"/>
          <w:marTop w:val="0"/>
          <w:marBottom w:val="0"/>
          <w:divBdr>
            <w:top w:val="none" w:sz="0" w:space="0" w:color="auto"/>
            <w:left w:val="none" w:sz="0" w:space="0" w:color="auto"/>
            <w:bottom w:val="none" w:sz="0" w:space="0" w:color="auto"/>
            <w:right w:val="none" w:sz="0" w:space="0" w:color="auto"/>
          </w:divBdr>
        </w:div>
      </w:divsChild>
    </w:div>
    <w:div w:id="829715521">
      <w:bodyDiv w:val="1"/>
      <w:marLeft w:val="0"/>
      <w:marRight w:val="0"/>
      <w:marTop w:val="0"/>
      <w:marBottom w:val="0"/>
      <w:divBdr>
        <w:top w:val="none" w:sz="0" w:space="0" w:color="auto"/>
        <w:left w:val="none" w:sz="0" w:space="0" w:color="auto"/>
        <w:bottom w:val="none" w:sz="0" w:space="0" w:color="auto"/>
        <w:right w:val="none" w:sz="0" w:space="0" w:color="auto"/>
      </w:divBdr>
    </w:div>
    <w:div w:id="864174456">
      <w:bodyDiv w:val="1"/>
      <w:marLeft w:val="0"/>
      <w:marRight w:val="0"/>
      <w:marTop w:val="0"/>
      <w:marBottom w:val="0"/>
      <w:divBdr>
        <w:top w:val="none" w:sz="0" w:space="0" w:color="auto"/>
        <w:left w:val="none" w:sz="0" w:space="0" w:color="auto"/>
        <w:bottom w:val="none" w:sz="0" w:space="0" w:color="auto"/>
        <w:right w:val="none" w:sz="0" w:space="0" w:color="auto"/>
      </w:divBdr>
      <w:divsChild>
        <w:div w:id="110706313">
          <w:marLeft w:val="0"/>
          <w:marRight w:val="0"/>
          <w:marTop w:val="0"/>
          <w:marBottom w:val="0"/>
          <w:divBdr>
            <w:top w:val="none" w:sz="0" w:space="0" w:color="auto"/>
            <w:left w:val="none" w:sz="0" w:space="0" w:color="auto"/>
            <w:bottom w:val="none" w:sz="0" w:space="0" w:color="auto"/>
            <w:right w:val="none" w:sz="0" w:space="0" w:color="auto"/>
          </w:divBdr>
          <w:divsChild>
            <w:div w:id="809636538">
              <w:marLeft w:val="0"/>
              <w:marRight w:val="0"/>
              <w:marTop w:val="0"/>
              <w:marBottom w:val="0"/>
              <w:divBdr>
                <w:top w:val="none" w:sz="0" w:space="0" w:color="auto"/>
                <w:left w:val="none" w:sz="0" w:space="0" w:color="auto"/>
                <w:bottom w:val="none" w:sz="0" w:space="0" w:color="auto"/>
                <w:right w:val="none" w:sz="0" w:space="0" w:color="auto"/>
              </w:divBdr>
              <w:divsChild>
                <w:div w:id="1025179672">
                  <w:marLeft w:val="0"/>
                  <w:marRight w:val="0"/>
                  <w:marTop w:val="0"/>
                  <w:marBottom w:val="0"/>
                  <w:divBdr>
                    <w:top w:val="none" w:sz="0" w:space="0" w:color="auto"/>
                    <w:left w:val="none" w:sz="0" w:space="0" w:color="auto"/>
                    <w:bottom w:val="none" w:sz="0" w:space="0" w:color="auto"/>
                    <w:right w:val="none" w:sz="0" w:space="0" w:color="auto"/>
                  </w:divBdr>
                  <w:divsChild>
                    <w:div w:id="1575698992">
                      <w:marLeft w:val="0"/>
                      <w:marRight w:val="0"/>
                      <w:marTop w:val="0"/>
                      <w:marBottom w:val="0"/>
                      <w:divBdr>
                        <w:top w:val="none" w:sz="0" w:space="0" w:color="auto"/>
                        <w:left w:val="none" w:sz="0" w:space="0" w:color="auto"/>
                        <w:bottom w:val="none" w:sz="0" w:space="0" w:color="auto"/>
                        <w:right w:val="none" w:sz="0" w:space="0" w:color="auto"/>
                      </w:divBdr>
                      <w:divsChild>
                        <w:div w:id="109690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966473">
      <w:bodyDiv w:val="1"/>
      <w:marLeft w:val="0"/>
      <w:marRight w:val="0"/>
      <w:marTop w:val="0"/>
      <w:marBottom w:val="0"/>
      <w:divBdr>
        <w:top w:val="none" w:sz="0" w:space="0" w:color="auto"/>
        <w:left w:val="none" w:sz="0" w:space="0" w:color="auto"/>
        <w:bottom w:val="none" w:sz="0" w:space="0" w:color="auto"/>
        <w:right w:val="none" w:sz="0" w:space="0" w:color="auto"/>
      </w:divBdr>
      <w:divsChild>
        <w:div w:id="136185095">
          <w:marLeft w:val="0"/>
          <w:marRight w:val="0"/>
          <w:marTop w:val="0"/>
          <w:marBottom w:val="0"/>
          <w:divBdr>
            <w:top w:val="none" w:sz="0" w:space="0" w:color="auto"/>
            <w:left w:val="none" w:sz="0" w:space="0" w:color="auto"/>
            <w:bottom w:val="none" w:sz="0" w:space="0" w:color="auto"/>
            <w:right w:val="none" w:sz="0" w:space="0" w:color="auto"/>
          </w:divBdr>
        </w:div>
        <w:div w:id="1639339299">
          <w:marLeft w:val="0"/>
          <w:marRight w:val="0"/>
          <w:marTop w:val="0"/>
          <w:marBottom w:val="0"/>
          <w:divBdr>
            <w:top w:val="none" w:sz="0" w:space="0" w:color="auto"/>
            <w:left w:val="none" w:sz="0" w:space="0" w:color="auto"/>
            <w:bottom w:val="none" w:sz="0" w:space="0" w:color="auto"/>
            <w:right w:val="none" w:sz="0" w:space="0" w:color="auto"/>
          </w:divBdr>
        </w:div>
      </w:divsChild>
    </w:div>
    <w:div w:id="1003246374">
      <w:bodyDiv w:val="1"/>
      <w:marLeft w:val="0"/>
      <w:marRight w:val="0"/>
      <w:marTop w:val="0"/>
      <w:marBottom w:val="0"/>
      <w:divBdr>
        <w:top w:val="none" w:sz="0" w:space="0" w:color="auto"/>
        <w:left w:val="none" w:sz="0" w:space="0" w:color="auto"/>
        <w:bottom w:val="none" w:sz="0" w:space="0" w:color="auto"/>
        <w:right w:val="none" w:sz="0" w:space="0" w:color="auto"/>
      </w:divBdr>
      <w:divsChild>
        <w:div w:id="2079089953">
          <w:marLeft w:val="0"/>
          <w:marRight w:val="0"/>
          <w:marTop w:val="0"/>
          <w:marBottom w:val="0"/>
          <w:divBdr>
            <w:top w:val="none" w:sz="0" w:space="0" w:color="auto"/>
            <w:left w:val="none" w:sz="0" w:space="0" w:color="auto"/>
            <w:bottom w:val="none" w:sz="0" w:space="0" w:color="auto"/>
            <w:right w:val="none" w:sz="0" w:space="0" w:color="auto"/>
          </w:divBdr>
          <w:divsChild>
            <w:div w:id="80226954">
              <w:marLeft w:val="0"/>
              <w:marRight w:val="0"/>
              <w:marTop w:val="0"/>
              <w:marBottom w:val="0"/>
              <w:divBdr>
                <w:top w:val="none" w:sz="0" w:space="0" w:color="auto"/>
                <w:left w:val="none" w:sz="0" w:space="0" w:color="auto"/>
                <w:bottom w:val="none" w:sz="0" w:space="0" w:color="auto"/>
                <w:right w:val="none" w:sz="0" w:space="0" w:color="auto"/>
              </w:divBdr>
              <w:divsChild>
                <w:div w:id="623274996">
                  <w:marLeft w:val="0"/>
                  <w:marRight w:val="0"/>
                  <w:marTop w:val="0"/>
                  <w:marBottom w:val="0"/>
                  <w:divBdr>
                    <w:top w:val="none" w:sz="0" w:space="0" w:color="auto"/>
                    <w:left w:val="none" w:sz="0" w:space="0" w:color="auto"/>
                    <w:bottom w:val="none" w:sz="0" w:space="0" w:color="auto"/>
                    <w:right w:val="none" w:sz="0" w:space="0" w:color="auto"/>
                  </w:divBdr>
                  <w:divsChild>
                    <w:div w:id="1592424237">
                      <w:marLeft w:val="0"/>
                      <w:marRight w:val="0"/>
                      <w:marTop w:val="0"/>
                      <w:marBottom w:val="0"/>
                      <w:divBdr>
                        <w:top w:val="none" w:sz="0" w:space="0" w:color="auto"/>
                        <w:left w:val="none" w:sz="0" w:space="0" w:color="auto"/>
                        <w:bottom w:val="none" w:sz="0" w:space="0" w:color="auto"/>
                        <w:right w:val="none" w:sz="0" w:space="0" w:color="auto"/>
                      </w:divBdr>
                      <w:divsChild>
                        <w:div w:id="8388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295354">
      <w:bodyDiv w:val="1"/>
      <w:marLeft w:val="0"/>
      <w:marRight w:val="0"/>
      <w:marTop w:val="0"/>
      <w:marBottom w:val="0"/>
      <w:divBdr>
        <w:top w:val="none" w:sz="0" w:space="0" w:color="auto"/>
        <w:left w:val="none" w:sz="0" w:space="0" w:color="auto"/>
        <w:bottom w:val="none" w:sz="0" w:space="0" w:color="auto"/>
        <w:right w:val="none" w:sz="0" w:space="0" w:color="auto"/>
      </w:divBdr>
    </w:div>
    <w:div w:id="1225751987">
      <w:bodyDiv w:val="1"/>
      <w:marLeft w:val="0"/>
      <w:marRight w:val="0"/>
      <w:marTop w:val="0"/>
      <w:marBottom w:val="0"/>
      <w:divBdr>
        <w:top w:val="none" w:sz="0" w:space="0" w:color="auto"/>
        <w:left w:val="none" w:sz="0" w:space="0" w:color="auto"/>
        <w:bottom w:val="none" w:sz="0" w:space="0" w:color="auto"/>
        <w:right w:val="none" w:sz="0" w:space="0" w:color="auto"/>
      </w:divBdr>
    </w:div>
    <w:div w:id="1236360410">
      <w:bodyDiv w:val="1"/>
      <w:marLeft w:val="0"/>
      <w:marRight w:val="0"/>
      <w:marTop w:val="0"/>
      <w:marBottom w:val="0"/>
      <w:divBdr>
        <w:top w:val="none" w:sz="0" w:space="0" w:color="auto"/>
        <w:left w:val="none" w:sz="0" w:space="0" w:color="auto"/>
        <w:bottom w:val="none" w:sz="0" w:space="0" w:color="auto"/>
        <w:right w:val="none" w:sz="0" w:space="0" w:color="auto"/>
      </w:divBdr>
      <w:divsChild>
        <w:div w:id="1890916845">
          <w:marLeft w:val="0"/>
          <w:marRight w:val="0"/>
          <w:marTop w:val="0"/>
          <w:marBottom w:val="0"/>
          <w:divBdr>
            <w:top w:val="none" w:sz="0" w:space="0" w:color="auto"/>
            <w:left w:val="none" w:sz="0" w:space="0" w:color="auto"/>
            <w:bottom w:val="none" w:sz="0" w:space="0" w:color="auto"/>
            <w:right w:val="none" w:sz="0" w:space="0" w:color="auto"/>
          </w:divBdr>
        </w:div>
        <w:div w:id="681130478">
          <w:marLeft w:val="0"/>
          <w:marRight w:val="0"/>
          <w:marTop w:val="0"/>
          <w:marBottom w:val="0"/>
          <w:divBdr>
            <w:top w:val="none" w:sz="0" w:space="0" w:color="auto"/>
            <w:left w:val="none" w:sz="0" w:space="0" w:color="auto"/>
            <w:bottom w:val="none" w:sz="0" w:space="0" w:color="auto"/>
            <w:right w:val="none" w:sz="0" w:space="0" w:color="auto"/>
          </w:divBdr>
        </w:div>
        <w:div w:id="2070183676">
          <w:marLeft w:val="0"/>
          <w:marRight w:val="0"/>
          <w:marTop w:val="0"/>
          <w:marBottom w:val="0"/>
          <w:divBdr>
            <w:top w:val="none" w:sz="0" w:space="0" w:color="auto"/>
            <w:left w:val="none" w:sz="0" w:space="0" w:color="auto"/>
            <w:bottom w:val="none" w:sz="0" w:space="0" w:color="auto"/>
            <w:right w:val="none" w:sz="0" w:space="0" w:color="auto"/>
          </w:divBdr>
        </w:div>
      </w:divsChild>
    </w:div>
    <w:div w:id="1267039819">
      <w:bodyDiv w:val="1"/>
      <w:marLeft w:val="0"/>
      <w:marRight w:val="0"/>
      <w:marTop w:val="0"/>
      <w:marBottom w:val="0"/>
      <w:divBdr>
        <w:top w:val="none" w:sz="0" w:space="0" w:color="auto"/>
        <w:left w:val="none" w:sz="0" w:space="0" w:color="auto"/>
        <w:bottom w:val="none" w:sz="0" w:space="0" w:color="auto"/>
        <w:right w:val="none" w:sz="0" w:space="0" w:color="auto"/>
      </w:divBdr>
      <w:divsChild>
        <w:div w:id="55393630">
          <w:marLeft w:val="0"/>
          <w:marRight w:val="0"/>
          <w:marTop w:val="0"/>
          <w:marBottom w:val="0"/>
          <w:divBdr>
            <w:top w:val="none" w:sz="0" w:space="0" w:color="auto"/>
            <w:left w:val="none" w:sz="0" w:space="0" w:color="auto"/>
            <w:bottom w:val="none" w:sz="0" w:space="0" w:color="auto"/>
            <w:right w:val="none" w:sz="0" w:space="0" w:color="auto"/>
          </w:divBdr>
          <w:divsChild>
            <w:div w:id="453250753">
              <w:marLeft w:val="0"/>
              <w:marRight w:val="0"/>
              <w:marTop w:val="0"/>
              <w:marBottom w:val="0"/>
              <w:divBdr>
                <w:top w:val="none" w:sz="0" w:space="0" w:color="auto"/>
                <w:left w:val="none" w:sz="0" w:space="0" w:color="auto"/>
                <w:bottom w:val="none" w:sz="0" w:space="0" w:color="auto"/>
                <w:right w:val="none" w:sz="0" w:space="0" w:color="auto"/>
              </w:divBdr>
              <w:divsChild>
                <w:div w:id="598297082">
                  <w:marLeft w:val="0"/>
                  <w:marRight w:val="0"/>
                  <w:marTop w:val="0"/>
                  <w:marBottom w:val="0"/>
                  <w:divBdr>
                    <w:top w:val="none" w:sz="0" w:space="0" w:color="auto"/>
                    <w:left w:val="none" w:sz="0" w:space="0" w:color="auto"/>
                    <w:bottom w:val="none" w:sz="0" w:space="0" w:color="auto"/>
                    <w:right w:val="none" w:sz="0" w:space="0" w:color="auto"/>
                  </w:divBdr>
                  <w:divsChild>
                    <w:div w:id="1473790508">
                      <w:marLeft w:val="0"/>
                      <w:marRight w:val="0"/>
                      <w:marTop w:val="0"/>
                      <w:marBottom w:val="0"/>
                      <w:divBdr>
                        <w:top w:val="none" w:sz="0" w:space="0" w:color="auto"/>
                        <w:left w:val="none" w:sz="0" w:space="0" w:color="auto"/>
                        <w:bottom w:val="none" w:sz="0" w:space="0" w:color="auto"/>
                        <w:right w:val="none" w:sz="0" w:space="0" w:color="auto"/>
                      </w:divBdr>
                      <w:divsChild>
                        <w:div w:id="195101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069370">
      <w:bodyDiv w:val="1"/>
      <w:marLeft w:val="0"/>
      <w:marRight w:val="0"/>
      <w:marTop w:val="0"/>
      <w:marBottom w:val="0"/>
      <w:divBdr>
        <w:top w:val="none" w:sz="0" w:space="0" w:color="auto"/>
        <w:left w:val="none" w:sz="0" w:space="0" w:color="auto"/>
        <w:bottom w:val="none" w:sz="0" w:space="0" w:color="auto"/>
        <w:right w:val="none" w:sz="0" w:space="0" w:color="auto"/>
      </w:divBdr>
    </w:div>
    <w:div w:id="1500343158">
      <w:bodyDiv w:val="1"/>
      <w:marLeft w:val="0"/>
      <w:marRight w:val="0"/>
      <w:marTop w:val="0"/>
      <w:marBottom w:val="0"/>
      <w:divBdr>
        <w:top w:val="none" w:sz="0" w:space="0" w:color="auto"/>
        <w:left w:val="none" w:sz="0" w:space="0" w:color="auto"/>
        <w:bottom w:val="none" w:sz="0" w:space="0" w:color="auto"/>
        <w:right w:val="none" w:sz="0" w:space="0" w:color="auto"/>
      </w:divBdr>
    </w:div>
    <w:div w:id="1522628195">
      <w:bodyDiv w:val="1"/>
      <w:marLeft w:val="0"/>
      <w:marRight w:val="0"/>
      <w:marTop w:val="0"/>
      <w:marBottom w:val="0"/>
      <w:divBdr>
        <w:top w:val="none" w:sz="0" w:space="0" w:color="auto"/>
        <w:left w:val="none" w:sz="0" w:space="0" w:color="auto"/>
        <w:bottom w:val="none" w:sz="0" w:space="0" w:color="auto"/>
        <w:right w:val="none" w:sz="0" w:space="0" w:color="auto"/>
      </w:divBdr>
    </w:div>
    <w:div w:id="1596862442">
      <w:bodyDiv w:val="1"/>
      <w:marLeft w:val="0"/>
      <w:marRight w:val="0"/>
      <w:marTop w:val="0"/>
      <w:marBottom w:val="0"/>
      <w:divBdr>
        <w:top w:val="none" w:sz="0" w:space="0" w:color="auto"/>
        <w:left w:val="none" w:sz="0" w:space="0" w:color="auto"/>
        <w:bottom w:val="none" w:sz="0" w:space="0" w:color="auto"/>
        <w:right w:val="none" w:sz="0" w:space="0" w:color="auto"/>
      </w:divBdr>
    </w:div>
    <w:div w:id="1684085145">
      <w:bodyDiv w:val="1"/>
      <w:marLeft w:val="0"/>
      <w:marRight w:val="0"/>
      <w:marTop w:val="0"/>
      <w:marBottom w:val="0"/>
      <w:divBdr>
        <w:top w:val="none" w:sz="0" w:space="0" w:color="auto"/>
        <w:left w:val="none" w:sz="0" w:space="0" w:color="auto"/>
        <w:bottom w:val="none" w:sz="0" w:space="0" w:color="auto"/>
        <w:right w:val="none" w:sz="0" w:space="0" w:color="auto"/>
      </w:divBdr>
    </w:div>
    <w:div w:id="1817795807">
      <w:bodyDiv w:val="1"/>
      <w:marLeft w:val="0"/>
      <w:marRight w:val="0"/>
      <w:marTop w:val="0"/>
      <w:marBottom w:val="0"/>
      <w:divBdr>
        <w:top w:val="none" w:sz="0" w:space="0" w:color="auto"/>
        <w:left w:val="none" w:sz="0" w:space="0" w:color="auto"/>
        <w:bottom w:val="none" w:sz="0" w:space="0" w:color="auto"/>
        <w:right w:val="none" w:sz="0" w:space="0" w:color="auto"/>
      </w:divBdr>
    </w:div>
    <w:div w:id="198246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3B0F5-F8F1-451D-911A-53C80B93C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5074</Words>
  <Characters>28924</Characters>
  <Application>Microsoft Office Word</Application>
  <DocSecurity>0</DocSecurity>
  <Lines>241</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33931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2021-08-18T13:25:00Z</dcterms:created>
  <dc:creator>a.vagelaite</dc:creator>
  <cp:lastModifiedBy>app10 app10</cp:lastModifiedBy>
  <cp:lastPrinted>2021-08-10T06:05:00Z</cp:lastPrinted>
  <dcterms:modified xsi:type="dcterms:W3CDTF">2021-09-02T06:47:00Z</dcterms:modified>
  <cp:revision>7</cp:revision>
</cp:coreProperties>
</file>