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5390" w14:textId="00D05B50" w:rsidR="00933A1C" w:rsidRPr="00A12F42" w:rsidRDefault="001479FA">
      <w:pPr>
        <w:jc w:val="center"/>
        <w:rPr>
          <w:sz w:val="22"/>
          <w:szCs w:val="22"/>
          <w:lang w:eastAsia="lt-LT"/>
        </w:rPr>
      </w:pPr>
      <w:r>
        <w:rPr>
          <w:b/>
          <w:bCs/>
          <w:color w:val="000000"/>
          <w:sz w:val="22"/>
          <w:szCs w:val="22"/>
          <w:lang w:eastAsia="lt-LT"/>
        </w:rPr>
        <w:t>LIETUVOS RESPUBLIKOS VYRIAUSYBĖS NUTARIMO „</w:t>
      </w:r>
      <w:r>
        <w:rPr>
          <w:b/>
          <w:bCs/>
          <w:sz w:val="22"/>
          <w:szCs w:val="22"/>
          <w:lang w:eastAsia="lt-LT"/>
        </w:rPr>
        <w:t xml:space="preserve">DĖL ĮGALIOJIMŲ </w:t>
      </w:r>
      <w:r>
        <w:rPr>
          <w:b/>
          <w:sz w:val="22"/>
          <w:szCs w:val="22"/>
          <w:lang w:eastAsia="lt-LT"/>
        </w:rPr>
        <w:t xml:space="preserve">SUTEIKIMO ĮGYVENDINANT LIETUVOS RESPUBLIKOS NESĄŽININGOS PREKYBOS PRAKTIKOS ŽEMĖS ŪKIO IR MAISTO PRODUKTŲ TIEKIMO GRANDINĖJE DRAUDIMO ĮSTATYMĄ IR </w:t>
      </w:r>
      <w:r>
        <w:rPr>
          <w:b/>
          <w:bCs/>
          <w:sz w:val="22"/>
          <w:szCs w:val="22"/>
          <w:lang w:eastAsia="lt-LT"/>
        </w:rPr>
        <w:t>LIETUVOS RESPUBLIKOS ATSISKAITYMO UŽ ŽEMĖS ŪKIO PRODUKCIJĄ ĮSTATYMĄ“</w:t>
      </w:r>
      <w:r w:rsidR="00A12F42">
        <w:rPr>
          <w:b/>
          <w:bCs/>
          <w:sz w:val="22"/>
          <w:szCs w:val="22"/>
          <w:lang w:eastAsia="lt-LT"/>
        </w:rPr>
        <w:t xml:space="preserve"> PROJEKTO (TAIS </w:t>
      </w:r>
      <w:r w:rsidR="00EE5E7B">
        <w:rPr>
          <w:b/>
          <w:bCs/>
          <w:sz w:val="22"/>
          <w:szCs w:val="22"/>
          <w:lang w:eastAsia="lt-LT"/>
        </w:rPr>
        <w:t xml:space="preserve">NR. </w:t>
      </w:r>
      <w:r w:rsidR="00A12F42" w:rsidRPr="00A12F42">
        <w:rPr>
          <w:b/>
          <w:bCs/>
          <w:szCs w:val="24"/>
        </w:rPr>
        <w:t>21-27899)</w:t>
      </w:r>
    </w:p>
    <w:p w14:paraId="28057FB9" w14:textId="77777777" w:rsidR="00933A1C" w:rsidRDefault="001479FA">
      <w:pPr>
        <w:ind w:right="-57"/>
        <w:jc w:val="center"/>
        <w:rPr>
          <w:bCs/>
          <w:sz w:val="22"/>
          <w:szCs w:val="22"/>
          <w:lang w:eastAsia="lt-LT"/>
        </w:rPr>
      </w:pPr>
      <w:r>
        <w:rPr>
          <w:b/>
          <w:sz w:val="22"/>
          <w:szCs w:val="22"/>
          <w:lang w:eastAsia="lt-LT"/>
        </w:rPr>
        <w:t xml:space="preserve">DERINIMO PAŽYMA </w:t>
      </w:r>
    </w:p>
    <w:p w14:paraId="7601AFD3" w14:textId="77777777" w:rsidR="00933A1C" w:rsidRDefault="00933A1C">
      <w:pPr>
        <w:rPr>
          <w:sz w:val="10"/>
          <w:szCs w:val="10"/>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664"/>
        <w:gridCol w:w="5123"/>
        <w:gridCol w:w="6784"/>
      </w:tblGrid>
      <w:tr w:rsidR="00933A1C" w14:paraId="6580601E" w14:textId="77777777">
        <w:tc>
          <w:tcPr>
            <w:tcW w:w="597" w:type="dxa"/>
          </w:tcPr>
          <w:p w14:paraId="39C326C4" w14:textId="77777777" w:rsidR="00933A1C" w:rsidRDefault="00933A1C">
            <w:pPr>
              <w:rPr>
                <w:sz w:val="4"/>
                <w:szCs w:val="4"/>
              </w:rPr>
            </w:pPr>
          </w:p>
          <w:p w14:paraId="0EB30373" w14:textId="77777777" w:rsidR="00933A1C" w:rsidRDefault="001479FA">
            <w:pPr>
              <w:jc w:val="center"/>
              <w:rPr>
                <w:szCs w:val="24"/>
                <w:lang w:eastAsia="lt-LT"/>
              </w:rPr>
            </w:pPr>
            <w:r>
              <w:rPr>
                <w:b/>
                <w:szCs w:val="24"/>
                <w:lang w:eastAsia="lt-LT"/>
              </w:rPr>
              <w:t>Eil.</w:t>
            </w:r>
          </w:p>
          <w:p w14:paraId="049808E1" w14:textId="77777777" w:rsidR="00933A1C" w:rsidRDefault="001479FA">
            <w:pPr>
              <w:jc w:val="center"/>
              <w:rPr>
                <w:b/>
                <w:szCs w:val="24"/>
                <w:lang w:eastAsia="lt-LT"/>
              </w:rPr>
            </w:pPr>
            <w:r>
              <w:rPr>
                <w:b/>
                <w:szCs w:val="24"/>
                <w:lang w:eastAsia="lt-LT"/>
              </w:rPr>
              <w:t>Nr.</w:t>
            </w:r>
          </w:p>
        </w:tc>
        <w:tc>
          <w:tcPr>
            <w:tcW w:w="2664" w:type="dxa"/>
          </w:tcPr>
          <w:p w14:paraId="579958C2" w14:textId="77777777" w:rsidR="00933A1C" w:rsidRDefault="00933A1C">
            <w:pPr>
              <w:rPr>
                <w:sz w:val="4"/>
                <w:szCs w:val="4"/>
              </w:rPr>
            </w:pPr>
          </w:p>
          <w:p w14:paraId="30EEED15" w14:textId="77777777" w:rsidR="00933A1C" w:rsidRDefault="001479FA">
            <w:pPr>
              <w:jc w:val="center"/>
              <w:rPr>
                <w:b/>
                <w:szCs w:val="24"/>
                <w:lang w:eastAsia="lt-LT"/>
              </w:rPr>
            </w:pPr>
            <w:r>
              <w:rPr>
                <w:b/>
                <w:szCs w:val="24"/>
                <w:lang w:eastAsia="lt-LT"/>
              </w:rPr>
              <w:t>Institucijos pavadinimas, rašto data ir numeris</w:t>
            </w:r>
          </w:p>
        </w:tc>
        <w:tc>
          <w:tcPr>
            <w:tcW w:w="5123" w:type="dxa"/>
          </w:tcPr>
          <w:p w14:paraId="590A19F7" w14:textId="77777777" w:rsidR="00933A1C" w:rsidRDefault="00933A1C">
            <w:pPr>
              <w:rPr>
                <w:sz w:val="4"/>
                <w:szCs w:val="4"/>
              </w:rPr>
            </w:pPr>
          </w:p>
          <w:p w14:paraId="739302AD" w14:textId="77777777" w:rsidR="00933A1C" w:rsidRDefault="001479FA">
            <w:pPr>
              <w:ind w:firstLine="33"/>
              <w:jc w:val="center"/>
              <w:rPr>
                <w:bCs/>
                <w:szCs w:val="24"/>
                <w:lang w:eastAsia="lt-LT"/>
              </w:rPr>
            </w:pPr>
            <w:r>
              <w:rPr>
                <w:b/>
                <w:szCs w:val="24"/>
                <w:lang w:eastAsia="lt-LT"/>
              </w:rPr>
              <w:t xml:space="preserve">Pastabos ir pasiūlymai </w:t>
            </w:r>
          </w:p>
        </w:tc>
        <w:tc>
          <w:tcPr>
            <w:tcW w:w="6784" w:type="dxa"/>
          </w:tcPr>
          <w:p w14:paraId="69DAA0E7" w14:textId="77777777" w:rsidR="00933A1C" w:rsidRDefault="00933A1C">
            <w:pPr>
              <w:rPr>
                <w:sz w:val="4"/>
                <w:szCs w:val="4"/>
              </w:rPr>
            </w:pPr>
          </w:p>
          <w:p w14:paraId="035BBA14" w14:textId="77777777" w:rsidR="00933A1C" w:rsidRDefault="001479FA">
            <w:pPr>
              <w:ind w:firstLine="23"/>
              <w:jc w:val="center"/>
              <w:rPr>
                <w:szCs w:val="24"/>
                <w:lang w:eastAsia="lt-LT"/>
              </w:rPr>
            </w:pPr>
            <w:r>
              <w:rPr>
                <w:b/>
                <w:szCs w:val="24"/>
                <w:lang w:eastAsia="lt-LT"/>
              </w:rPr>
              <w:t xml:space="preserve">Pastabų ir pasiūlymų </w:t>
            </w:r>
          </w:p>
          <w:p w14:paraId="70FE43EA" w14:textId="77777777" w:rsidR="00933A1C" w:rsidRDefault="001479FA">
            <w:pPr>
              <w:ind w:firstLine="23"/>
              <w:jc w:val="center"/>
              <w:rPr>
                <w:b/>
                <w:szCs w:val="24"/>
                <w:lang w:eastAsia="lt-LT"/>
              </w:rPr>
            </w:pPr>
            <w:r>
              <w:rPr>
                <w:b/>
                <w:szCs w:val="24"/>
                <w:lang w:eastAsia="lt-LT"/>
              </w:rPr>
              <w:t>įvertinimas</w:t>
            </w:r>
          </w:p>
        </w:tc>
      </w:tr>
      <w:tr w:rsidR="00933A1C" w14:paraId="0BB26BBC" w14:textId="77777777">
        <w:tc>
          <w:tcPr>
            <w:tcW w:w="597" w:type="dxa"/>
            <w:vMerge w:val="restart"/>
          </w:tcPr>
          <w:p w14:paraId="08F43F56" w14:textId="77777777" w:rsidR="00933A1C" w:rsidRDefault="00933A1C">
            <w:pPr>
              <w:rPr>
                <w:sz w:val="4"/>
                <w:szCs w:val="4"/>
              </w:rPr>
            </w:pPr>
          </w:p>
          <w:p w14:paraId="1D2E70F4" w14:textId="77777777" w:rsidR="00933A1C" w:rsidRDefault="001479FA">
            <w:pPr>
              <w:jc w:val="center"/>
              <w:rPr>
                <w:szCs w:val="24"/>
                <w:lang w:eastAsia="lt-LT"/>
              </w:rPr>
            </w:pPr>
            <w:r>
              <w:rPr>
                <w:szCs w:val="24"/>
                <w:lang w:eastAsia="lt-LT"/>
              </w:rPr>
              <w:t>1.</w:t>
            </w:r>
          </w:p>
        </w:tc>
        <w:tc>
          <w:tcPr>
            <w:tcW w:w="2664" w:type="dxa"/>
            <w:vMerge w:val="restart"/>
          </w:tcPr>
          <w:p w14:paraId="19B008A6" w14:textId="77777777" w:rsidR="00933A1C" w:rsidRDefault="00933A1C">
            <w:pPr>
              <w:rPr>
                <w:sz w:val="4"/>
                <w:szCs w:val="4"/>
              </w:rPr>
            </w:pPr>
          </w:p>
          <w:p w14:paraId="11489123" w14:textId="77777777" w:rsidR="00933A1C" w:rsidRDefault="001479FA">
            <w:pPr>
              <w:rPr>
                <w:szCs w:val="24"/>
                <w:lang w:val="en-US" w:eastAsia="lt-LT"/>
              </w:rPr>
            </w:pPr>
            <w:r>
              <w:rPr>
                <w:szCs w:val="24"/>
                <w:lang w:eastAsia="lt-LT"/>
              </w:rPr>
              <w:t xml:space="preserve">Viešoji įstaiga Kaimo verslo ir rinkų plėtros agentūra (2021-07-26 raštas) </w:t>
            </w:r>
          </w:p>
        </w:tc>
        <w:tc>
          <w:tcPr>
            <w:tcW w:w="5123" w:type="dxa"/>
          </w:tcPr>
          <w:p w14:paraId="27F4B479" w14:textId="77777777" w:rsidR="00933A1C" w:rsidRDefault="001479FA">
            <w:pPr>
              <w:overflowPunct w:val="0"/>
              <w:ind w:firstLine="352"/>
              <w:jc w:val="both"/>
              <w:textAlignment w:val="baseline"/>
              <w:rPr>
                <w:color w:val="000000"/>
                <w:szCs w:val="24"/>
                <w:lang w:eastAsia="lt-LT"/>
              </w:rPr>
            </w:pPr>
            <w:r>
              <w:rPr>
                <w:color w:val="000000"/>
                <w:szCs w:val="24"/>
                <w:lang w:eastAsia="lt-LT"/>
              </w:rPr>
              <w:t>Atkreiptinas dėmesys į tai, kad Agentūra, vadovaudamasi Lietuvos Respublikos nesąžiningos prekybos praktikos žemės ūkio ir maisto produktų tiekimo grandinėje draudimo įstatymo (toliau – Įstatymas) 13 straipsnio 4 dalies 4 punktu, privalės pareiškime nurodytas faktines aplinkybes vertinti ne tik ar jos yra priskirtinos prie galimų mažareikšmių pažeidimų, bet taip pat ir ar jos atitinka Agentūros patvirtintų veiklos administracinių prioritetų, kurie nustatomi taip pat vadovaujantis ir ūkio subjektų veiklos priežiūros rizikos vertinimo principu. Atsižvelgiant į pastarąją Įstatymo nuostatą, Agentūra siūlo svarstyti, ar Nutarimo projekto 1.2.3 papunkčiu Lietuvos Respublikos žemės ūkio ministerija neturėtų būti įgaliojama patvirtinti vieną teisės aktą, apimantį tiek teisės aktų reikalavimų pažeidimų, kurie laikomi mažareikšmiais, nustatymo tvarką, tiek ir Agentūros veiklos administracinių prioritetų nustatymo pagal ūkio subjektų veiklos priežiūros rizikos vertinimo principus tvarką.</w:t>
            </w:r>
          </w:p>
        </w:tc>
        <w:tc>
          <w:tcPr>
            <w:tcW w:w="6784" w:type="dxa"/>
          </w:tcPr>
          <w:p w14:paraId="71BC47BE" w14:textId="77777777" w:rsidR="00933A1C" w:rsidRDefault="001479FA">
            <w:pPr>
              <w:ind w:firstLine="227"/>
              <w:jc w:val="both"/>
              <w:rPr>
                <w:iCs/>
                <w:szCs w:val="24"/>
                <w:lang w:eastAsia="lt-LT"/>
              </w:rPr>
            </w:pPr>
            <w:r>
              <w:rPr>
                <w:b/>
                <w:bCs/>
                <w:iCs/>
                <w:szCs w:val="24"/>
                <w:lang w:eastAsia="lt-LT"/>
              </w:rPr>
              <w:t>Neatsižvelgta</w:t>
            </w:r>
          </w:p>
          <w:p w14:paraId="5F19304B" w14:textId="77777777" w:rsidR="00933A1C" w:rsidRDefault="00933A1C">
            <w:pPr>
              <w:rPr>
                <w:sz w:val="4"/>
                <w:szCs w:val="4"/>
              </w:rPr>
            </w:pPr>
          </w:p>
          <w:p w14:paraId="645E9937" w14:textId="77777777" w:rsidR="00933A1C" w:rsidRDefault="001479FA">
            <w:pPr>
              <w:ind w:firstLine="227"/>
              <w:jc w:val="both"/>
              <w:rPr>
                <w:color w:val="000000"/>
                <w:szCs w:val="24"/>
                <w:lang w:eastAsia="lt-LT"/>
              </w:rPr>
            </w:pPr>
            <w:r>
              <w:rPr>
                <w:iCs/>
                <w:szCs w:val="24"/>
                <w:lang w:eastAsia="lt-LT"/>
              </w:rPr>
              <w:t xml:space="preserve">Lietuvos Respublikos nesąžiningos prekybos praktikos žemės ūkio ir maisto produktų tiekimo grandinėje draudimo įstatymo (toliau – NPPD įstatymas) 13 straipsnio 4 dalies 4 punkte nurodyta, kad </w:t>
            </w:r>
            <w:r>
              <w:rPr>
                <w:color w:val="000000"/>
                <w:szCs w:val="24"/>
                <w:lang w:eastAsia="lt-LT"/>
              </w:rPr>
              <w:t xml:space="preserve">„Pareiškime nurodytos faktinės aplinkybės yra priskirtinos prie galimų mažareikšmių pažeidimų ir neatitinka </w:t>
            </w:r>
            <w:r>
              <w:rPr>
                <w:i/>
                <w:iCs/>
                <w:color w:val="000000"/>
                <w:szCs w:val="24"/>
                <w:lang w:eastAsia="lt-LT"/>
              </w:rPr>
              <w:t>Agentūros patvirtintų</w:t>
            </w:r>
            <w:r>
              <w:rPr>
                <w:color w:val="000000"/>
                <w:szCs w:val="24"/>
                <w:lang w:eastAsia="lt-LT"/>
              </w:rPr>
              <w:t xml:space="preserve"> veiklos administracinių prioritetų, kurie nustatomi taip pat vadovaujantis ir ūkio subjektų veiklos priežiūros rizikos vertinimo principu &lt;...&gt;“. Taigi, kaip matyti, NPPD įstatymu Agentūrai suteikiami įgaliojimai pačiai patvirtinti savo veiklos administracinius prioritetus.</w:t>
            </w:r>
          </w:p>
          <w:p w14:paraId="1C28C95F" w14:textId="77777777" w:rsidR="00933A1C" w:rsidRDefault="00933A1C">
            <w:pPr>
              <w:rPr>
                <w:sz w:val="4"/>
                <w:szCs w:val="4"/>
              </w:rPr>
            </w:pPr>
          </w:p>
          <w:p w14:paraId="63C1F4B0" w14:textId="77777777" w:rsidR="00933A1C" w:rsidRDefault="001479FA">
            <w:pPr>
              <w:ind w:firstLine="227"/>
              <w:jc w:val="both"/>
              <w:rPr>
                <w:color w:val="000000"/>
                <w:szCs w:val="24"/>
                <w:lang w:eastAsia="lt-LT"/>
              </w:rPr>
            </w:pPr>
            <w:r>
              <w:rPr>
                <w:color w:val="000000"/>
                <w:szCs w:val="24"/>
                <w:lang w:eastAsia="lt-LT"/>
              </w:rPr>
              <w:t xml:space="preserve">Lietuvos Respublikos viešojo administravimo įstatymo </w:t>
            </w:r>
            <w:r>
              <w:rPr>
                <w:color w:val="000000"/>
                <w:szCs w:val="24"/>
                <w:lang w:eastAsia="lt-LT"/>
              </w:rPr>
              <w:br/>
              <w:t xml:space="preserve">38 straipsnio 2 dalyje nurodyta, kad „Teisės aktų reikalavimų pažeidimai, kurie laikomi mažareikšmiais konkrečiose ūkio subjektų veiklos srityse, ar tokių pažeidimų kriterijai, taip pat šių pažeidimų pašalinimo terminai, </w:t>
            </w:r>
            <w:r>
              <w:rPr>
                <w:i/>
                <w:iCs/>
                <w:color w:val="000000"/>
                <w:szCs w:val="24"/>
                <w:lang w:eastAsia="lt-LT"/>
              </w:rPr>
              <w:t>nurodomi ūkio subjektų veiklos priežiūrą atliekančio subjekto arba aukštesniojo pagal pavaldumą viešojo administravimo subjekto priimamuose norminiuose administraciniuose aktuose</w:t>
            </w:r>
            <w:r>
              <w:rPr>
                <w:color w:val="000000"/>
                <w:szCs w:val="24"/>
                <w:lang w:eastAsia="lt-LT"/>
              </w:rPr>
              <w:t>“.</w:t>
            </w:r>
          </w:p>
          <w:p w14:paraId="22D4E01A" w14:textId="77777777" w:rsidR="00933A1C" w:rsidRDefault="00933A1C">
            <w:pPr>
              <w:rPr>
                <w:sz w:val="4"/>
                <w:szCs w:val="4"/>
              </w:rPr>
            </w:pPr>
          </w:p>
          <w:p w14:paraId="5BA608F4" w14:textId="77777777" w:rsidR="00933A1C" w:rsidRDefault="001479FA">
            <w:pPr>
              <w:ind w:firstLine="227"/>
              <w:jc w:val="both"/>
              <w:rPr>
                <w:color w:val="000000"/>
                <w:szCs w:val="24"/>
                <w:lang w:eastAsia="lt-LT"/>
              </w:rPr>
            </w:pPr>
            <w:r>
              <w:rPr>
                <w:color w:val="000000"/>
                <w:szCs w:val="24"/>
                <w:lang w:eastAsia="lt-LT"/>
              </w:rPr>
              <w:t xml:space="preserve">Pažymėtina, kad vadovaujantis anksčiau paminėtomis įstatymų nuostatomis, darytina išvada, jog Agentūra, kaip ūkio subjektų priežiūrą atliekantis subjektas, minėtus teisės aktus turėtų tvirtinti pati. Taip pat atkreiptinas dėmesys, jog NPPD įstatymas nesuteikia įgaliojimų Žemės ūkio ministerijai tvirtinti aptariamus teisės aktus. Be kita ko, taip pat pažymėtina, jog Agentūra nėra pavaldi Žemės ūkio ministerijai, todėl Žemės ūkio ministerija nėra aukštesnis pagal </w:t>
            </w:r>
            <w:r>
              <w:rPr>
                <w:color w:val="000000"/>
                <w:szCs w:val="24"/>
                <w:lang w:eastAsia="lt-LT"/>
              </w:rPr>
              <w:lastRenderedPageBreak/>
              <w:t xml:space="preserve">pavaldumą viešojo administravimo subjektas Agentūros atžvilgiu, todėl neatitinka Viešojo administravimo įstatymo 38 straipsnio </w:t>
            </w:r>
            <w:r>
              <w:rPr>
                <w:color w:val="000000"/>
                <w:szCs w:val="24"/>
                <w:lang w:eastAsia="lt-LT"/>
              </w:rPr>
              <w:br/>
              <w:t>2 dalyje keliamos sąlygos.</w:t>
            </w:r>
          </w:p>
        </w:tc>
      </w:tr>
      <w:tr w:rsidR="00933A1C" w14:paraId="6DB20B5A" w14:textId="77777777">
        <w:tc>
          <w:tcPr>
            <w:tcW w:w="597" w:type="dxa"/>
            <w:vMerge/>
          </w:tcPr>
          <w:p w14:paraId="56DBBEC6" w14:textId="77777777" w:rsidR="00933A1C" w:rsidRDefault="00933A1C">
            <w:pPr>
              <w:rPr>
                <w:sz w:val="4"/>
                <w:szCs w:val="4"/>
              </w:rPr>
            </w:pPr>
          </w:p>
          <w:p w14:paraId="4732839A" w14:textId="77777777" w:rsidR="00933A1C" w:rsidRDefault="00933A1C">
            <w:pPr>
              <w:jc w:val="center"/>
              <w:rPr>
                <w:szCs w:val="24"/>
                <w:lang w:eastAsia="lt-LT"/>
              </w:rPr>
            </w:pPr>
          </w:p>
        </w:tc>
        <w:tc>
          <w:tcPr>
            <w:tcW w:w="2664" w:type="dxa"/>
            <w:vMerge/>
          </w:tcPr>
          <w:p w14:paraId="77EF8455" w14:textId="77777777" w:rsidR="00933A1C" w:rsidRDefault="00933A1C">
            <w:pPr>
              <w:rPr>
                <w:sz w:val="4"/>
                <w:szCs w:val="4"/>
              </w:rPr>
            </w:pPr>
          </w:p>
          <w:p w14:paraId="3AB4A578" w14:textId="77777777" w:rsidR="00933A1C" w:rsidRDefault="00933A1C">
            <w:pPr>
              <w:rPr>
                <w:szCs w:val="24"/>
                <w:lang w:eastAsia="lt-LT"/>
              </w:rPr>
            </w:pPr>
          </w:p>
        </w:tc>
        <w:tc>
          <w:tcPr>
            <w:tcW w:w="5123" w:type="dxa"/>
          </w:tcPr>
          <w:p w14:paraId="3F3CB859" w14:textId="77777777" w:rsidR="00933A1C" w:rsidRDefault="001479FA">
            <w:pPr>
              <w:overflowPunct w:val="0"/>
              <w:ind w:firstLine="209"/>
              <w:jc w:val="both"/>
              <w:textAlignment w:val="baseline"/>
              <w:rPr>
                <w:color w:val="000000"/>
                <w:szCs w:val="24"/>
                <w:lang w:eastAsia="lt-LT"/>
              </w:rPr>
            </w:pPr>
            <w:r>
              <w:rPr>
                <w:color w:val="000000"/>
                <w:szCs w:val="24"/>
                <w:lang w:eastAsia="lt-LT"/>
              </w:rPr>
              <w:t xml:space="preserve">Agentūra primena, kad, nuo 2020 m. lapkričio </w:t>
            </w:r>
            <w:r>
              <w:rPr>
                <w:color w:val="000000"/>
                <w:szCs w:val="24"/>
                <w:lang w:eastAsia="lt-LT"/>
              </w:rPr>
              <w:br/>
              <w:t xml:space="preserve">1 d. įsigaliojus naujos redakcijos Lietuvos Respublikos viešojo administravimo įstatymui, Agentūra, turėdama viešosios įstaigos, kurios dalininkas yra valstybė, teisinę formą, neatsižvelgiant į tai, kad turi teisę vykdyti viešojo administravimo funkcijas ir yra laikoma viešojo administravimo subjektu, nebeturi įgaliojimų leisti norminius teisės aktus. Tačiau Agentūros – įstaigos, atliekančios ūkio subjektų veiklos priežiūrą, įgaliojimai priimant sprendimus, jų priėmimo kriterijai, procesiniai veiksmai ir jų terminai turi būti žinomi suinteresuotiems ūkio subjektams, kurių atžvilgiu bus vykdomas Įstatymo pažeidimų tyrimas. </w:t>
            </w:r>
          </w:p>
          <w:p w14:paraId="1778FA50" w14:textId="77777777" w:rsidR="00933A1C" w:rsidRDefault="001479FA" w:rsidP="00471D54">
            <w:pPr>
              <w:overflowPunct w:val="0"/>
              <w:spacing w:after="60"/>
              <w:ind w:firstLine="210"/>
              <w:jc w:val="both"/>
              <w:textAlignment w:val="baseline"/>
              <w:rPr>
                <w:color w:val="000000"/>
                <w:szCs w:val="24"/>
                <w:lang w:eastAsia="lt-LT"/>
              </w:rPr>
            </w:pPr>
            <w:r>
              <w:rPr>
                <w:color w:val="000000"/>
                <w:szCs w:val="24"/>
                <w:lang w:eastAsia="lt-LT"/>
              </w:rPr>
              <w:t xml:space="preserve">Atsižvelgiant į tai, Agentūra siūlo svarstyti, ar netikslinga Nutarimo projektą papildyti, kad Lietuvos Respublikos žemės ūkio ministerija būtų įgaliota parengti teisės aktą, reglamentuojantį Agentūros veiksmus, įgyvendinančius jai Įstatymu deleguotas funkcijas. </w:t>
            </w:r>
          </w:p>
        </w:tc>
        <w:tc>
          <w:tcPr>
            <w:tcW w:w="6784" w:type="dxa"/>
          </w:tcPr>
          <w:p w14:paraId="17278996" w14:textId="77777777" w:rsidR="00933A1C" w:rsidRDefault="001479FA">
            <w:pPr>
              <w:ind w:firstLine="227"/>
              <w:jc w:val="both"/>
              <w:rPr>
                <w:iCs/>
                <w:szCs w:val="24"/>
                <w:lang w:eastAsia="lt-LT"/>
              </w:rPr>
            </w:pPr>
            <w:r>
              <w:rPr>
                <w:b/>
                <w:bCs/>
                <w:iCs/>
                <w:szCs w:val="24"/>
                <w:lang w:eastAsia="lt-LT"/>
              </w:rPr>
              <w:t>Neatsižvelgta</w:t>
            </w:r>
          </w:p>
          <w:p w14:paraId="62D5EDA5" w14:textId="77777777" w:rsidR="00933A1C" w:rsidRDefault="00933A1C">
            <w:pPr>
              <w:rPr>
                <w:sz w:val="4"/>
                <w:szCs w:val="4"/>
              </w:rPr>
            </w:pPr>
          </w:p>
          <w:p w14:paraId="440ACEF3" w14:textId="77777777" w:rsidR="00933A1C" w:rsidRDefault="001479FA">
            <w:pPr>
              <w:ind w:firstLine="227"/>
              <w:jc w:val="both"/>
              <w:rPr>
                <w:iCs/>
                <w:szCs w:val="24"/>
                <w:lang w:eastAsia="lt-LT"/>
              </w:rPr>
            </w:pPr>
            <w:r>
              <w:rPr>
                <w:bCs/>
                <w:szCs w:val="24"/>
                <w:lang w:eastAsia="lt-LT"/>
              </w:rPr>
              <w:t xml:space="preserve">Remiantis Teisėkūros pagrindų įstatymo 6 straipsnio 2 dalies </w:t>
            </w:r>
            <w:r>
              <w:rPr>
                <w:bCs/>
                <w:szCs w:val="24"/>
                <w:lang w:eastAsia="lt-LT"/>
              </w:rPr>
              <w:br/>
              <w:t>17 punktu, teisės aktų registro objektai yra „</w:t>
            </w:r>
            <w:r>
              <w:rPr>
                <w:bCs/>
                <w:i/>
                <w:iCs/>
                <w:szCs w:val="24"/>
                <w:lang w:eastAsia="lt-LT"/>
              </w:rPr>
              <w:t>įgaliotų atlikti viešąjį administravimą</w:t>
            </w:r>
            <w:r>
              <w:rPr>
                <w:bCs/>
                <w:szCs w:val="24"/>
                <w:lang w:eastAsia="lt-LT"/>
              </w:rPr>
              <w:t xml:space="preserve"> &lt;...&gt; </w:t>
            </w:r>
            <w:r>
              <w:rPr>
                <w:bCs/>
                <w:i/>
                <w:iCs/>
                <w:szCs w:val="24"/>
                <w:lang w:eastAsia="lt-LT"/>
              </w:rPr>
              <w:t>viešųjų įstaigų</w:t>
            </w:r>
            <w:r>
              <w:rPr>
                <w:bCs/>
                <w:szCs w:val="24"/>
                <w:lang w:eastAsia="lt-LT"/>
              </w:rPr>
              <w:t xml:space="preserve">, kurių savininkė ar dalininkė yra valstybė ar savivaldybė, valdymo organų ir regionų plėtros tarybų kolegijų priimti norminiai teisės aktai &lt;...&gt;“. Atsižvelgiant į tai, manytina, kad Agentūra pati turėtų parengti ir patvirtinti teisės aktą, reglamentuojantį Agentūros veiksmus, įgyvendinančius jai NPPD įstatymu deleguotas funkcijas. Taip pat pažymėtina, jog Žemės ūkio ministerija neturi teisinio pagrindo rengti ir tvirtinti Agentūros siūlomo teisės akto, kadangi NPPD įstatymas tokių įgaliojimų Žemės ūkio ministerijai nesuteikia. </w:t>
            </w:r>
          </w:p>
        </w:tc>
      </w:tr>
    </w:tbl>
    <w:p w14:paraId="626A7C0C" w14:textId="77777777" w:rsidR="00933A1C" w:rsidRDefault="001479FA">
      <w:pPr>
        <w:jc w:val="center"/>
        <w:rPr>
          <w:szCs w:val="24"/>
          <w:lang w:eastAsia="lt-LT"/>
        </w:rPr>
      </w:pPr>
      <w:r>
        <w:rPr>
          <w:szCs w:val="24"/>
          <w:lang w:eastAsia="lt-LT"/>
        </w:rPr>
        <w:t>_____________________________</w:t>
      </w:r>
    </w:p>
    <w:sectPr w:rsidR="00933A1C">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737" w:bottom="1134"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9B11" w14:textId="77777777" w:rsidR="009E7443" w:rsidRDefault="009E7443">
      <w:pPr>
        <w:ind w:firstLine="720"/>
        <w:jc w:val="both"/>
        <w:rPr>
          <w:color w:val="00B050"/>
          <w:szCs w:val="24"/>
          <w:lang w:eastAsia="lt-LT"/>
        </w:rPr>
      </w:pPr>
      <w:r>
        <w:rPr>
          <w:color w:val="00B050"/>
          <w:szCs w:val="24"/>
          <w:lang w:eastAsia="lt-LT"/>
        </w:rPr>
        <w:separator/>
      </w:r>
    </w:p>
  </w:endnote>
  <w:endnote w:type="continuationSeparator" w:id="0">
    <w:p w14:paraId="6C975D0D" w14:textId="77777777" w:rsidR="009E7443" w:rsidRDefault="009E7443">
      <w:pPr>
        <w:ind w:firstLine="720"/>
        <w:jc w:val="both"/>
        <w:rPr>
          <w:color w:val="00B050"/>
          <w:szCs w:val="24"/>
          <w:lang w:eastAsia="lt-LT"/>
        </w:rPr>
      </w:pPr>
      <w:r>
        <w:rPr>
          <w:color w:val="00B05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A9C6" w14:textId="77777777" w:rsidR="00933A1C" w:rsidRDefault="00933A1C">
    <w:pPr>
      <w:tabs>
        <w:tab w:val="center" w:pos="4536"/>
        <w:tab w:val="right" w:pos="9072"/>
      </w:tabs>
      <w:ind w:firstLine="720"/>
      <w:jc w:val="both"/>
      <w:rPr>
        <w:color w:val="00B05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F18E" w14:textId="77777777" w:rsidR="00933A1C" w:rsidRDefault="00933A1C">
    <w:pPr>
      <w:tabs>
        <w:tab w:val="center" w:pos="4536"/>
        <w:tab w:val="right" w:pos="9072"/>
      </w:tabs>
      <w:ind w:firstLine="720"/>
      <w:jc w:val="both"/>
      <w:rPr>
        <w:color w:val="00B05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D6F9" w14:textId="77777777" w:rsidR="00933A1C" w:rsidRDefault="00933A1C">
    <w:pPr>
      <w:tabs>
        <w:tab w:val="center" w:pos="4536"/>
        <w:tab w:val="right" w:pos="9072"/>
      </w:tabs>
      <w:ind w:firstLine="720"/>
      <w:jc w:val="both"/>
      <w:rPr>
        <w:color w:val="00B05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05E2" w14:textId="77777777" w:rsidR="009E7443" w:rsidRDefault="009E7443">
      <w:pPr>
        <w:ind w:firstLine="720"/>
        <w:jc w:val="both"/>
        <w:rPr>
          <w:color w:val="00B050"/>
          <w:szCs w:val="24"/>
          <w:lang w:eastAsia="lt-LT"/>
        </w:rPr>
      </w:pPr>
      <w:r>
        <w:rPr>
          <w:color w:val="00B050"/>
          <w:szCs w:val="24"/>
          <w:lang w:eastAsia="lt-LT"/>
        </w:rPr>
        <w:separator/>
      </w:r>
    </w:p>
  </w:footnote>
  <w:footnote w:type="continuationSeparator" w:id="0">
    <w:p w14:paraId="124CB669" w14:textId="77777777" w:rsidR="009E7443" w:rsidRDefault="009E7443">
      <w:pPr>
        <w:ind w:firstLine="720"/>
        <w:jc w:val="both"/>
        <w:rPr>
          <w:color w:val="00B050"/>
          <w:szCs w:val="24"/>
          <w:lang w:eastAsia="lt-LT"/>
        </w:rPr>
      </w:pPr>
      <w:r>
        <w:rPr>
          <w:color w:val="00B05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E2BB" w14:textId="77777777" w:rsidR="00933A1C" w:rsidRDefault="00933A1C">
    <w:pPr>
      <w:tabs>
        <w:tab w:val="center" w:pos="4536"/>
        <w:tab w:val="right" w:pos="9072"/>
      </w:tabs>
      <w:ind w:firstLine="720"/>
      <w:jc w:val="both"/>
      <w:rPr>
        <w:color w:val="00B05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E93C" w14:textId="77777777" w:rsidR="00933A1C" w:rsidRDefault="001479FA">
    <w:pPr>
      <w:tabs>
        <w:tab w:val="center" w:pos="4536"/>
        <w:tab w:val="right" w:pos="9072"/>
      </w:tabs>
      <w:ind w:firstLine="720"/>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14:paraId="0CFC7479" w14:textId="77777777" w:rsidR="00933A1C" w:rsidRDefault="00933A1C">
    <w:pPr>
      <w:tabs>
        <w:tab w:val="center" w:pos="4536"/>
        <w:tab w:val="right" w:pos="9072"/>
      </w:tabs>
      <w:jc w:val="both"/>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D354" w14:textId="77777777" w:rsidR="00933A1C" w:rsidRDefault="00933A1C">
    <w:pPr>
      <w:tabs>
        <w:tab w:val="center" w:pos="4536"/>
        <w:tab w:val="right" w:pos="9072"/>
      </w:tabs>
      <w:ind w:firstLine="720"/>
      <w:jc w:val="both"/>
      <w:rPr>
        <w:color w:val="00B05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F"/>
    <w:rsid w:val="001479FA"/>
    <w:rsid w:val="00471D54"/>
    <w:rsid w:val="007817C2"/>
    <w:rsid w:val="00933A1C"/>
    <w:rsid w:val="009E7443"/>
    <w:rsid w:val="00A12F42"/>
    <w:rsid w:val="00BC095F"/>
    <w:rsid w:val="00E279BD"/>
    <w:rsid w:val="00EE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C57E"/>
  <w15:docId w15:val="{447C8987-5524-4300-8AB9-FBCC6164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3913-F338-42A2-A28A-08B3F8F2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3121</Words>
  <Characters>1780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Rimantas Kaušikas</cp:lastModifiedBy>
  <cp:revision>5</cp:revision>
  <dcterms:created xsi:type="dcterms:W3CDTF">2021-08-30T05:34:00Z</dcterms:created>
  <dcterms:modified xsi:type="dcterms:W3CDTF">2021-08-31T08:02:00Z</dcterms:modified>
</cp:coreProperties>
</file>