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16054" w14:textId="77777777" w:rsidR="00FD3AAC" w:rsidRDefault="00A20B15" w:rsidP="00574881">
      <w:pPr>
        <w:ind w:left="3888" w:firstLine="129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DERINIMO PAŽYMA</w:t>
      </w:r>
    </w:p>
    <w:tbl>
      <w:tblPr>
        <w:tblW w:w="143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4252"/>
        <w:gridCol w:w="7938"/>
      </w:tblGrid>
      <w:tr w:rsidR="00FD3AAC" w14:paraId="5C6CAF0E" w14:textId="77777777" w:rsidTr="0056272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4232" w14:textId="77777777" w:rsidR="00FD3AAC" w:rsidRDefault="00A20B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Institucija, teikianti pastabą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D3D2D" w14:textId="77777777" w:rsidR="00FD3AAC" w:rsidRDefault="00A20B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Pastaba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A5FD" w14:textId="77777777" w:rsidR="00FD3AAC" w:rsidRDefault="00A20B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Neatsižvelgimo (atsižvelgimo iš dalies) argumentai</w:t>
            </w:r>
          </w:p>
        </w:tc>
      </w:tr>
      <w:tr w:rsidR="006725B6" w14:paraId="2ABB20CD" w14:textId="77777777" w:rsidTr="00D80A0B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90B7" w14:textId="08AD6E6D" w:rsidR="006725B6" w:rsidRDefault="0067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Teisingumo ministerijos išvada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605A" w14:textId="77777777" w:rsidR="002922CC" w:rsidRDefault="00152FB9" w:rsidP="00292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FB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2922CC" w:rsidRPr="00152FB9">
              <w:rPr>
                <w:rFonts w:ascii="Times New Roman" w:hAnsi="Times New Roman"/>
                <w:sz w:val="24"/>
                <w:szCs w:val="24"/>
              </w:rPr>
              <w:t>Manytina, kad LRV išvadoje teikiamas pasiūlymas papildyti keičiamą įstatymą 24 straipsnio 2</w:t>
            </w:r>
            <w:r w:rsidR="002922CC" w:rsidRPr="00152FB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 </w:t>
            </w:r>
            <w:r w:rsidR="002922CC" w:rsidRPr="00152FB9">
              <w:rPr>
                <w:rFonts w:ascii="Times New Roman" w:hAnsi="Times New Roman"/>
                <w:sz w:val="24"/>
                <w:szCs w:val="24"/>
              </w:rPr>
              <w:t xml:space="preserve">dalimi yra perteklinis, kadangi klausimų dėl </w:t>
            </w:r>
            <w:r w:rsidR="002922CC" w:rsidRPr="00152F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biudžetinių įstaigų, kurių valstybės, kaip biudžetinių įstaigų savininkės, teises ir pareigas įgyvendina Sveikatos apsaugos ministerija, teisių ir pareigų įgyvendinimo sprendimas pagal Lietuvos Respublikos biudžetinių įstaigų įstatymą </w:t>
            </w:r>
            <w:r w:rsidR="002922CC" w:rsidRPr="00152FB9" w:rsidDel="006A0D9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922CC" w:rsidRPr="00152F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ir taip yra Vyriausybės diskrecija, t. y. Vyriausybės pavedimu ar nutarimu pavedama atitinkamai įstaigai ar tos įstaigos pavaldžiai įstaigai įgyvendinti paminėtas teises ir pareigas.</w:t>
            </w:r>
          </w:p>
          <w:p w14:paraId="12629C01" w14:textId="64FD5088" w:rsidR="00152FB9" w:rsidRPr="00152FB9" w:rsidRDefault="00152FB9" w:rsidP="00152FB9">
            <w:pPr>
              <w:tabs>
                <w:tab w:val="left" w:pos="993"/>
              </w:tabs>
              <w:autoSpaceDN/>
              <w:spacing w:after="0" w:line="360" w:lineRule="auto"/>
              <w:contextualSpacing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4AA91E6D" w14:textId="00721076" w:rsidR="006725B6" w:rsidRDefault="006725B6" w:rsidP="004C2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2552" w14:textId="76E9FC0A" w:rsidR="006725B6" w:rsidRDefault="006725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Neatsižvelgta</w:t>
            </w:r>
          </w:p>
          <w:p w14:paraId="2C629099" w14:textId="5DC4E9FE" w:rsidR="00152FB9" w:rsidRDefault="00152FB9" w:rsidP="0067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Įstatymo projektu Nr. XIVP-1081 keičiamoje Sveikatos priežiūros įstaigų įstatymo 24 straipsnio 2 dalies pirmojoje pastraipoje nustatoma, kad </w:t>
            </w:r>
            <w:r w:rsidRPr="00152FB9">
              <w:rPr>
                <w:rFonts w:ascii="Times New Roman" w:hAnsi="Times New Roman"/>
                <w:sz w:val="24"/>
                <w:szCs w:val="24"/>
              </w:rPr>
              <w:t>LNSS valstybės visuomenės sveikatos priežiūros biudžetin</w:t>
            </w:r>
            <w:r w:rsidR="005363B1">
              <w:rPr>
                <w:rFonts w:ascii="Times New Roman" w:hAnsi="Times New Roman"/>
                <w:sz w:val="24"/>
                <w:szCs w:val="24"/>
              </w:rPr>
              <w:t>ių</w:t>
            </w:r>
            <w:r w:rsidRPr="00152FB9">
              <w:rPr>
                <w:rFonts w:ascii="Times New Roman" w:hAnsi="Times New Roman"/>
                <w:sz w:val="24"/>
                <w:szCs w:val="24"/>
              </w:rPr>
              <w:t xml:space="preserve"> įstaig</w:t>
            </w:r>
            <w:r w:rsidR="005363B1">
              <w:rPr>
                <w:rFonts w:ascii="Times New Roman" w:hAnsi="Times New Roman"/>
                <w:sz w:val="24"/>
                <w:szCs w:val="24"/>
              </w:rPr>
              <w:t>ų</w:t>
            </w:r>
            <w:r w:rsidRPr="00152F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C2F98">
              <w:rPr>
                <w:rFonts w:ascii="Times New Roman" w:hAnsi="Times New Roman"/>
                <w:sz w:val="24"/>
                <w:szCs w:val="24"/>
                <w:u w:val="single"/>
              </w:rPr>
              <w:t>kurių valstybės, kaip biudžetinių įstaigų savininkės, teises ir pareigas įgyvendina Sveikatos apsaugos ministerija</w:t>
            </w:r>
            <w:r w:rsidR="005363B1" w:rsidRPr="005363B1">
              <w:rPr>
                <w:rFonts w:ascii="Times New Roman" w:hAnsi="Times New Roman"/>
                <w:sz w:val="24"/>
                <w:szCs w:val="24"/>
              </w:rPr>
              <w:t>, nomenklatūra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DD7436" w14:textId="391BE89A" w:rsidR="005363B1" w:rsidRDefault="00FC2F98" w:rsidP="0067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Sveikatos apsaugos ministerija</w:t>
            </w:r>
            <w:r w:rsidR="0046112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svarstydama biudžetinių visuomenės sveikatos priežiūros įstaigų optimizavimo kryptis</w:t>
            </w:r>
            <w:r w:rsidR="0046112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kaip vieną iš alternatyvų numatė tai, kad Nacionalinė visuomenės sveikatos priežiūros laboratorija galėtų būti biudžetinė įstaiga, kurios savininkės teises ir pareigas įgyvendintų ne Sveikatos apsaugos ministerija, </w:t>
            </w:r>
            <w:r w:rsidR="0046112C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>Nacionalin</w:t>
            </w:r>
            <w:r w:rsidR="00966FF0">
              <w:rPr>
                <w:rFonts w:ascii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visuomenės </w:t>
            </w:r>
            <w:r w:rsidR="00966FF0">
              <w:rPr>
                <w:rFonts w:ascii="Times New Roman" w:hAnsi="Times New Roman"/>
                <w:sz w:val="24"/>
                <w:szCs w:val="24"/>
              </w:rPr>
              <w:t>sveikatos centras</w:t>
            </w:r>
            <w:r w:rsidR="009F4CD9">
              <w:rPr>
                <w:rFonts w:ascii="Times New Roman" w:hAnsi="Times New Roman"/>
                <w:sz w:val="24"/>
                <w:szCs w:val="24"/>
              </w:rPr>
              <w:t xml:space="preserve"> prie Sveikatos apsaugos ministerijos</w:t>
            </w:r>
            <w:r w:rsidR="005363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34C9DC" w14:textId="7EB73675" w:rsidR="00FC2F98" w:rsidRDefault="005363B1" w:rsidP="0067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Atsižvelgus į šią Teisingumo ministerijos pastabą ir atsisakius siūlomos nuostatos, kad Sveikatos priežiūros įstaigų įstatymo 24 </w:t>
            </w:r>
            <w:r w:rsidRPr="005363B1">
              <w:rPr>
                <w:rFonts w:ascii="Times New Roman" w:hAnsi="Times New Roman"/>
                <w:sz w:val="24"/>
                <w:szCs w:val="24"/>
              </w:rPr>
              <w:t>straipsnio 2 dalyje nurodytos įstaigos gali įgyvendinti valstybės, kaip LNSS valstybės visuomenės sveikatos priežiūros biudžetinių įstaigų savininkės, teises ir pareigas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112C">
              <w:rPr>
                <w:rFonts w:ascii="Times New Roman" w:hAnsi="Times New Roman"/>
                <w:sz w:val="24"/>
                <w:szCs w:val="24"/>
                <w:u w:val="single"/>
              </w:rPr>
              <w:t>pasidarytų</w:t>
            </w:r>
            <w:r w:rsidR="0046112C" w:rsidRPr="009F4CD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9F4CD9">
              <w:rPr>
                <w:rFonts w:ascii="Times New Roman" w:hAnsi="Times New Roman"/>
                <w:sz w:val="24"/>
                <w:szCs w:val="24"/>
                <w:u w:val="single"/>
              </w:rPr>
              <w:t>nebeaišku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F4CD9">
              <w:rPr>
                <w:rFonts w:ascii="Times New Roman" w:hAnsi="Times New Roman"/>
                <w:sz w:val="24"/>
                <w:szCs w:val="24"/>
                <w:u w:val="single"/>
              </w:rPr>
              <w:t>ar,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pavyzdžiui, Nacionalinė visuomenės sveikatos priežiūros laboratorija, jeigu </w:t>
            </w:r>
            <w:r w:rsidR="009F4CD9" w:rsidRPr="009F4CD9">
              <w:rPr>
                <w:rFonts w:ascii="Times New Roman" w:hAnsi="Times New Roman"/>
                <w:sz w:val="24"/>
                <w:szCs w:val="24"/>
              </w:rPr>
              <w:t>valstybės, kaip Nacionalinė visuomenės sveikatos priežiūros laboratorija savininkės, teises ir pareigas</w:t>
            </w:r>
            <w:r w:rsidR="009F4CD9">
              <w:rPr>
                <w:rFonts w:ascii="Times New Roman" w:hAnsi="Times New Roman"/>
                <w:sz w:val="24"/>
                <w:szCs w:val="24"/>
              </w:rPr>
              <w:t xml:space="preserve"> būtų pavesta įgyvendinti ne Sveikatos apsaugos ministerijai, o </w:t>
            </w:r>
            <w:r w:rsidR="009F4CD9" w:rsidRPr="009F4CD9">
              <w:rPr>
                <w:rFonts w:ascii="Times New Roman" w:hAnsi="Times New Roman"/>
                <w:sz w:val="24"/>
                <w:szCs w:val="24"/>
              </w:rPr>
              <w:t>Nacionalini</w:t>
            </w:r>
            <w:r w:rsidR="009F4CD9">
              <w:rPr>
                <w:rFonts w:ascii="Times New Roman" w:hAnsi="Times New Roman"/>
                <w:sz w:val="24"/>
                <w:szCs w:val="24"/>
              </w:rPr>
              <w:t>am</w:t>
            </w:r>
            <w:r w:rsidR="009F4CD9" w:rsidRPr="009F4CD9">
              <w:rPr>
                <w:rFonts w:ascii="Times New Roman" w:hAnsi="Times New Roman"/>
                <w:sz w:val="24"/>
                <w:szCs w:val="24"/>
              </w:rPr>
              <w:t xml:space="preserve"> visuomenės sveikatos centr</w:t>
            </w:r>
            <w:r w:rsidR="009F4CD9">
              <w:rPr>
                <w:rFonts w:ascii="Times New Roman" w:hAnsi="Times New Roman"/>
                <w:sz w:val="24"/>
                <w:szCs w:val="24"/>
              </w:rPr>
              <w:t>ui</w:t>
            </w:r>
            <w:r w:rsidR="009F4CD9" w:rsidRPr="009F4CD9">
              <w:rPr>
                <w:rFonts w:ascii="Times New Roman" w:hAnsi="Times New Roman"/>
                <w:sz w:val="24"/>
                <w:szCs w:val="24"/>
              </w:rPr>
              <w:t xml:space="preserve"> prie Sveikatos apsaugos ministerijos</w:t>
            </w:r>
            <w:r w:rsidR="009F4C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F4CD9" w:rsidRPr="002922CC">
              <w:rPr>
                <w:rFonts w:ascii="Times New Roman" w:hAnsi="Times New Roman"/>
                <w:sz w:val="24"/>
                <w:szCs w:val="24"/>
                <w:u w:val="single"/>
              </w:rPr>
              <w:t>patektų į visuomenės sveikatos priežiūros įstaigų nomenklatūrą</w:t>
            </w:r>
            <w:r w:rsidR="009F4C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5CB3B94" w14:textId="77777777" w:rsidR="00FC2F98" w:rsidRDefault="00FC2F98" w:rsidP="0067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423D14" w14:textId="77777777" w:rsidR="00152FB9" w:rsidRDefault="00152FB9" w:rsidP="0067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84D0FC" w14:textId="77777777" w:rsidR="00152FB9" w:rsidRDefault="00152FB9" w:rsidP="0067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EA75EF" w14:textId="5C520B35" w:rsidR="006725B6" w:rsidRPr="002A6C1B" w:rsidRDefault="00152FB9" w:rsidP="0067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25B6" w:rsidRPr="006725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25B6" w14:paraId="0A4B66D9" w14:textId="77777777" w:rsidTr="00D80A0B"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9B01" w14:textId="77777777" w:rsidR="006725B6" w:rsidRDefault="0067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676C4" w14:textId="7BE9E450" w:rsidR="006725B6" w:rsidRPr="005D3662" w:rsidRDefault="002922CC" w:rsidP="0067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922C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Siekiant neriboti Vyriausybės teisės formuoti Vyriausybės įstaigų ir įstaigų prie ministerijų tinklo, įstatymuose neturėtų būti nurodomi konkrečių </w:t>
            </w:r>
            <w:r w:rsidRPr="002922C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biudžetinių įstaigų pavadinimai, o, esant reikalui, turėtų būti apsiribojama </w:t>
            </w:r>
            <w:r w:rsidRPr="002922CC">
              <w:rPr>
                <w:rFonts w:ascii="Times New Roman" w:hAnsi="Times New Roman"/>
                <w:sz w:val="24"/>
                <w:szCs w:val="24"/>
              </w:rPr>
              <w:t>Vyriausybės įgaliotos institucijos ar Sveikatos apsaugos ministerijos įgaliotos institucijos nurodymu. Atsižvelgiant į tai, galėtų būti kvestionuojamas pačio 24 straipsnio 2 dalies turinio atitikimas Vyriausybės ir Sveikatos apsaugos ministerijos siekiui formuoti valstybės visuomenės sveikatos priežiūros biudžetinių įstaigų tinklą.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DE48" w14:textId="77777777" w:rsidR="00C247B4" w:rsidRDefault="002922CC" w:rsidP="00C247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22C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Neatsižvelgta</w:t>
            </w:r>
          </w:p>
          <w:p w14:paraId="50EEB867" w14:textId="77777777" w:rsidR="0067160A" w:rsidRDefault="004E4D98" w:rsidP="004E4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Sveikatos sistemos įstatymo 3 straipsnio 2 punkte nustatyta, kad t</w:t>
            </w:r>
            <w:r w:rsidRPr="004E4D98">
              <w:rPr>
                <w:rFonts w:ascii="Times New Roman" w:hAnsi="Times New Roman"/>
                <w:sz w:val="24"/>
                <w:szCs w:val="24"/>
              </w:rPr>
              <w:t xml:space="preserve">ik </w:t>
            </w:r>
            <w:r w:rsidRPr="004E4D98">
              <w:rPr>
                <w:rFonts w:ascii="Times New Roman" w:hAnsi="Times New Roman"/>
                <w:sz w:val="24"/>
                <w:szCs w:val="24"/>
                <w:u w:val="single"/>
              </w:rPr>
              <w:t>įstatymai</w:t>
            </w:r>
            <w:r w:rsidRPr="004E4D98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Pr="004E4D98">
              <w:rPr>
                <w:rFonts w:ascii="Times New Roman" w:hAnsi="Times New Roman"/>
                <w:sz w:val="24"/>
                <w:szCs w:val="24"/>
                <w:u w:val="single"/>
              </w:rPr>
              <w:t>Europos Sąjungos reglamentai ir sprendimai nustato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4E4D98">
              <w:rPr>
                <w:rFonts w:ascii="Times New Roman" w:hAnsi="Times New Roman"/>
                <w:sz w:val="24"/>
                <w:szCs w:val="24"/>
              </w:rPr>
              <w:t>sveikatinimo veiklos subjektų sistemą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D914474" w14:textId="0687C674" w:rsidR="006C717B" w:rsidRDefault="006C717B" w:rsidP="006C7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Sveikatos sistemos įstatymo 8 straipsnio 1 punkte nustatyta, kad </w:t>
            </w:r>
            <w:r w:rsidRPr="006C717B">
              <w:rPr>
                <w:rFonts w:ascii="Times New Roman" w:hAnsi="Times New Roman"/>
                <w:sz w:val="24"/>
                <w:szCs w:val="24"/>
              </w:rPr>
              <w:t xml:space="preserve">LNSS vykdomieji subjektai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yra ir </w:t>
            </w:r>
            <w:r w:rsidRPr="006C717B">
              <w:rPr>
                <w:rFonts w:ascii="Times New Roman" w:hAnsi="Times New Roman"/>
                <w:sz w:val="24"/>
                <w:szCs w:val="24"/>
              </w:rPr>
              <w:t>valstybės</w:t>
            </w:r>
            <w:r w:rsidR="0046112C">
              <w:rPr>
                <w:rFonts w:ascii="Times New Roman" w:hAnsi="Times New Roman"/>
                <w:sz w:val="24"/>
                <w:szCs w:val="24"/>
              </w:rPr>
              <w:t>,</w:t>
            </w:r>
            <w:r w:rsidRPr="006C717B">
              <w:rPr>
                <w:rFonts w:ascii="Times New Roman" w:hAnsi="Times New Roman"/>
                <w:sz w:val="24"/>
                <w:szCs w:val="24"/>
              </w:rPr>
              <w:t xml:space="preserve"> ir savivaldybių visuomenės sveikatos priežiūros biudžetinės ir viešosios įstaigos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560C7A" w14:textId="6F7C165F" w:rsidR="006C717B" w:rsidRDefault="006C717B" w:rsidP="006C7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Atsižvelgiant į tai, visuomenės sveikatos priežiūros biudžetinių įstaigų </w:t>
            </w:r>
            <w:r w:rsidR="0046112C">
              <w:rPr>
                <w:rFonts w:ascii="Times New Roman" w:hAnsi="Times New Roman"/>
                <w:sz w:val="24"/>
                <w:szCs w:val="24"/>
              </w:rPr>
              <w:t xml:space="preserve">nomenklatūra </w:t>
            </w:r>
            <w:r>
              <w:rPr>
                <w:rFonts w:ascii="Times New Roman" w:hAnsi="Times New Roman"/>
                <w:sz w:val="24"/>
                <w:szCs w:val="24"/>
              </w:rPr>
              <w:t>su įstaigų pavadinimais turi būti įtvirtinta įstatyme.</w:t>
            </w:r>
          </w:p>
          <w:p w14:paraId="34DF3A50" w14:textId="61BAE7A7" w:rsidR="006C717B" w:rsidRDefault="006C717B" w:rsidP="006C7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Atkreiptinas dėmesys ir į Visuomenės sveikatos priežiūros </w:t>
            </w:r>
            <w:r w:rsidR="001D37E1">
              <w:rPr>
                <w:rFonts w:ascii="Times New Roman" w:hAnsi="Times New Roman"/>
                <w:sz w:val="24"/>
                <w:szCs w:val="24"/>
              </w:rPr>
              <w:t>įstatymo 7 straipsnio 4 dalį, kur</w:t>
            </w:r>
            <w:r w:rsidR="0046112C">
              <w:rPr>
                <w:rFonts w:ascii="Times New Roman" w:hAnsi="Times New Roman"/>
                <w:sz w:val="24"/>
                <w:szCs w:val="24"/>
              </w:rPr>
              <w:t>ioje</w:t>
            </w:r>
            <w:r w:rsidR="001D37E1">
              <w:rPr>
                <w:rFonts w:ascii="Times New Roman" w:hAnsi="Times New Roman"/>
                <w:sz w:val="24"/>
                <w:szCs w:val="24"/>
              </w:rPr>
              <w:t xml:space="preserve"> nustatyta, kad </w:t>
            </w:r>
            <w:r w:rsidR="001D37E1" w:rsidRPr="001D37E1">
              <w:rPr>
                <w:rFonts w:ascii="Times New Roman" w:hAnsi="Times New Roman"/>
                <w:sz w:val="24"/>
                <w:szCs w:val="24"/>
              </w:rPr>
              <w:t>Lietuvos nacionalinei sveikatos sistemai priklausančių biudžetinių visuomenės sveikatos priežiūros įstaigų, kurių steigėja yra Sveikatos apsaugos ministerija, veikiančių visoje valstybės teritorijoje, nomenklatūra nustatyta Sveikatos priežiūros įstaigų įstatyme.</w:t>
            </w:r>
            <w:r w:rsidR="001D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FB21C8" w14:textId="77777777" w:rsidR="006C717B" w:rsidRDefault="006C717B" w:rsidP="006C7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070B5A" w14:textId="28FC0290" w:rsidR="006C717B" w:rsidRPr="002922CC" w:rsidRDefault="006C717B" w:rsidP="006C7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7E61D2E" w14:textId="77777777" w:rsidR="00FD3AAC" w:rsidRDefault="00FD3AAC">
      <w:pPr>
        <w:ind w:firstLine="1296"/>
        <w:jc w:val="center"/>
        <w:rPr>
          <w:rFonts w:ascii="Times New Roman" w:hAnsi="Times New Roman"/>
          <w:sz w:val="24"/>
          <w:szCs w:val="24"/>
        </w:rPr>
      </w:pPr>
    </w:p>
    <w:p w14:paraId="01FA5D35" w14:textId="77777777" w:rsidR="00FD3AAC" w:rsidRDefault="00A20B15">
      <w:pPr>
        <w:ind w:firstLine="129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 w14:paraId="7CD67884" w14:textId="77777777" w:rsidR="00FD3AAC" w:rsidRDefault="00FD3AAC">
      <w:pPr>
        <w:rPr>
          <w:rFonts w:ascii="Times New Roman" w:hAnsi="Times New Roman"/>
          <w:sz w:val="24"/>
          <w:szCs w:val="24"/>
        </w:rPr>
      </w:pPr>
    </w:p>
    <w:p w14:paraId="4ADA5DFC" w14:textId="77777777" w:rsidR="00FD3AAC" w:rsidRDefault="00FD3AAC"/>
    <w:sectPr w:rsidR="00FD3AAC" w:rsidSect="00FA7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701" w:bottom="567" w:left="1134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ECAAD" w14:textId="77777777" w:rsidR="009A58F5" w:rsidRDefault="009A58F5">
      <w:pPr>
        <w:spacing w:after="0" w:line="240" w:lineRule="auto"/>
      </w:pPr>
      <w:r>
        <w:separator/>
      </w:r>
    </w:p>
  </w:endnote>
  <w:endnote w:type="continuationSeparator" w:id="0">
    <w:p w14:paraId="4F6F4362" w14:textId="77777777" w:rsidR="009A58F5" w:rsidRDefault="009A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B2BF" w14:textId="77777777" w:rsidR="00FA7C2B" w:rsidRDefault="00FA7C2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A8E1" w14:textId="77777777" w:rsidR="00FA7C2B" w:rsidRDefault="00FA7C2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C5DA" w14:textId="77777777" w:rsidR="00FA7C2B" w:rsidRDefault="00FA7C2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3EFF7" w14:textId="77777777" w:rsidR="009A58F5" w:rsidRDefault="009A58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AD5C4D" w14:textId="77777777" w:rsidR="009A58F5" w:rsidRDefault="009A5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8F0A" w14:textId="77777777" w:rsidR="00FA7C2B" w:rsidRDefault="00FA7C2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1271766"/>
      <w:docPartObj>
        <w:docPartGallery w:val="Page Numbers (Top of Page)"/>
        <w:docPartUnique/>
      </w:docPartObj>
    </w:sdtPr>
    <w:sdtEndPr/>
    <w:sdtContent>
      <w:p w14:paraId="78A40326" w14:textId="435542A5" w:rsidR="00FA7C2B" w:rsidRDefault="00FA7C2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E1603C" w14:textId="77777777" w:rsidR="007F20FF" w:rsidRDefault="009A58F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5CC5D" w14:textId="77777777" w:rsidR="00FA7C2B" w:rsidRDefault="00FA7C2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B6F52"/>
    <w:multiLevelType w:val="hybridMultilevel"/>
    <w:tmpl w:val="C27ECED6"/>
    <w:lvl w:ilvl="0" w:tplc="7A88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AAC"/>
    <w:rsid w:val="00012601"/>
    <w:rsid w:val="00106DEB"/>
    <w:rsid w:val="00114648"/>
    <w:rsid w:val="001249D0"/>
    <w:rsid w:val="00130E7D"/>
    <w:rsid w:val="00152FB9"/>
    <w:rsid w:val="0015309B"/>
    <w:rsid w:val="00163F13"/>
    <w:rsid w:val="0018032C"/>
    <w:rsid w:val="00182A71"/>
    <w:rsid w:val="001D37E1"/>
    <w:rsid w:val="00223A2F"/>
    <w:rsid w:val="002350F6"/>
    <w:rsid w:val="002922CC"/>
    <w:rsid w:val="002971BB"/>
    <w:rsid w:val="002A6C1B"/>
    <w:rsid w:val="002F5908"/>
    <w:rsid w:val="003233DD"/>
    <w:rsid w:val="00355F73"/>
    <w:rsid w:val="003E0527"/>
    <w:rsid w:val="003F761D"/>
    <w:rsid w:val="00407E00"/>
    <w:rsid w:val="004447E5"/>
    <w:rsid w:val="00455391"/>
    <w:rsid w:val="0046112C"/>
    <w:rsid w:val="00475C34"/>
    <w:rsid w:val="004872DE"/>
    <w:rsid w:val="004C24FD"/>
    <w:rsid w:val="004E4D98"/>
    <w:rsid w:val="005108C3"/>
    <w:rsid w:val="005363B1"/>
    <w:rsid w:val="00562724"/>
    <w:rsid w:val="00574881"/>
    <w:rsid w:val="00592468"/>
    <w:rsid w:val="005D3662"/>
    <w:rsid w:val="005F3839"/>
    <w:rsid w:val="00602A03"/>
    <w:rsid w:val="0061544F"/>
    <w:rsid w:val="00624F19"/>
    <w:rsid w:val="0067160A"/>
    <w:rsid w:val="006725B6"/>
    <w:rsid w:val="006B0255"/>
    <w:rsid w:val="006C717B"/>
    <w:rsid w:val="006D2B70"/>
    <w:rsid w:val="006E4210"/>
    <w:rsid w:val="00781FD3"/>
    <w:rsid w:val="007C1BF5"/>
    <w:rsid w:val="007C51B5"/>
    <w:rsid w:val="007F2BDF"/>
    <w:rsid w:val="007F4202"/>
    <w:rsid w:val="008B69CF"/>
    <w:rsid w:val="008C14C9"/>
    <w:rsid w:val="008F1B79"/>
    <w:rsid w:val="00946F35"/>
    <w:rsid w:val="00953B0B"/>
    <w:rsid w:val="00956D26"/>
    <w:rsid w:val="009614D4"/>
    <w:rsid w:val="00966FF0"/>
    <w:rsid w:val="009836EE"/>
    <w:rsid w:val="009A58F5"/>
    <w:rsid w:val="009B3054"/>
    <w:rsid w:val="009E6BDC"/>
    <w:rsid w:val="009F4CD9"/>
    <w:rsid w:val="00A20B15"/>
    <w:rsid w:val="00A53C7B"/>
    <w:rsid w:val="00A976A4"/>
    <w:rsid w:val="00AE18A4"/>
    <w:rsid w:val="00AE4872"/>
    <w:rsid w:val="00B37F36"/>
    <w:rsid w:val="00B52EF9"/>
    <w:rsid w:val="00B53904"/>
    <w:rsid w:val="00B55FC0"/>
    <w:rsid w:val="00BA269A"/>
    <w:rsid w:val="00BB4EBF"/>
    <w:rsid w:val="00BB4F8E"/>
    <w:rsid w:val="00BC797C"/>
    <w:rsid w:val="00C00CF3"/>
    <w:rsid w:val="00C247B4"/>
    <w:rsid w:val="00C47722"/>
    <w:rsid w:val="00C63C1D"/>
    <w:rsid w:val="00D07EBC"/>
    <w:rsid w:val="00D63A28"/>
    <w:rsid w:val="00DF4CAF"/>
    <w:rsid w:val="00E05122"/>
    <w:rsid w:val="00F021C1"/>
    <w:rsid w:val="00F20793"/>
    <w:rsid w:val="00F22FD9"/>
    <w:rsid w:val="00F63D30"/>
    <w:rsid w:val="00FA7C2B"/>
    <w:rsid w:val="00FC2F98"/>
    <w:rsid w:val="00FD2CF9"/>
    <w:rsid w:val="00FD3AAC"/>
    <w:rsid w:val="00FF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965B"/>
  <w15:docId w15:val="{B63CB164-334F-488B-A8B0-B7BD4ED6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pPr>
      <w:ind w:left="720"/>
    </w:pPr>
  </w:style>
  <w:style w:type="paragraph" w:styleId="Antrats">
    <w:name w:val="header"/>
    <w:basedOn w:val="prastasis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uiPriority w:val="99"/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</w:style>
  <w:style w:type="paragraph" w:styleId="Komentarotekstas">
    <w:name w:val="annotation text"/>
    <w:basedOn w:val="prastasis"/>
    <w:link w:val="KomentarotekstasDiagrama1"/>
    <w:pPr>
      <w:suppressAutoHyphens w:val="0"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3B0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3B0B"/>
    <w:pPr>
      <w:suppressAutoHyphens/>
      <w:spacing w:after="160"/>
      <w:textAlignment w:val="baseline"/>
    </w:pPr>
    <w:rPr>
      <w:rFonts w:ascii="Calibri" w:eastAsia="Calibri" w:hAnsi="Calibri"/>
      <w:b/>
      <w:bCs/>
    </w:rPr>
  </w:style>
  <w:style w:type="character" w:customStyle="1" w:styleId="KomentarotekstasDiagrama1">
    <w:name w:val="Komentaro tekstas Diagrama1"/>
    <w:basedOn w:val="Numatytasispastraiposriftas"/>
    <w:link w:val="Komentarotekstas"/>
    <w:rsid w:val="00953B0B"/>
    <w:rPr>
      <w:rFonts w:ascii="Times New Roman" w:eastAsia="Times New Roman" w:hAnsi="Times New Roman"/>
      <w:sz w:val="20"/>
      <w:szCs w:val="20"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semiHidden/>
    <w:rsid w:val="00953B0B"/>
    <w:rPr>
      <w:rFonts w:ascii="Times New Roman" w:eastAsia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07EBC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C95EC-D3A5-4F18-834F-1968D061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2340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Kazys Rušinskas</dc:creator>
  <dc:description/>
  <cp:lastModifiedBy>Kazys Rušinskas</cp:lastModifiedBy>
  <cp:revision>7</cp:revision>
  <cp:lastPrinted>2020-02-17T13:26:00Z</cp:lastPrinted>
  <dcterms:created xsi:type="dcterms:W3CDTF">2021-11-23T14:37:00Z</dcterms:created>
  <dcterms:modified xsi:type="dcterms:W3CDTF">2021-11-23T15:19:00Z</dcterms:modified>
</cp:coreProperties>
</file>