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2DC9" w:rsidRDefault="00212DC9" w:rsidP="00212DC9">
      <w:pPr>
        <w:jc w:val="center"/>
        <w:rPr>
          <w:rFonts w:ascii="Times New Roman" w:hAnsi="Times New Roman" w:cs="Times New Roman"/>
          <w:b/>
          <w:bCs/>
          <w:color w:val="000000"/>
          <w:sz w:val="24"/>
          <w:szCs w:val="24"/>
          <w:bdr w:val="none" w:sz="0" w:space="0" w:color="auto" w:frame="1"/>
          <w:lang w:eastAsia="lt-LT"/>
        </w:rPr>
      </w:pPr>
      <w:r w:rsidRPr="00212DC9">
        <w:rPr>
          <w:rFonts w:ascii="Times New Roman" w:hAnsi="Times New Roman" w:cs="Times New Roman"/>
          <w:b/>
          <w:bCs/>
          <w:color w:val="000000"/>
          <w:sz w:val="24"/>
          <w:szCs w:val="24"/>
          <w:bdr w:val="none" w:sz="0" w:space="0" w:color="auto" w:frame="1"/>
          <w:lang w:eastAsia="lt-LT"/>
        </w:rPr>
        <w:t>BENDRŲJŲ REIKALŲ TARYBA 2022 M. VASARIO 22 D.</w:t>
      </w:r>
      <w:r>
        <w:rPr>
          <w:rFonts w:ascii="Times New Roman" w:hAnsi="Times New Roman" w:cs="Times New Roman"/>
          <w:b/>
          <w:bCs/>
          <w:color w:val="000000"/>
          <w:sz w:val="24"/>
          <w:szCs w:val="24"/>
          <w:bdr w:val="none" w:sz="0" w:space="0" w:color="auto" w:frame="1"/>
          <w:lang w:eastAsia="lt-LT"/>
        </w:rPr>
        <w:t>: LIETUVOS POZICIJOS</w:t>
      </w:r>
    </w:p>
    <w:p w:rsidR="00212DC9" w:rsidRDefault="00212DC9" w:rsidP="00212DC9">
      <w:pPr>
        <w:jc w:val="both"/>
        <w:rPr>
          <w:rFonts w:ascii="Times New Roman" w:hAnsi="Times New Roman" w:cs="Times New Roman"/>
          <w:color w:val="000000"/>
          <w:sz w:val="24"/>
          <w:szCs w:val="24"/>
          <w:bdr w:val="none" w:sz="0" w:space="0" w:color="auto" w:frame="1"/>
        </w:rPr>
      </w:pPr>
    </w:p>
    <w:p w:rsidR="00212DC9" w:rsidRDefault="0040041B" w:rsidP="00212DC9">
      <w:pPr>
        <w:jc w:val="both"/>
        <w:rPr>
          <w:rFonts w:ascii="Times New Roman" w:hAnsi="Times New Roman" w:cs="Times New Roman"/>
          <w:sz w:val="24"/>
          <w:szCs w:val="24"/>
          <w:bdr w:val="none" w:sz="0" w:space="0" w:color="auto" w:frame="1"/>
        </w:rPr>
      </w:pPr>
      <w:r>
        <w:rPr>
          <w:rFonts w:ascii="Times New Roman" w:hAnsi="Times New Roman" w:cs="Times New Roman"/>
          <w:color w:val="000000"/>
          <w:sz w:val="24"/>
          <w:szCs w:val="24"/>
          <w:bdr w:val="none" w:sz="0" w:space="0" w:color="auto" w:frame="1"/>
        </w:rPr>
        <w:t>Š. m. v</w:t>
      </w:r>
      <w:r w:rsidR="00212DC9">
        <w:rPr>
          <w:rFonts w:ascii="Times New Roman" w:hAnsi="Times New Roman" w:cs="Times New Roman"/>
          <w:sz w:val="24"/>
          <w:szCs w:val="24"/>
          <w:bdr w:val="none" w:sz="0" w:space="0" w:color="auto" w:frame="1"/>
        </w:rPr>
        <w:t>asario 22 d. Bendrųjų reikalų taryboje (BRT) bus pradedamas pasi</w:t>
      </w:r>
      <w:r>
        <w:rPr>
          <w:rFonts w:ascii="Times New Roman" w:hAnsi="Times New Roman" w:cs="Times New Roman"/>
          <w:sz w:val="24"/>
          <w:szCs w:val="24"/>
          <w:bdr w:val="none" w:sz="0" w:space="0" w:color="auto" w:frame="1"/>
        </w:rPr>
        <w:t>rengimas kovo 24-25 d. Europos V</w:t>
      </w:r>
      <w:r w:rsidR="00212DC9">
        <w:rPr>
          <w:rFonts w:ascii="Times New Roman" w:hAnsi="Times New Roman" w:cs="Times New Roman"/>
          <w:sz w:val="24"/>
          <w:szCs w:val="24"/>
          <w:bdr w:val="none" w:sz="0" w:space="0" w:color="auto" w:frame="1"/>
        </w:rPr>
        <w:t xml:space="preserve">adovų </w:t>
      </w:r>
      <w:r>
        <w:rPr>
          <w:rFonts w:ascii="Times New Roman" w:hAnsi="Times New Roman" w:cs="Times New Roman"/>
          <w:sz w:val="24"/>
          <w:szCs w:val="24"/>
          <w:bdr w:val="none" w:sz="0" w:space="0" w:color="auto" w:frame="1"/>
        </w:rPr>
        <w:t>T</w:t>
      </w:r>
      <w:r w:rsidR="00212DC9">
        <w:rPr>
          <w:rFonts w:ascii="Times New Roman" w:hAnsi="Times New Roman" w:cs="Times New Roman"/>
          <w:sz w:val="24"/>
          <w:szCs w:val="24"/>
          <w:bdr w:val="none" w:sz="0" w:space="0" w:color="auto" w:frame="1"/>
        </w:rPr>
        <w:t xml:space="preserve">arybai (EVT), </w:t>
      </w:r>
      <w:r>
        <w:rPr>
          <w:rFonts w:ascii="Times New Roman" w:hAnsi="Times New Roman" w:cs="Times New Roman"/>
          <w:sz w:val="24"/>
          <w:szCs w:val="24"/>
          <w:bdr w:val="none" w:sz="0" w:space="0" w:color="auto" w:frame="1"/>
        </w:rPr>
        <w:t>aptariant anotuotos</w:t>
      </w:r>
      <w:r w:rsidR="00212DC9">
        <w:rPr>
          <w:rFonts w:ascii="Times New Roman" w:hAnsi="Times New Roman" w:cs="Times New Roman"/>
          <w:sz w:val="24"/>
          <w:szCs w:val="24"/>
          <w:bdr w:val="none" w:sz="0" w:space="0" w:color="auto" w:frame="1"/>
        </w:rPr>
        <w:t xml:space="preserve"> EVT darbotvarkės projekt</w:t>
      </w:r>
      <w:r>
        <w:rPr>
          <w:rFonts w:ascii="Times New Roman" w:hAnsi="Times New Roman" w:cs="Times New Roman"/>
          <w:sz w:val="24"/>
          <w:szCs w:val="24"/>
          <w:bdr w:val="none" w:sz="0" w:space="0" w:color="auto" w:frame="1"/>
        </w:rPr>
        <w:t>ą</w:t>
      </w:r>
      <w:r w:rsidR="00212DC9">
        <w:rPr>
          <w:rFonts w:ascii="Times New Roman" w:hAnsi="Times New Roman" w:cs="Times New Roman"/>
          <w:sz w:val="24"/>
          <w:szCs w:val="24"/>
          <w:bdr w:val="none" w:sz="0" w:space="0" w:color="auto" w:frame="1"/>
        </w:rPr>
        <w:t xml:space="preserve">. </w:t>
      </w:r>
      <w:r>
        <w:rPr>
          <w:rFonts w:ascii="Times New Roman" w:hAnsi="Times New Roman" w:cs="Times New Roman"/>
          <w:sz w:val="24"/>
          <w:szCs w:val="24"/>
          <w:bdr w:val="none" w:sz="0" w:space="0" w:color="auto" w:frame="1"/>
        </w:rPr>
        <w:t>BRT</w:t>
      </w:r>
      <w:r w:rsidR="00212DC9">
        <w:rPr>
          <w:rFonts w:ascii="Times New Roman" w:hAnsi="Times New Roman" w:cs="Times New Roman"/>
          <w:sz w:val="24"/>
          <w:szCs w:val="24"/>
          <w:bdr w:val="none" w:sz="0" w:space="0" w:color="auto" w:frame="1"/>
        </w:rPr>
        <w:t xml:space="preserve"> metu vyks </w:t>
      </w:r>
      <w:r w:rsidR="00212DC9" w:rsidRPr="00212DC9">
        <w:rPr>
          <w:rFonts w:ascii="Times New Roman" w:hAnsi="Times New Roman" w:cs="Times New Roman"/>
          <w:sz w:val="24"/>
          <w:szCs w:val="24"/>
          <w:bdr w:val="none" w:sz="0" w:space="0" w:color="auto" w:frame="1"/>
        </w:rPr>
        <w:t xml:space="preserve">diskusija dėl </w:t>
      </w:r>
      <w:r w:rsidR="00212DC9" w:rsidRPr="00212DC9">
        <w:rPr>
          <w:rFonts w:ascii="Times New Roman" w:hAnsi="Times New Roman" w:cs="Times New Roman"/>
          <w:sz w:val="24"/>
          <w:szCs w:val="24"/>
        </w:rPr>
        <w:t xml:space="preserve">Pasirengimo, reagavimo </w:t>
      </w:r>
      <w:proofErr w:type="spellStart"/>
      <w:r w:rsidR="00212DC9" w:rsidRPr="00212DC9">
        <w:rPr>
          <w:rFonts w:ascii="Times New Roman" w:hAnsi="Times New Roman" w:cs="Times New Roman"/>
          <w:sz w:val="24"/>
          <w:szCs w:val="24"/>
        </w:rPr>
        <w:t>pajėgumų</w:t>
      </w:r>
      <w:proofErr w:type="spellEnd"/>
      <w:r w:rsidR="00212DC9" w:rsidRPr="00212DC9">
        <w:rPr>
          <w:rFonts w:ascii="Times New Roman" w:hAnsi="Times New Roman" w:cs="Times New Roman"/>
          <w:sz w:val="24"/>
          <w:szCs w:val="24"/>
        </w:rPr>
        <w:t xml:space="preserve"> ir atsparumo būsimoms krizėms stiprinimo</w:t>
      </w:r>
      <w:r w:rsidR="00212DC9" w:rsidRPr="00212DC9">
        <w:rPr>
          <w:rFonts w:ascii="Times New Roman" w:hAnsi="Times New Roman" w:cs="Times New Roman"/>
          <w:sz w:val="24"/>
          <w:szCs w:val="24"/>
          <w:bdr w:val="none" w:sz="0" w:space="0" w:color="auto" w:frame="1"/>
        </w:rPr>
        <w:t xml:space="preserve">. Taryboje bus rengiami </w:t>
      </w:r>
      <w:r w:rsidR="00212DC9">
        <w:rPr>
          <w:rFonts w:ascii="Times New Roman" w:hAnsi="Times New Roman" w:cs="Times New Roman"/>
          <w:sz w:val="24"/>
          <w:szCs w:val="24"/>
          <w:bdr w:val="none" w:sz="0" w:space="0" w:color="auto" w:frame="1"/>
        </w:rPr>
        <w:t>šeštieji</w:t>
      </w:r>
      <w:r w:rsidR="00212DC9" w:rsidRPr="00212DC9">
        <w:rPr>
          <w:rFonts w:ascii="Times New Roman" w:hAnsi="Times New Roman" w:cs="Times New Roman"/>
          <w:sz w:val="24"/>
          <w:szCs w:val="24"/>
          <w:bdr w:val="none" w:sz="0" w:space="0" w:color="auto" w:frame="1"/>
        </w:rPr>
        <w:t xml:space="preserve"> Lenkijos klausymai dėl teisinės valstybės principo padėties pagal ES sutarties</w:t>
      </w:r>
      <w:r w:rsidR="00212DC9">
        <w:rPr>
          <w:rFonts w:ascii="Times New Roman" w:hAnsi="Times New Roman" w:cs="Times New Roman"/>
          <w:sz w:val="24"/>
          <w:szCs w:val="24"/>
          <w:bdr w:val="none" w:sz="0" w:space="0" w:color="auto" w:frame="1"/>
        </w:rPr>
        <w:t xml:space="preserve"> 7.1 str. procedūras. Pirmininkaujanti Prancūzija taip pat pristatys naujausią informaciją apie Konferenciją dėl Europos ateities.</w:t>
      </w:r>
    </w:p>
    <w:p w:rsidR="00212DC9" w:rsidRDefault="00212DC9" w:rsidP="00212DC9">
      <w:pPr>
        <w:rPr>
          <w:rFonts w:ascii="Times New Roman" w:hAnsi="Times New Roman" w:cs="Times New Roman"/>
          <w:sz w:val="24"/>
          <w:szCs w:val="24"/>
        </w:rPr>
      </w:pPr>
    </w:p>
    <w:p w:rsidR="00212DC9" w:rsidRPr="00212DC9" w:rsidRDefault="00212DC9" w:rsidP="00212DC9">
      <w:pPr>
        <w:pBdr>
          <w:top w:val="single" w:sz="4" w:space="1" w:color="auto"/>
          <w:left w:val="single" w:sz="4" w:space="4" w:color="auto"/>
          <w:bottom w:val="single" w:sz="4" w:space="1" w:color="auto"/>
          <w:right w:val="single" w:sz="4" w:space="4" w:color="auto"/>
        </w:pBdr>
        <w:rPr>
          <w:rFonts w:ascii="Times New Roman" w:hAnsi="Times New Roman" w:cs="Times New Roman"/>
          <w:b/>
          <w:sz w:val="24"/>
        </w:rPr>
      </w:pPr>
      <w:r w:rsidRPr="00212DC9">
        <w:rPr>
          <w:rFonts w:ascii="Times New Roman" w:hAnsi="Times New Roman" w:cs="Times New Roman"/>
          <w:b/>
          <w:sz w:val="24"/>
        </w:rPr>
        <w:t>Pasirengimas 2022 m. kovo 24–25</w:t>
      </w:r>
      <w:r w:rsidR="0040041B">
        <w:rPr>
          <w:rFonts w:ascii="Times New Roman" w:hAnsi="Times New Roman" w:cs="Times New Roman"/>
          <w:b/>
          <w:sz w:val="24"/>
        </w:rPr>
        <w:t xml:space="preserve"> </w:t>
      </w:r>
      <w:r w:rsidRPr="00212DC9">
        <w:rPr>
          <w:rFonts w:ascii="Times New Roman" w:hAnsi="Times New Roman" w:cs="Times New Roman"/>
          <w:b/>
          <w:sz w:val="24"/>
        </w:rPr>
        <w:t>d. Europos Vadovų Tarybos susitikimui</w:t>
      </w:r>
    </w:p>
    <w:p w:rsidR="00212DC9" w:rsidRPr="00212DC9" w:rsidRDefault="00212DC9" w:rsidP="00212DC9">
      <w:pPr>
        <w:pBdr>
          <w:top w:val="single" w:sz="4" w:space="1" w:color="auto"/>
          <w:left w:val="single" w:sz="4" w:space="4" w:color="auto"/>
          <w:bottom w:val="single" w:sz="4" w:space="1" w:color="auto"/>
          <w:right w:val="single" w:sz="4" w:space="4" w:color="auto"/>
        </w:pBdr>
        <w:rPr>
          <w:rFonts w:ascii="Times New Roman" w:hAnsi="Times New Roman" w:cs="Times New Roman"/>
          <w:i/>
          <w:sz w:val="24"/>
        </w:rPr>
      </w:pPr>
      <w:r w:rsidRPr="00212DC9">
        <w:rPr>
          <w:rFonts w:ascii="Times New Roman" w:hAnsi="Times New Roman" w:cs="Times New Roman"/>
          <w:i/>
          <w:sz w:val="24"/>
        </w:rPr>
        <w:t>Anotuotos darbotvarkės projektas</w:t>
      </w:r>
    </w:p>
    <w:p w:rsidR="00212DC9" w:rsidRPr="00212DC9" w:rsidRDefault="00212DC9" w:rsidP="00212DC9">
      <w:pPr>
        <w:pBdr>
          <w:top w:val="single" w:sz="4" w:space="1" w:color="auto"/>
          <w:left w:val="single" w:sz="4" w:space="4" w:color="auto"/>
          <w:bottom w:val="single" w:sz="4" w:space="1" w:color="auto"/>
          <w:right w:val="single" w:sz="4" w:space="4" w:color="auto"/>
        </w:pBdr>
        <w:rPr>
          <w:rFonts w:ascii="Times New Roman" w:hAnsi="Times New Roman" w:cs="Times New Roman"/>
          <w:i/>
          <w:sz w:val="24"/>
        </w:rPr>
      </w:pPr>
      <w:r w:rsidRPr="00212DC9">
        <w:rPr>
          <w:rFonts w:ascii="Times New Roman" w:hAnsi="Times New Roman" w:cs="Times New Roman"/>
          <w:i/>
          <w:sz w:val="24"/>
        </w:rPr>
        <w:t>Pasikeitimas nuomonėmis</w:t>
      </w:r>
    </w:p>
    <w:p w:rsidR="00212DC9" w:rsidRDefault="00212DC9" w:rsidP="00212DC9">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u w:val="single"/>
        </w:rPr>
      </w:pPr>
    </w:p>
    <w:p w:rsidR="00212DC9" w:rsidRPr="00223972" w:rsidRDefault="00212DC9" w:rsidP="0040041B">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212DC9">
        <w:rPr>
          <w:rFonts w:ascii="Times New Roman" w:hAnsi="Times New Roman" w:cs="Times New Roman"/>
          <w:b/>
          <w:sz w:val="24"/>
          <w:szCs w:val="24"/>
          <w:u w:val="single"/>
        </w:rPr>
        <w:t>Kontekstas</w:t>
      </w:r>
      <w:r w:rsidR="0072716B">
        <w:rPr>
          <w:rFonts w:ascii="Times New Roman" w:hAnsi="Times New Roman" w:cs="Times New Roman"/>
          <w:b/>
          <w:sz w:val="24"/>
          <w:szCs w:val="24"/>
          <w:u w:val="single"/>
        </w:rPr>
        <w:t>.</w:t>
      </w:r>
      <w:r>
        <w:rPr>
          <w:rFonts w:ascii="Times New Roman" w:hAnsi="Times New Roman" w:cs="Times New Roman"/>
          <w:sz w:val="24"/>
          <w:szCs w:val="24"/>
        </w:rPr>
        <w:t xml:space="preserve"> </w:t>
      </w:r>
      <w:r w:rsidRPr="00223972">
        <w:rPr>
          <w:rFonts w:ascii="Times New Roman" w:hAnsi="Times New Roman" w:cs="Times New Roman"/>
          <w:sz w:val="24"/>
          <w:szCs w:val="24"/>
        </w:rPr>
        <w:t xml:space="preserve">BRT pradės pasirengimą 2022 m. kovo 24-25 d. eiliniam Europos Vadovų Tarybos </w:t>
      </w:r>
      <w:r w:rsidRPr="00212DC9">
        <w:rPr>
          <w:rFonts w:ascii="Times New Roman" w:hAnsi="Times New Roman" w:cs="Times New Roman"/>
          <w:sz w:val="24"/>
          <w:szCs w:val="24"/>
        </w:rPr>
        <w:t>posėdžiui Briuselyje, aptardama anotuotą EVT posėdžio darbotvarkę. EVT darbotvarkė kol kas nėra išplatinta [</w:t>
      </w:r>
      <w:r w:rsidR="0040041B">
        <w:rPr>
          <w:rFonts w:ascii="Times New Roman" w:hAnsi="Times New Roman" w:cs="Times New Roman"/>
          <w:sz w:val="24"/>
          <w:szCs w:val="24"/>
        </w:rPr>
        <w:t xml:space="preserve">planuojama, kad </w:t>
      </w:r>
      <w:r w:rsidRPr="00212DC9">
        <w:rPr>
          <w:rFonts w:ascii="Times New Roman" w:hAnsi="Times New Roman" w:cs="Times New Roman"/>
          <w:sz w:val="24"/>
          <w:szCs w:val="24"/>
        </w:rPr>
        <w:t>bus išplatinta vasario 15 d.]. P</w:t>
      </w:r>
      <w:r w:rsidR="0040041B">
        <w:rPr>
          <w:rFonts w:ascii="Times New Roman" w:hAnsi="Times New Roman" w:cs="Times New Roman"/>
          <w:sz w:val="24"/>
          <w:szCs w:val="24"/>
        </w:rPr>
        <w:t>reliminariai numatyta</w:t>
      </w:r>
      <w:r w:rsidRPr="00212DC9">
        <w:rPr>
          <w:rFonts w:ascii="Times New Roman" w:hAnsi="Times New Roman" w:cs="Times New Roman"/>
          <w:sz w:val="24"/>
          <w:szCs w:val="24"/>
        </w:rPr>
        <w:t>, kad kovo 24-25 d. EVT didžiausias dėmesys bus skiriamas ekonominiams klausimams – ekonomikos atkūrimui, Europos semestrui, vidaus rinkai, pramonės politikai</w:t>
      </w:r>
      <w:r w:rsidRPr="00223972">
        <w:rPr>
          <w:rFonts w:ascii="Times New Roman" w:hAnsi="Times New Roman" w:cs="Times New Roman"/>
          <w:sz w:val="24"/>
          <w:szCs w:val="24"/>
        </w:rPr>
        <w:t xml:space="preserve">. Vadovai diskutuos dėl saugumo ir gynybos klausimų, numatoma patvirtinti </w:t>
      </w:r>
      <w:r w:rsidR="0040041B">
        <w:rPr>
          <w:rFonts w:ascii="Times New Roman" w:hAnsi="Times New Roman" w:cs="Times New Roman"/>
          <w:sz w:val="24"/>
          <w:szCs w:val="24"/>
        </w:rPr>
        <w:t>„</w:t>
      </w:r>
      <w:r w:rsidRPr="00223972">
        <w:rPr>
          <w:rFonts w:ascii="Times New Roman" w:hAnsi="Times New Roman" w:cs="Times New Roman"/>
          <w:sz w:val="24"/>
          <w:szCs w:val="24"/>
        </w:rPr>
        <w:t>ES strateginį kompasą“. Taip pat EVT turėtų tradiciškai aptarti atsako į COVID</w:t>
      </w:r>
      <w:r w:rsidR="0040041B">
        <w:rPr>
          <w:rFonts w:ascii="Times New Roman" w:hAnsi="Times New Roman" w:cs="Times New Roman"/>
          <w:sz w:val="24"/>
          <w:szCs w:val="24"/>
        </w:rPr>
        <w:t>-19</w:t>
      </w:r>
      <w:r w:rsidRPr="00223972">
        <w:rPr>
          <w:rFonts w:ascii="Times New Roman" w:hAnsi="Times New Roman" w:cs="Times New Roman"/>
          <w:sz w:val="24"/>
          <w:szCs w:val="24"/>
        </w:rPr>
        <w:t xml:space="preserve"> pandemiją koordinavimą. </w:t>
      </w:r>
    </w:p>
    <w:p w:rsidR="00212DC9" w:rsidRPr="00223972" w:rsidRDefault="00212DC9" w:rsidP="00212DC9">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rsidR="00CD6ADA" w:rsidRPr="00223972" w:rsidRDefault="00212DC9" w:rsidP="00212DC9">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212DC9">
        <w:rPr>
          <w:rFonts w:ascii="Times New Roman" w:hAnsi="Times New Roman" w:cs="Times New Roman"/>
          <w:b/>
          <w:sz w:val="24"/>
          <w:szCs w:val="24"/>
          <w:u w:val="single"/>
        </w:rPr>
        <w:t>Lietuvos pozicija</w:t>
      </w:r>
      <w:r w:rsidR="00E57F1D">
        <w:rPr>
          <w:rFonts w:ascii="Times New Roman" w:hAnsi="Times New Roman" w:cs="Times New Roman"/>
          <w:b/>
          <w:sz w:val="24"/>
          <w:szCs w:val="24"/>
          <w:u w:val="single"/>
        </w:rPr>
        <w:t>.</w:t>
      </w:r>
      <w:r>
        <w:rPr>
          <w:rFonts w:ascii="Times New Roman" w:hAnsi="Times New Roman" w:cs="Times New Roman"/>
          <w:b/>
          <w:sz w:val="24"/>
          <w:szCs w:val="24"/>
        </w:rPr>
        <w:t xml:space="preserve"> </w:t>
      </w:r>
      <w:r w:rsidRPr="00223972">
        <w:rPr>
          <w:rFonts w:ascii="Times New Roman" w:hAnsi="Times New Roman" w:cs="Times New Roman"/>
          <w:sz w:val="24"/>
          <w:szCs w:val="24"/>
        </w:rPr>
        <w:t xml:space="preserve">Pritariame </w:t>
      </w:r>
      <w:r w:rsidR="0040041B">
        <w:rPr>
          <w:rFonts w:ascii="Times New Roman" w:hAnsi="Times New Roman" w:cs="Times New Roman"/>
          <w:sz w:val="24"/>
          <w:szCs w:val="24"/>
        </w:rPr>
        <w:t xml:space="preserve">planuojamiems </w:t>
      </w:r>
      <w:r w:rsidRPr="00223972">
        <w:rPr>
          <w:rFonts w:ascii="Times New Roman" w:hAnsi="Times New Roman" w:cs="Times New Roman"/>
          <w:sz w:val="24"/>
          <w:szCs w:val="24"/>
        </w:rPr>
        <w:t>EVT darbotvark</w:t>
      </w:r>
      <w:r w:rsidR="0040041B">
        <w:rPr>
          <w:rFonts w:ascii="Times New Roman" w:hAnsi="Times New Roman" w:cs="Times New Roman"/>
          <w:sz w:val="24"/>
          <w:szCs w:val="24"/>
        </w:rPr>
        <w:t>ės klausimams</w:t>
      </w:r>
      <w:r w:rsidRPr="00223972">
        <w:rPr>
          <w:rFonts w:ascii="Times New Roman" w:hAnsi="Times New Roman" w:cs="Times New Roman"/>
          <w:sz w:val="24"/>
          <w:szCs w:val="24"/>
        </w:rPr>
        <w:t>. Kartu pabrėžiame, kad tebesitęsiant Rusijos agresyviems veiksmams Ukrainos atžvilgiu</w:t>
      </w:r>
      <w:r w:rsidR="0040041B">
        <w:rPr>
          <w:rFonts w:ascii="Times New Roman" w:hAnsi="Times New Roman" w:cs="Times New Roman"/>
          <w:sz w:val="24"/>
          <w:szCs w:val="24"/>
        </w:rPr>
        <w:t>,</w:t>
      </w:r>
      <w:r w:rsidRPr="00223972">
        <w:rPr>
          <w:rFonts w:ascii="Times New Roman" w:hAnsi="Times New Roman" w:cs="Times New Roman"/>
          <w:sz w:val="24"/>
          <w:szCs w:val="24"/>
        </w:rPr>
        <w:t xml:space="preserve"> saugumo situacija Europoje išlieka įtempta, todėl EVT turi būti pasirengusi skubiai reaguoti, jeigu to prireiktų. </w:t>
      </w:r>
    </w:p>
    <w:p w:rsidR="00212DC9" w:rsidRPr="00223972" w:rsidRDefault="00E57F1D" w:rsidP="00212DC9">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i/>
          <w:sz w:val="24"/>
          <w:szCs w:val="24"/>
          <w:shd w:val="clear" w:color="auto" w:fill="FFFFFF"/>
        </w:rPr>
        <w:t xml:space="preserve">Prireikus </w:t>
      </w:r>
      <w:r w:rsidR="00212DC9" w:rsidRPr="00223972">
        <w:rPr>
          <w:rFonts w:ascii="Times New Roman" w:hAnsi="Times New Roman" w:cs="Times New Roman"/>
          <w:i/>
          <w:sz w:val="24"/>
          <w:szCs w:val="24"/>
          <w:shd w:val="clear" w:color="auto" w:fill="FFFFFF"/>
        </w:rPr>
        <w:t>Lietuvos pozicija bus tikslinama ir derinama darbo tvarka</w:t>
      </w:r>
      <w:r>
        <w:rPr>
          <w:rFonts w:ascii="Times New Roman" w:hAnsi="Times New Roman" w:cs="Times New Roman"/>
          <w:i/>
          <w:sz w:val="24"/>
          <w:szCs w:val="24"/>
          <w:shd w:val="clear" w:color="auto" w:fill="FFFFFF"/>
        </w:rPr>
        <w:t>,</w:t>
      </w:r>
      <w:r w:rsidR="00212DC9" w:rsidRPr="00223972">
        <w:rPr>
          <w:rFonts w:ascii="Times New Roman" w:hAnsi="Times New Roman" w:cs="Times New Roman"/>
          <w:i/>
          <w:sz w:val="24"/>
          <w:szCs w:val="24"/>
          <w:shd w:val="clear" w:color="auto" w:fill="FFFFFF"/>
        </w:rPr>
        <w:t xml:space="preserve"> gavus EVT posėdžio anotuotos darbotvarkės projektą.</w:t>
      </w:r>
    </w:p>
    <w:p w:rsidR="00212DC9" w:rsidRDefault="00212DC9"/>
    <w:p w:rsidR="00212DC9" w:rsidRDefault="00212DC9" w:rsidP="00212DC9">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rPr>
      </w:pPr>
      <w:r>
        <w:rPr>
          <w:rFonts w:ascii="Times New Roman" w:hAnsi="Times New Roman" w:cs="Times New Roman"/>
          <w:b/>
          <w:sz w:val="24"/>
          <w:szCs w:val="24"/>
        </w:rPr>
        <w:t>Pasirengimo</w:t>
      </w:r>
      <w:r w:rsidRPr="00493054">
        <w:rPr>
          <w:rFonts w:ascii="Times New Roman" w:hAnsi="Times New Roman" w:cs="Times New Roman"/>
          <w:b/>
          <w:sz w:val="24"/>
          <w:szCs w:val="24"/>
        </w:rPr>
        <w:t xml:space="preserve">, reagavimo </w:t>
      </w:r>
      <w:proofErr w:type="spellStart"/>
      <w:r w:rsidRPr="00493054">
        <w:rPr>
          <w:rFonts w:ascii="Times New Roman" w:hAnsi="Times New Roman" w:cs="Times New Roman"/>
          <w:b/>
          <w:sz w:val="24"/>
          <w:szCs w:val="24"/>
        </w:rPr>
        <w:t>pajėgum</w:t>
      </w:r>
      <w:r>
        <w:rPr>
          <w:rFonts w:ascii="Times New Roman" w:hAnsi="Times New Roman" w:cs="Times New Roman"/>
          <w:b/>
          <w:sz w:val="24"/>
          <w:szCs w:val="24"/>
        </w:rPr>
        <w:t>ų</w:t>
      </w:r>
      <w:proofErr w:type="spellEnd"/>
      <w:r>
        <w:rPr>
          <w:rFonts w:ascii="Times New Roman" w:hAnsi="Times New Roman" w:cs="Times New Roman"/>
          <w:b/>
          <w:sz w:val="24"/>
          <w:szCs w:val="24"/>
        </w:rPr>
        <w:t xml:space="preserve"> ir atsparumo</w:t>
      </w:r>
      <w:r w:rsidRPr="00493054">
        <w:rPr>
          <w:rFonts w:ascii="Times New Roman" w:hAnsi="Times New Roman" w:cs="Times New Roman"/>
          <w:b/>
          <w:sz w:val="24"/>
          <w:szCs w:val="24"/>
        </w:rPr>
        <w:t xml:space="preserve"> būsimoms krizėms</w:t>
      </w:r>
      <w:r>
        <w:rPr>
          <w:rFonts w:ascii="Times New Roman" w:hAnsi="Times New Roman" w:cs="Times New Roman"/>
          <w:b/>
          <w:sz w:val="24"/>
          <w:szCs w:val="24"/>
        </w:rPr>
        <w:t xml:space="preserve"> stiprinimas</w:t>
      </w:r>
    </w:p>
    <w:p w:rsidR="00212DC9" w:rsidRDefault="00212DC9" w:rsidP="00212DC9">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rPr>
      </w:pPr>
      <w:r w:rsidRPr="008F7F99">
        <w:rPr>
          <w:rFonts w:ascii="Times New Roman" w:hAnsi="Times New Roman" w:cs="Times New Roman"/>
          <w:i/>
          <w:sz w:val="24"/>
          <w:szCs w:val="24"/>
        </w:rPr>
        <w:t>Orientacinė diskusija</w:t>
      </w:r>
    </w:p>
    <w:p w:rsidR="00212DC9" w:rsidRDefault="00212DC9" w:rsidP="00212DC9">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p>
    <w:p w:rsidR="00212DC9" w:rsidRDefault="0072716B" w:rsidP="00212DC9">
      <w:pPr>
        <w:pBdr>
          <w:top w:val="single" w:sz="4" w:space="1" w:color="auto"/>
          <w:left w:val="single" w:sz="4" w:space="4" w:color="auto"/>
          <w:bottom w:val="single" w:sz="4" w:space="1" w:color="auto"/>
          <w:right w:val="single" w:sz="4" w:space="4" w:color="auto"/>
        </w:pBdr>
        <w:jc w:val="both"/>
        <w:rPr>
          <w:rFonts w:ascii="Times New Roman" w:hAnsi="Times New Roman" w:cs="Times New Roman"/>
          <w:bCs/>
          <w:color w:val="231F20"/>
          <w:sz w:val="24"/>
          <w:szCs w:val="24"/>
        </w:rPr>
      </w:pPr>
      <w:r w:rsidRPr="00212DC9">
        <w:rPr>
          <w:rFonts w:ascii="Times New Roman" w:hAnsi="Times New Roman" w:cs="Times New Roman"/>
          <w:b/>
          <w:sz w:val="24"/>
          <w:szCs w:val="24"/>
          <w:u w:val="single"/>
        </w:rPr>
        <w:t>Kontekstas</w:t>
      </w:r>
      <w:r>
        <w:rPr>
          <w:rFonts w:ascii="Times New Roman" w:hAnsi="Times New Roman" w:cs="Times New Roman"/>
          <w:b/>
          <w:sz w:val="24"/>
          <w:szCs w:val="24"/>
          <w:u w:val="single"/>
        </w:rPr>
        <w:t xml:space="preserve">. </w:t>
      </w:r>
      <w:r w:rsidR="00212DC9">
        <w:rPr>
          <w:rFonts w:ascii="Times New Roman" w:hAnsi="Times New Roman" w:cs="Times New Roman"/>
          <w:sz w:val="24"/>
          <w:szCs w:val="24"/>
        </w:rPr>
        <w:t xml:space="preserve">2021 m. lapkričio 23 d. buvo patvirtintos Tarybos išvados dėl pasirengimo, </w:t>
      </w:r>
      <w:proofErr w:type="spellStart"/>
      <w:r w:rsidR="00212DC9">
        <w:rPr>
          <w:rFonts w:ascii="Times New Roman" w:hAnsi="Times New Roman" w:cs="Times New Roman"/>
          <w:sz w:val="24"/>
          <w:szCs w:val="24"/>
        </w:rPr>
        <w:t>pajėgumų</w:t>
      </w:r>
      <w:proofErr w:type="spellEnd"/>
      <w:r w:rsidR="00212DC9">
        <w:rPr>
          <w:rFonts w:ascii="Times New Roman" w:hAnsi="Times New Roman" w:cs="Times New Roman"/>
          <w:sz w:val="24"/>
          <w:szCs w:val="24"/>
        </w:rPr>
        <w:t xml:space="preserve"> ir atsparumo būsimoms krizėms stiprinimo. 2021 m. gruodžio 16 d. buvo priimtos atitinkamos EVT išvados dėl krizių valdymo ir atsparumo. Siekdama įgyvendinti minėtas išvadas, ES Tarybai pirmininkaujanti Prancūzija atnaujino </w:t>
      </w:r>
      <w:r w:rsidR="00E57F1D">
        <w:rPr>
          <w:rFonts w:ascii="Times New Roman" w:hAnsi="Times New Roman" w:cs="Times New Roman"/>
          <w:sz w:val="24"/>
          <w:szCs w:val="24"/>
        </w:rPr>
        <w:t xml:space="preserve">Tarybos </w:t>
      </w:r>
      <w:proofErr w:type="spellStart"/>
      <w:r w:rsidR="00212DC9" w:rsidRPr="00E57F1D">
        <w:rPr>
          <w:rFonts w:ascii="Times New Roman" w:hAnsi="Times New Roman" w:cs="Times New Roman"/>
          <w:i/>
          <w:sz w:val="24"/>
          <w:szCs w:val="24"/>
        </w:rPr>
        <w:t>ad</w:t>
      </w:r>
      <w:proofErr w:type="spellEnd"/>
      <w:r w:rsidR="00212DC9" w:rsidRPr="00E57F1D">
        <w:rPr>
          <w:rFonts w:ascii="Times New Roman" w:hAnsi="Times New Roman" w:cs="Times New Roman"/>
          <w:i/>
          <w:sz w:val="24"/>
          <w:szCs w:val="24"/>
        </w:rPr>
        <w:t xml:space="preserve"> </w:t>
      </w:r>
      <w:proofErr w:type="spellStart"/>
      <w:r w:rsidR="00212DC9" w:rsidRPr="00E57F1D">
        <w:rPr>
          <w:rFonts w:ascii="Times New Roman" w:hAnsi="Times New Roman" w:cs="Times New Roman"/>
          <w:i/>
          <w:sz w:val="24"/>
          <w:szCs w:val="24"/>
        </w:rPr>
        <w:t>hoc</w:t>
      </w:r>
      <w:proofErr w:type="spellEnd"/>
      <w:r w:rsidR="00212DC9">
        <w:rPr>
          <w:rFonts w:ascii="Times New Roman" w:hAnsi="Times New Roman" w:cs="Times New Roman"/>
          <w:sz w:val="24"/>
          <w:szCs w:val="24"/>
        </w:rPr>
        <w:t xml:space="preserve"> darbo grupės </w:t>
      </w:r>
      <w:r w:rsidR="00212DC9">
        <w:rPr>
          <w:rFonts w:ascii="Times New Roman" w:hAnsi="Times New Roman" w:cs="Times New Roman"/>
          <w:bCs/>
          <w:color w:val="231F20"/>
          <w:sz w:val="24"/>
          <w:szCs w:val="24"/>
        </w:rPr>
        <w:t>P</w:t>
      </w:r>
      <w:r w:rsidR="00212DC9" w:rsidRPr="00322136">
        <w:rPr>
          <w:rFonts w:ascii="Times New Roman" w:hAnsi="Times New Roman" w:cs="Times New Roman"/>
          <w:bCs/>
          <w:color w:val="231F20"/>
          <w:sz w:val="24"/>
          <w:szCs w:val="24"/>
        </w:rPr>
        <w:t xml:space="preserve">asirengimui, reagavimo </w:t>
      </w:r>
      <w:proofErr w:type="spellStart"/>
      <w:r w:rsidR="00212DC9" w:rsidRPr="00322136">
        <w:rPr>
          <w:rFonts w:ascii="Times New Roman" w:hAnsi="Times New Roman" w:cs="Times New Roman"/>
          <w:bCs/>
          <w:color w:val="231F20"/>
          <w:sz w:val="24"/>
          <w:szCs w:val="24"/>
        </w:rPr>
        <w:t>pajėgumams</w:t>
      </w:r>
      <w:proofErr w:type="spellEnd"/>
      <w:r w:rsidR="00212DC9" w:rsidRPr="00322136">
        <w:rPr>
          <w:rFonts w:ascii="Times New Roman" w:hAnsi="Times New Roman" w:cs="Times New Roman"/>
          <w:bCs/>
          <w:color w:val="231F20"/>
          <w:sz w:val="24"/>
          <w:szCs w:val="24"/>
        </w:rPr>
        <w:t xml:space="preserve"> ir atsparumui būsimoms krizėms</w:t>
      </w:r>
      <w:r w:rsidR="00212DC9">
        <w:rPr>
          <w:rFonts w:ascii="Times New Roman" w:hAnsi="Times New Roman" w:cs="Times New Roman"/>
          <w:bCs/>
          <w:color w:val="231F20"/>
          <w:sz w:val="24"/>
          <w:szCs w:val="24"/>
        </w:rPr>
        <w:t xml:space="preserve"> veiklą, parengė klausimyną valstybėms narėms dėl krizių valdymo ir atsparumo, o remdamasi gautais atsakymais parengs ataskaitą, skirtą EVT. Taip pat bus sprendžiama dėl ES atsparumo strategijos parengimo būtinybės.</w:t>
      </w:r>
    </w:p>
    <w:p w:rsidR="00E57F1D" w:rsidRDefault="00E57F1D" w:rsidP="00212DC9">
      <w:pPr>
        <w:pBdr>
          <w:top w:val="single" w:sz="4" w:space="1" w:color="auto"/>
          <w:left w:val="single" w:sz="4" w:space="4" w:color="auto"/>
          <w:bottom w:val="single" w:sz="4" w:space="1" w:color="auto"/>
          <w:right w:val="single" w:sz="4" w:space="4" w:color="auto"/>
        </w:pBdr>
        <w:jc w:val="both"/>
        <w:rPr>
          <w:rFonts w:ascii="Times New Roman" w:hAnsi="Times New Roman" w:cs="Times New Roman"/>
          <w:bCs/>
          <w:color w:val="231F20"/>
          <w:sz w:val="24"/>
          <w:szCs w:val="24"/>
        </w:rPr>
      </w:pPr>
    </w:p>
    <w:p w:rsidR="00212DC9" w:rsidRDefault="00212DC9" w:rsidP="00212DC9">
      <w:pPr>
        <w:pBdr>
          <w:top w:val="single" w:sz="4" w:space="1" w:color="auto"/>
          <w:left w:val="single" w:sz="4" w:space="4" w:color="auto"/>
          <w:bottom w:val="single" w:sz="4" w:space="1" w:color="auto"/>
          <w:right w:val="single" w:sz="4" w:space="4" w:color="auto"/>
        </w:pBdr>
        <w:jc w:val="both"/>
        <w:rPr>
          <w:rFonts w:ascii="Times New Roman" w:hAnsi="Times New Roman" w:cs="Times New Roman"/>
          <w:bCs/>
          <w:color w:val="231F20"/>
          <w:sz w:val="24"/>
          <w:szCs w:val="24"/>
        </w:rPr>
      </w:pPr>
      <w:r>
        <w:rPr>
          <w:rFonts w:ascii="Times New Roman" w:hAnsi="Times New Roman" w:cs="Times New Roman"/>
          <w:bCs/>
          <w:color w:val="231F20"/>
          <w:sz w:val="24"/>
          <w:szCs w:val="24"/>
        </w:rPr>
        <w:t xml:space="preserve">BRT ministrų diskusijoje tikimasi nubrėžti politines gaires dėl svarbiausių klausimų atsparumo srityje. </w:t>
      </w:r>
    </w:p>
    <w:p w:rsidR="00E57F1D" w:rsidRDefault="00E57F1D" w:rsidP="00212DC9">
      <w:pPr>
        <w:pBdr>
          <w:top w:val="single" w:sz="4" w:space="1" w:color="auto"/>
          <w:left w:val="single" w:sz="4" w:space="4" w:color="auto"/>
          <w:bottom w:val="single" w:sz="4" w:space="1" w:color="auto"/>
          <w:right w:val="single" w:sz="4" w:space="4" w:color="auto"/>
        </w:pBdr>
        <w:jc w:val="both"/>
        <w:rPr>
          <w:rFonts w:ascii="Times New Roman" w:hAnsi="Times New Roman" w:cs="Times New Roman"/>
          <w:bCs/>
          <w:i/>
          <w:color w:val="231F20"/>
          <w:sz w:val="24"/>
          <w:szCs w:val="24"/>
        </w:rPr>
      </w:pPr>
    </w:p>
    <w:p w:rsidR="00212DC9" w:rsidRDefault="00212DC9" w:rsidP="00212DC9">
      <w:pPr>
        <w:pBdr>
          <w:top w:val="single" w:sz="4" w:space="1" w:color="auto"/>
          <w:left w:val="single" w:sz="4" w:space="4" w:color="auto"/>
          <w:bottom w:val="single" w:sz="4" w:space="1" w:color="auto"/>
          <w:right w:val="single" w:sz="4" w:space="4" w:color="auto"/>
        </w:pBdr>
        <w:jc w:val="both"/>
        <w:rPr>
          <w:rFonts w:ascii="Times New Roman" w:hAnsi="Times New Roman" w:cs="Times New Roman"/>
          <w:bCs/>
          <w:color w:val="231F20"/>
          <w:sz w:val="24"/>
          <w:szCs w:val="24"/>
        </w:rPr>
      </w:pPr>
      <w:r w:rsidRPr="007D72D4">
        <w:rPr>
          <w:rFonts w:ascii="Times New Roman" w:hAnsi="Times New Roman" w:cs="Times New Roman"/>
          <w:bCs/>
          <w:i/>
          <w:color w:val="231F20"/>
          <w:sz w:val="24"/>
          <w:szCs w:val="24"/>
        </w:rPr>
        <w:t>Parengtis.</w:t>
      </w:r>
      <w:r>
        <w:rPr>
          <w:rFonts w:ascii="Times New Roman" w:hAnsi="Times New Roman" w:cs="Times New Roman"/>
          <w:bCs/>
          <w:color w:val="231F20"/>
          <w:sz w:val="24"/>
          <w:szCs w:val="24"/>
        </w:rPr>
        <w:t xml:space="preserve"> Visos valstybės narės turi krizių valdymo planus nacionaliniu ar vietos lygiu. 2021 m. birželio 15 d. komunikate E</w:t>
      </w:r>
      <w:r w:rsidR="00E57F1D">
        <w:rPr>
          <w:rFonts w:ascii="Times New Roman" w:hAnsi="Times New Roman" w:cs="Times New Roman"/>
          <w:bCs/>
          <w:color w:val="231F20"/>
          <w:sz w:val="24"/>
          <w:szCs w:val="24"/>
        </w:rPr>
        <w:t xml:space="preserve">uropos </w:t>
      </w:r>
      <w:r>
        <w:rPr>
          <w:rFonts w:ascii="Times New Roman" w:hAnsi="Times New Roman" w:cs="Times New Roman"/>
          <w:bCs/>
          <w:color w:val="231F20"/>
          <w:sz w:val="24"/>
          <w:szCs w:val="24"/>
        </w:rPr>
        <w:t>K</w:t>
      </w:r>
      <w:r w:rsidR="00E57F1D">
        <w:rPr>
          <w:rFonts w:ascii="Times New Roman" w:hAnsi="Times New Roman" w:cs="Times New Roman"/>
          <w:bCs/>
          <w:color w:val="231F20"/>
          <w:sz w:val="24"/>
          <w:szCs w:val="24"/>
        </w:rPr>
        <w:t>omisija</w:t>
      </w:r>
      <w:r>
        <w:rPr>
          <w:rFonts w:ascii="Times New Roman" w:hAnsi="Times New Roman" w:cs="Times New Roman"/>
          <w:bCs/>
          <w:color w:val="231F20"/>
          <w:sz w:val="24"/>
          <w:szCs w:val="24"/>
        </w:rPr>
        <w:t xml:space="preserve"> yra skelbusi, kad rengs metines Parengties būklės ataskaitas, kurios apims ne tik grėsmes sveikatos srityje, bet ir kitose – chemines, radiologines ir bi</w:t>
      </w:r>
      <w:r w:rsidR="00E57F1D">
        <w:rPr>
          <w:rFonts w:ascii="Times New Roman" w:hAnsi="Times New Roman" w:cs="Times New Roman"/>
          <w:bCs/>
          <w:color w:val="231F20"/>
          <w:sz w:val="24"/>
          <w:szCs w:val="24"/>
        </w:rPr>
        <w:t>ologines atakas, seisminius šok</w:t>
      </w:r>
      <w:r>
        <w:rPr>
          <w:rFonts w:ascii="Times New Roman" w:hAnsi="Times New Roman" w:cs="Times New Roman"/>
          <w:bCs/>
          <w:color w:val="231F20"/>
          <w:sz w:val="24"/>
          <w:szCs w:val="24"/>
        </w:rPr>
        <w:t xml:space="preserve">us, aplinkos ir technologines nelaimes. ES lygiu svarbūs du aspektai – parengties planų vystymas skirtingų tipų krizėms bei strateginių rezervų, jau suplanuotų per </w:t>
      </w:r>
      <w:proofErr w:type="spellStart"/>
      <w:r>
        <w:rPr>
          <w:rFonts w:ascii="Times New Roman" w:hAnsi="Times New Roman" w:cs="Times New Roman"/>
          <w:bCs/>
          <w:color w:val="231F20"/>
          <w:sz w:val="24"/>
          <w:szCs w:val="24"/>
        </w:rPr>
        <w:t>RescEU</w:t>
      </w:r>
      <w:proofErr w:type="spellEnd"/>
      <w:r>
        <w:rPr>
          <w:rFonts w:ascii="Times New Roman" w:hAnsi="Times New Roman" w:cs="Times New Roman"/>
          <w:bCs/>
          <w:color w:val="231F20"/>
          <w:sz w:val="24"/>
          <w:szCs w:val="24"/>
        </w:rPr>
        <w:t xml:space="preserve"> ir HERA, kaupimas. </w:t>
      </w:r>
    </w:p>
    <w:p w:rsidR="00E57F1D" w:rsidRDefault="00E57F1D" w:rsidP="00212DC9">
      <w:pPr>
        <w:pBdr>
          <w:top w:val="single" w:sz="4" w:space="1" w:color="auto"/>
          <w:left w:val="single" w:sz="4" w:space="4" w:color="auto"/>
          <w:bottom w:val="single" w:sz="4" w:space="1" w:color="auto"/>
          <w:right w:val="single" w:sz="4" w:space="4" w:color="auto"/>
        </w:pBdr>
        <w:jc w:val="both"/>
        <w:rPr>
          <w:rFonts w:ascii="Times New Roman" w:hAnsi="Times New Roman" w:cs="Times New Roman"/>
          <w:bCs/>
          <w:i/>
          <w:color w:val="231F20"/>
          <w:sz w:val="24"/>
          <w:szCs w:val="24"/>
        </w:rPr>
      </w:pPr>
    </w:p>
    <w:p w:rsidR="00212DC9" w:rsidRDefault="00212DC9" w:rsidP="00212DC9">
      <w:pPr>
        <w:pBdr>
          <w:top w:val="single" w:sz="4" w:space="1" w:color="auto"/>
          <w:left w:val="single" w:sz="4" w:space="4" w:color="auto"/>
          <w:bottom w:val="single" w:sz="4" w:space="1" w:color="auto"/>
          <w:right w:val="single" w:sz="4" w:space="4" w:color="auto"/>
        </w:pBdr>
        <w:jc w:val="both"/>
        <w:rPr>
          <w:rFonts w:ascii="Times New Roman" w:hAnsi="Times New Roman" w:cs="Times New Roman"/>
          <w:bCs/>
          <w:color w:val="231F20"/>
          <w:sz w:val="24"/>
          <w:szCs w:val="24"/>
        </w:rPr>
      </w:pPr>
      <w:r w:rsidRPr="007D72D4">
        <w:rPr>
          <w:rFonts w:ascii="Times New Roman" w:hAnsi="Times New Roman" w:cs="Times New Roman"/>
          <w:bCs/>
          <w:i/>
          <w:color w:val="231F20"/>
          <w:sz w:val="24"/>
          <w:szCs w:val="24"/>
        </w:rPr>
        <w:t>Krizių valdymas</w:t>
      </w:r>
      <w:r>
        <w:rPr>
          <w:rFonts w:ascii="Times New Roman" w:hAnsi="Times New Roman" w:cs="Times New Roman"/>
          <w:bCs/>
          <w:color w:val="231F20"/>
          <w:sz w:val="24"/>
          <w:szCs w:val="24"/>
        </w:rPr>
        <w:t xml:space="preserve">. Reikalingos diskusijos dėl to, ar reikalingas IPCR formato veiklos tobulinimas vertinant platesnį krizių valdymo kontekstą ES lygiu. </w:t>
      </w:r>
    </w:p>
    <w:p w:rsidR="00212DC9" w:rsidRDefault="00212DC9" w:rsidP="00212DC9">
      <w:pPr>
        <w:pBdr>
          <w:top w:val="single" w:sz="4" w:space="1" w:color="auto"/>
          <w:left w:val="single" w:sz="4" w:space="4" w:color="auto"/>
          <w:bottom w:val="single" w:sz="4" w:space="1" w:color="auto"/>
          <w:right w:val="single" w:sz="4" w:space="4" w:color="auto"/>
        </w:pBdr>
        <w:jc w:val="both"/>
        <w:rPr>
          <w:rFonts w:ascii="Times New Roman" w:hAnsi="Times New Roman" w:cs="Times New Roman"/>
          <w:bCs/>
          <w:color w:val="231F20"/>
          <w:sz w:val="24"/>
          <w:szCs w:val="24"/>
        </w:rPr>
      </w:pPr>
      <w:r w:rsidRPr="00C93F85">
        <w:rPr>
          <w:rFonts w:ascii="Times New Roman" w:hAnsi="Times New Roman" w:cs="Times New Roman"/>
          <w:bCs/>
          <w:i/>
          <w:color w:val="231F20"/>
          <w:sz w:val="24"/>
          <w:szCs w:val="24"/>
        </w:rPr>
        <w:lastRenderedPageBreak/>
        <w:t>Atsparumas.</w:t>
      </w:r>
      <w:r>
        <w:rPr>
          <w:rFonts w:ascii="Times New Roman" w:hAnsi="Times New Roman" w:cs="Times New Roman"/>
          <w:bCs/>
          <w:color w:val="231F20"/>
          <w:sz w:val="24"/>
          <w:szCs w:val="24"/>
        </w:rPr>
        <w:t xml:space="preserve"> Teisėkūros srityje vyksta </w:t>
      </w:r>
      <w:proofErr w:type="spellStart"/>
      <w:r>
        <w:rPr>
          <w:rFonts w:ascii="Times New Roman" w:hAnsi="Times New Roman" w:cs="Times New Roman"/>
          <w:bCs/>
          <w:color w:val="231F20"/>
          <w:sz w:val="24"/>
          <w:szCs w:val="24"/>
        </w:rPr>
        <w:t>trilogai</w:t>
      </w:r>
      <w:proofErr w:type="spellEnd"/>
      <w:r>
        <w:rPr>
          <w:rFonts w:ascii="Times New Roman" w:hAnsi="Times New Roman" w:cs="Times New Roman"/>
          <w:bCs/>
          <w:color w:val="231F20"/>
          <w:sz w:val="24"/>
          <w:szCs w:val="24"/>
        </w:rPr>
        <w:t xml:space="preserve"> dėl trijų svarbių teisės aktų: Direktyvos dėl ypatingos svarbos subjektų atsparumo; Reglamento dėl skaitmeninio operacinio atsparumo finansų sektoriuje (DORA) ir dėl Direktyvos dėl priemonių aukštam bendram kibernetinio saugumo lygiui visoje ES (NIS 2). </w:t>
      </w:r>
    </w:p>
    <w:p w:rsidR="00E57F1D" w:rsidRDefault="00E57F1D" w:rsidP="00212DC9">
      <w:pPr>
        <w:pBdr>
          <w:top w:val="single" w:sz="4" w:space="1" w:color="auto"/>
          <w:left w:val="single" w:sz="4" w:space="4" w:color="auto"/>
          <w:bottom w:val="single" w:sz="4" w:space="1" w:color="auto"/>
          <w:right w:val="single" w:sz="4" w:space="4" w:color="auto"/>
        </w:pBdr>
        <w:jc w:val="both"/>
        <w:rPr>
          <w:rFonts w:ascii="Times New Roman" w:hAnsi="Times New Roman" w:cs="Times New Roman"/>
          <w:bCs/>
          <w:color w:val="231F20"/>
          <w:sz w:val="24"/>
          <w:szCs w:val="24"/>
        </w:rPr>
      </w:pPr>
    </w:p>
    <w:p w:rsidR="00212DC9" w:rsidRDefault="00212DC9" w:rsidP="00212DC9">
      <w:pPr>
        <w:pBdr>
          <w:top w:val="single" w:sz="4" w:space="1" w:color="auto"/>
          <w:left w:val="single" w:sz="4" w:space="4" w:color="auto"/>
          <w:bottom w:val="single" w:sz="4" w:space="1" w:color="auto"/>
          <w:right w:val="single" w:sz="4" w:space="4" w:color="auto"/>
        </w:pBdr>
        <w:jc w:val="both"/>
        <w:rPr>
          <w:rFonts w:ascii="Times New Roman" w:hAnsi="Times New Roman" w:cs="Times New Roman"/>
          <w:bCs/>
          <w:color w:val="231F20"/>
          <w:sz w:val="24"/>
          <w:szCs w:val="24"/>
        </w:rPr>
      </w:pPr>
      <w:r>
        <w:rPr>
          <w:rFonts w:ascii="Times New Roman" w:hAnsi="Times New Roman" w:cs="Times New Roman"/>
          <w:bCs/>
          <w:color w:val="231F20"/>
          <w:sz w:val="24"/>
          <w:szCs w:val="24"/>
        </w:rPr>
        <w:t xml:space="preserve">EK rengia atsparumo suvestinę, vystomi ES atsparumo katastrofoms tikslai. </w:t>
      </w:r>
    </w:p>
    <w:p w:rsidR="00212DC9" w:rsidRDefault="00212DC9" w:rsidP="00212DC9">
      <w:pPr>
        <w:pBdr>
          <w:top w:val="single" w:sz="4" w:space="1" w:color="auto"/>
          <w:left w:val="single" w:sz="4" w:space="4" w:color="auto"/>
          <w:bottom w:val="single" w:sz="4" w:space="1" w:color="auto"/>
          <w:right w:val="single" w:sz="4" w:space="4" w:color="auto"/>
        </w:pBdr>
        <w:jc w:val="both"/>
        <w:rPr>
          <w:rFonts w:ascii="Times New Roman" w:hAnsi="Times New Roman" w:cs="Times New Roman"/>
          <w:bCs/>
          <w:color w:val="231F20"/>
          <w:sz w:val="24"/>
          <w:szCs w:val="24"/>
        </w:rPr>
      </w:pPr>
      <w:r>
        <w:rPr>
          <w:rFonts w:ascii="Times New Roman" w:hAnsi="Times New Roman" w:cs="Times New Roman"/>
          <w:bCs/>
          <w:color w:val="231F20"/>
          <w:sz w:val="24"/>
          <w:szCs w:val="24"/>
        </w:rPr>
        <w:t>Ministrai kviečiami diskutuoti šiais klausimais:</w:t>
      </w:r>
    </w:p>
    <w:p w:rsidR="00212DC9" w:rsidRPr="00212DC9" w:rsidRDefault="00212DC9" w:rsidP="00212DC9">
      <w:pPr>
        <w:pBdr>
          <w:top w:val="single" w:sz="4" w:space="1" w:color="auto"/>
          <w:left w:val="single" w:sz="4" w:space="4" w:color="auto"/>
          <w:bottom w:val="single" w:sz="4" w:space="1" w:color="auto"/>
          <w:right w:val="single" w:sz="4" w:space="4" w:color="auto"/>
        </w:pBdr>
        <w:jc w:val="both"/>
        <w:rPr>
          <w:rFonts w:ascii="Times New Roman" w:hAnsi="Times New Roman" w:cs="Times New Roman"/>
          <w:bCs/>
          <w:color w:val="231F20"/>
          <w:sz w:val="24"/>
          <w:szCs w:val="24"/>
        </w:rPr>
      </w:pPr>
      <w:r>
        <w:rPr>
          <w:rFonts w:ascii="Times New Roman" w:hAnsi="Times New Roman" w:cs="Times New Roman"/>
          <w:bCs/>
          <w:color w:val="231F20"/>
          <w:sz w:val="24"/>
          <w:szCs w:val="24"/>
        </w:rPr>
        <w:t xml:space="preserve"> - </w:t>
      </w:r>
      <w:r w:rsidRPr="00212DC9">
        <w:rPr>
          <w:rFonts w:ascii="Times New Roman" w:hAnsi="Times New Roman" w:cs="Times New Roman"/>
          <w:bCs/>
          <w:color w:val="231F20"/>
          <w:sz w:val="24"/>
          <w:szCs w:val="24"/>
        </w:rPr>
        <w:t>Kokioms priemonėms turėtų būti skiriamas prioritetas, stiprinant parengtį ES krizių valdymui?</w:t>
      </w:r>
    </w:p>
    <w:p w:rsidR="00212DC9" w:rsidRPr="00212DC9" w:rsidRDefault="00212DC9" w:rsidP="00212DC9">
      <w:pPr>
        <w:pBdr>
          <w:top w:val="single" w:sz="4" w:space="1" w:color="auto"/>
          <w:left w:val="single" w:sz="4" w:space="4" w:color="auto"/>
          <w:bottom w:val="single" w:sz="4" w:space="1" w:color="auto"/>
          <w:right w:val="single" w:sz="4" w:space="4" w:color="auto"/>
        </w:pBdr>
        <w:jc w:val="both"/>
        <w:rPr>
          <w:rFonts w:ascii="Times New Roman" w:hAnsi="Times New Roman" w:cs="Times New Roman"/>
          <w:bCs/>
          <w:color w:val="231F20"/>
          <w:sz w:val="24"/>
          <w:szCs w:val="24"/>
        </w:rPr>
      </w:pPr>
      <w:r>
        <w:rPr>
          <w:rFonts w:ascii="Times New Roman" w:hAnsi="Times New Roman" w:cs="Times New Roman"/>
          <w:bCs/>
          <w:color w:val="231F20"/>
          <w:sz w:val="24"/>
          <w:szCs w:val="24"/>
        </w:rPr>
        <w:t xml:space="preserve"> - </w:t>
      </w:r>
      <w:r w:rsidRPr="00212DC9">
        <w:rPr>
          <w:rFonts w:ascii="Times New Roman" w:hAnsi="Times New Roman" w:cs="Times New Roman"/>
          <w:bCs/>
          <w:color w:val="231F20"/>
          <w:sz w:val="24"/>
          <w:szCs w:val="24"/>
        </w:rPr>
        <w:t>Kaip gerai vertintina IPCR veikla ir kaip ji galėtų būti pagerinta?</w:t>
      </w:r>
    </w:p>
    <w:p w:rsidR="00212DC9" w:rsidRPr="00212DC9" w:rsidRDefault="00212DC9" w:rsidP="00212DC9">
      <w:pPr>
        <w:pBdr>
          <w:top w:val="single" w:sz="4" w:space="1" w:color="auto"/>
          <w:left w:val="single" w:sz="4" w:space="4" w:color="auto"/>
          <w:bottom w:val="single" w:sz="4" w:space="1" w:color="auto"/>
          <w:right w:val="single" w:sz="4" w:space="4" w:color="auto"/>
        </w:pBdr>
        <w:jc w:val="both"/>
        <w:rPr>
          <w:rFonts w:ascii="Times New Roman" w:hAnsi="Times New Roman" w:cs="Times New Roman"/>
          <w:bCs/>
          <w:color w:val="231F20"/>
          <w:sz w:val="24"/>
          <w:szCs w:val="24"/>
        </w:rPr>
      </w:pPr>
      <w:r>
        <w:rPr>
          <w:rFonts w:ascii="Times New Roman" w:hAnsi="Times New Roman" w:cs="Times New Roman"/>
          <w:bCs/>
          <w:color w:val="231F20"/>
          <w:sz w:val="24"/>
          <w:szCs w:val="24"/>
        </w:rPr>
        <w:t xml:space="preserve"> - </w:t>
      </w:r>
      <w:r w:rsidRPr="00212DC9">
        <w:rPr>
          <w:rFonts w:ascii="Times New Roman" w:hAnsi="Times New Roman" w:cs="Times New Roman"/>
          <w:bCs/>
          <w:color w:val="231F20"/>
          <w:sz w:val="24"/>
          <w:szCs w:val="24"/>
        </w:rPr>
        <w:t xml:space="preserve">Ar pakankamai daroma ES lygiu atsparumo klausimu? Kokios galimos papildomos priemonės, ypač siekiant suvaldyti kibernetines grėsmes?  </w:t>
      </w:r>
    </w:p>
    <w:p w:rsidR="00212DC9" w:rsidRDefault="00212DC9" w:rsidP="00212DC9">
      <w:pPr>
        <w:pBdr>
          <w:top w:val="single" w:sz="4" w:space="1" w:color="auto"/>
          <w:left w:val="single" w:sz="4" w:space="4" w:color="auto"/>
          <w:bottom w:val="single" w:sz="4" w:space="1" w:color="auto"/>
          <w:right w:val="single" w:sz="4" w:space="4" w:color="auto"/>
        </w:pBdr>
        <w:jc w:val="both"/>
        <w:rPr>
          <w:rFonts w:ascii="Times New Roman" w:hAnsi="Times New Roman" w:cs="Times New Roman"/>
          <w:bCs/>
          <w:color w:val="231F20"/>
          <w:sz w:val="24"/>
          <w:szCs w:val="24"/>
        </w:rPr>
      </w:pPr>
      <w:r>
        <w:rPr>
          <w:rFonts w:ascii="Times New Roman" w:hAnsi="Times New Roman" w:cs="Times New Roman"/>
          <w:bCs/>
          <w:color w:val="231F20"/>
          <w:sz w:val="24"/>
          <w:szCs w:val="24"/>
        </w:rPr>
        <w:t xml:space="preserve">   </w:t>
      </w:r>
    </w:p>
    <w:p w:rsidR="00212DC9" w:rsidRPr="00212DC9" w:rsidRDefault="00212DC9" w:rsidP="00212DC9">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rPr>
      </w:pPr>
      <w:r w:rsidRPr="00212DC9">
        <w:rPr>
          <w:rFonts w:ascii="Times New Roman" w:hAnsi="Times New Roman" w:cs="Times New Roman"/>
          <w:b/>
          <w:sz w:val="24"/>
          <w:szCs w:val="24"/>
          <w:u w:val="single"/>
        </w:rPr>
        <w:t>Lietuvos pozicija</w:t>
      </w:r>
      <w:r w:rsidR="00E57F1D">
        <w:rPr>
          <w:rFonts w:ascii="Times New Roman" w:hAnsi="Times New Roman" w:cs="Times New Roman"/>
          <w:b/>
          <w:sz w:val="24"/>
          <w:szCs w:val="24"/>
          <w:u w:val="single"/>
        </w:rPr>
        <w:t>.</w:t>
      </w:r>
      <w:r>
        <w:rPr>
          <w:rFonts w:ascii="Times New Roman" w:hAnsi="Times New Roman" w:cs="Times New Roman"/>
          <w:b/>
          <w:sz w:val="24"/>
          <w:szCs w:val="24"/>
        </w:rPr>
        <w:t xml:space="preserve"> </w:t>
      </w:r>
      <w:r>
        <w:rPr>
          <w:rFonts w:ascii="Times New Roman" w:eastAsia="Times New Roman" w:hAnsi="Times New Roman" w:cs="Times New Roman"/>
          <w:color w:val="000000"/>
          <w:sz w:val="24"/>
          <w:szCs w:val="18"/>
          <w:lang w:eastAsia="lt-LT"/>
        </w:rPr>
        <w:t>Lietuva remia pirmininkaujančios valstybės pastangas siekti pažangos didesnio ES atsparumo srityje bei atnaujintas diskusijas šiuo klausimu. Pabrėžiame</w:t>
      </w:r>
      <w:r w:rsidRPr="00B838E6">
        <w:rPr>
          <w:rFonts w:ascii="Times New Roman" w:eastAsia="Times New Roman" w:hAnsi="Times New Roman" w:cs="Times New Roman"/>
          <w:color w:val="000000"/>
          <w:sz w:val="24"/>
          <w:szCs w:val="18"/>
          <w:lang w:eastAsia="lt-LT"/>
        </w:rPr>
        <w:t xml:space="preserve"> būtinybę stiprinti ES atsparumą galimoms įvair</w:t>
      </w:r>
      <w:r w:rsidR="00E57F1D">
        <w:rPr>
          <w:rFonts w:ascii="Times New Roman" w:eastAsia="Times New Roman" w:hAnsi="Times New Roman" w:cs="Times New Roman"/>
          <w:color w:val="000000"/>
          <w:sz w:val="24"/>
          <w:szCs w:val="18"/>
          <w:lang w:eastAsia="lt-LT"/>
        </w:rPr>
        <w:t xml:space="preserve">aus pobūdžio grėsmėms ateityje. </w:t>
      </w:r>
      <w:r>
        <w:rPr>
          <w:rFonts w:ascii="Times New Roman" w:eastAsia="Times New Roman" w:hAnsi="Times New Roman" w:cs="Times New Roman"/>
          <w:color w:val="000000"/>
          <w:sz w:val="24"/>
          <w:szCs w:val="18"/>
          <w:lang w:eastAsia="lt-LT"/>
        </w:rPr>
        <w:t>Ypač svarbus visaapimantis požiūris į atsparumą.</w:t>
      </w:r>
    </w:p>
    <w:p w:rsidR="00212DC9" w:rsidRDefault="00E57F1D" w:rsidP="00212DC9">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color w:val="000000"/>
          <w:sz w:val="24"/>
          <w:szCs w:val="18"/>
          <w:lang w:eastAsia="lt-LT"/>
        </w:rPr>
      </w:pPr>
      <w:r>
        <w:rPr>
          <w:rFonts w:ascii="Times New Roman" w:eastAsia="Times New Roman" w:hAnsi="Times New Roman" w:cs="Times New Roman"/>
          <w:color w:val="000000"/>
          <w:sz w:val="24"/>
          <w:szCs w:val="18"/>
          <w:lang w:eastAsia="lt-LT"/>
        </w:rPr>
        <w:t>Labai</w:t>
      </w:r>
      <w:r w:rsidR="00212DC9">
        <w:rPr>
          <w:rFonts w:ascii="Times New Roman" w:eastAsia="Times New Roman" w:hAnsi="Times New Roman" w:cs="Times New Roman"/>
          <w:color w:val="000000"/>
          <w:sz w:val="24"/>
          <w:szCs w:val="18"/>
          <w:lang w:eastAsia="lt-LT"/>
        </w:rPr>
        <w:t xml:space="preserve"> svarbu </w:t>
      </w:r>
      <w:r>
        <w:rPr>
          <w:rFonts w:ascii="Times New Roman" w:eastAsia="Times New Roman" w:hAnsi="Times New Roman" w:cs="Times New Roman"/>
          <w:color w:val="000000"/>
          <w:sz w:val="24"/>
          <w:szCs w:val="18"/>
          <w:lang w:eastAsia="lt-LT"/>
        </w:rPr>
        <w:t xml:space="preserve">skirti </w:t>
      </w:r>
      <w:r w:rsidR="00212DC9">
        <w:rPr>
          <w:rFonts w:ascii="Times New Roman" w:eastAsia="Times New Roman" w:hAnsi="Times New Roman" w:cs="Times New Roman"/>
          <w:color w:val="000000"/>
          <w:sz w:val="24"/>
          <w:szCs w:val="18"/>
          <w:lang w:eastAsia="lt-LT"/>
        </w:rPr>
        <w:t xml:space="preserve">pakankamą dėmesį ne tik </w:t>
      </w:r>
      <w:r w:rsidR="00212DC9" w:rsidRPr="00B838E6">
        <w:rPr>
          <w:rFonts w:ascii="Times New Roman" w:eastAsia="Times New Roman" w:hAnsi="Times New Roman" w:cs="Times New Roman"/>
          <w:color w:val="000000"/>
          <w:sz w:val="24"/>
          <w:szCs w:val="18"/>
          <w:lang w:eastAsia="lt-LT"/>
        </w:rPr>
        <w:t>krizių valdymo, bet ir stebėsenos, išankstinio įspėjimo ir prevencijos sistemo</w:t>
      </w:r>
      <w:r w:rsidR="00212DC9">
        <w:rPr>
          <w:rFonts w:ascii="Times New Roman" w:eastAsia="Times New Roman" w:hAnsi="Times New Roman" w:cs="Times New Roman"/>
          <w:color w:val="000000"/>
          <w:sz w:val="24"/>
          <w:szCs w:val="18"/>
          <w:lang w:eastAsia="lt-LT"/>
        </w:rPr>
        <w:t>m</w:t>
      </w:r>
      <w:r w:rsidR="00212DC9" w:rsidRPr="00B838E6">
        <w:rPr>
          <w:rFonts w:ascii="Times New Roman" w:eastAsia="Times New Roman" w:hAnsi="Times New Roman" w:cs="Times New Roman"/>
          <w:color w:val="000000"/>
          <w:sz w:val="24"/>
          <w:szCs w:val="18"/>
          <w:lang w:eastAsia="lt-LT"/>
        </w:rPr>
        <w:t xml:space="preserve">s. Tai ypač svarbu hibridinių grėsmių prevencijos ir suvaldymo atveju. Labai svarbu stiprinti mūsų atsaką į hibridines grėsmes, tokias kaip neteisėtos migracijos </w:t>
      </w:r>
      <w:proofErr w:type="spellStart"/>
      <w:r w:rsidR="00212DC9" w:rsidRPr="00B838E6">
        <w:rPr>
          <w:rFonts w:ascii="Times New Roman" w:eastAsia="Times New Roman" w:hAnsi="Times New Roman" w:cs="Times New Roman"/>
          <w:color w:val="000000"/>
          <w:sz w:val="24"/>
          <w:szCs w:val="18"/>
          <w:lang w:eastAsia="lt-LT"/>
        </w:rPr>
        <w:t>instrumentalizavimas</w:t>
      </w:r>
      <w:proofErr w:type="spellEnd"/>
      <w:r w:rsidR="00212DC9" w:rsidRPr="00B838E6">
        <w:rPr>
          <w:rFonts w:ascii="Times New Roman" w:eastAsia="Times New Roman" w:hAnsi="Times New Roman" w:cs="Times New Roman"/>
          <w:color w:val="000000"/>
          <w:sz w:val="24"/>
          <w:szCs w:val="18"/>
          <w:lang w:eastAsia="lt-LT"/>
        </w:rPr>
        <w:t xml:space="preserve">. </w:t>
      </w:r>
    </w:p>
    <w:p w:rsidR="00212DC9" w:rsidRPr="00A02BD5" w:rsidRDefault="00212DC9" w:rsidP="00212DC9">
      <w:pPr>
        <w:pBdr>
          <w:top w:val="single" w:sz="4" w:space="1" w:color="auto"/>
          <w:left w:val="single" w:sz="4" w:space="4" w:color="auto"/>
          <w:bottom w:val="single" w:sz="4" w:space="1" w:color="auto"/>
          <w:right w:val="single" w:sz="4" w:space="4" w:color="auto"/>
        </w:pBdr>
        <w:jc w:val="both"/>
        <w:rPr>
          <w:rFonts w:ascii="Times New Roman" w:eastAsia="Times New Roman" w:hAnsi="Times New Roman" w:cs="Times New Roman"/>
          <w:color w:val="000000"/>
          <w:sz w:val="24"/>
          <w:szCs w:val="18"/>
          <w:lang w:eastAsia="lt-LT"/>
        </w:rPr>
      </w:pPr>
      <w:r>
        <w:rPr>
          <w:rFonts w:ascii="Times New Roman" w:eastAsia="Times New Roman" w:hAnsi="Times New Roman" w:cs="Times New Roman"/>
          <w:color w:val="000000"/>
          <w:sz w:val="24"/>
          <w:szCs w:val="18"/>
          <w:lang w:eastAsia="lt-LT"/>
        </w:rPr>
        <w:t xml:space="preserve">IPCR atliko ir tebeatlieka reikšmingą darbą COVID-19 pandemijos valdymo srityje. Atkreiptume dėmesį į veiksmingesnį laiko valdymą (pakankamas laikas pozicijų suderinimui), būtinybę išvengti dubliavimo su kitais formatais bei palaikyti nuolatinį ryšį su </w:t>
      </w:r>
      <w:proofErr w:type="spellStart"/>
      <w:r>
        <w:rPr>
          <w:rFonts w:ascii="Times New Roman" w:eastAsia="Times New Roman" w:hAnsi="Times New Roman" w:cs="Times New Roman"/>
          <w:color w:val="000000"/>
          <w:sz w:val="24"/>
          <w:szCs w:val="18"/>
          <w:lang w:eastAsia="lt-LT"/>
        </w:rPr>
        <w:t>Coreper</w:t>
      </w:r>
      <w:proofErr w:type="spellEnd"/>
      <w:r>
        <w:rPr>
          <w:rFonts w:ascii="Times New Roman" w:eastAsia="Times New Roman" w:hAnsi="Times New Roman" w:cs="Times New Roman"/>
          <w:color w:val="000000"/>
          <w:sz w:val="24"/>
          <w:szCs w:val="18"/>
          <w:lang w:eastAsia="lt-LT"/>
        </w:rPr>
        <w:t xml:space="preserve"> II.  </w:t>
      </w:r>
    </w:p>
    <w:p w:rsidR="00212DC9" w:rsidRDefault="00212DC9" w:rsidP="00212DC9"/>
    <w:p w:rsidR="00212DC9" w:rsidRPr="00F564C8" w:rsidRDefault="00212DC9" w:rsidP="00F564C8">
      <w:pPr>
        <w:pBdr>
          <w:top w:val="single" w:sz="4" w:space="1" w:color="auto"/>
          <w:left w:val="single" w:sz="4" w:space="4" w:color="auto"/>
          <w:bottom w:val="single" w:sz="4" w:space="1" w:color="auto"/>
          <w:right w:val="single" w:sz="4" w:space="4" w:color="auto"/>
        </w:pBdr>
        <w:rPr>
          <w:rFonts w:ascii="Times New Roman" w:hAnsi="Times New Roman" w:cs="Times New Roman"/>
          <w:b/>
          <w:sz w:val="24"/>
          <w:szCs w:val="24"/>
        </w:rPr>
      </w:pPr>
      <w:r w:rsidRPr="00F564C8">
        <w:rPr>
          <w:rFonts w:ascii="Times New Roman" w:hAnsi="Times New Roman" w:cs="Times New Roman"/>
          <w:b/>
          <w:sz w:val="24"/>
          <w:szCs w:val="24"/>
        </w:rPr>
        <w:t>Teisinės valstybės principas Lenkijoje: ES sutarties 7 straipsnio 1 dalis (pagrįstas pasiūlymas)</w:t>
      </w:r>
    </w:p>
    <w:p w:rsidR="00212DC9" w:rsidRPr="00F564C8" w:rsidRDefault="00212DC9" w:rsidP="00F564C8">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F564C8">
        <w:rPr>
          <w:rFonts w:ascii="Times New Roman" w:hAnsi="Times New Roman" w:cs="Times New Roman"/>
          <w:i/>
          <w:iCs/>
          <w:sz w:val="24"/>
          <w:szCs w:val="24"/>
        </w:rPr>
        <w:t>Klausymas</w:t>
      </w:r>
    </w:p>
    <w:p w:rsidR="00F564C8" w:rsidRDefault="00F564C8" w:rsidP="00F564C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b/>
          <w:u w:val="single"/>
        </w:rPr>
      </w:pPr>
    </w:p>
    <w:p w:rsidR="00F564C8" w:rsidRPr="00F564C8" w:rsidRDefault="00F564C8" w:rsidP="00F564C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r w:rsidRPr="00F564C8">
        <w:rPr>
          <w:b/>
          <w:u w:val="single"/>
        </w:rPr>
        <w:t>Kontekstas</w:t>
      </w:r>
      <w:r w:rsidR="0072716B">
        <w:rPr>
          <w:b/>
          <w:u w:val="single"/>
        </w:rPr>
        <w:t>.</w:t>
      </w:r>
      <w:r w:rsidRPr="00F564C8">
        <w:t xml:space="preserve"> BRT posėdyje vyks šeštieji oficialūs Lenkijos klausymai teisinės valstybės klausimu. Iki šiol įvykę Lenkijos klausymai: 2018 birželio 26 d., rugsėjo 18 d. ir gruodžio 11 d.), 2021 birželio 22 d., gruodžio 14 d.</w:t>
      </w:r>
    </w:p>
    <w:p w:rsidR="00A40F37" w:rsidRPr="00F564C8" w:rsidRDefault="00A40F37" w:rsidP="00A40F37">
      <w:pPr>
        <w:pStyle w:val="NormalWeb"/>
        <w:pBdr>
          <w:top w:val="single" w:sz="4" w:space="1" w:color="auto"/>
          <w:left w:val="single" w:sz="4" w:space="4" w:color="auto"/>
          <w:bottom w:val="single" w:sz="4" w:space="1" w:color="auto"/>
          <w:right w:val="single" w:sz="4" w:space="4" w:color="auto"/>
        </w:pBdr>
        <w:jc w:val="both"/>
      </w:pPr>
      <w:r w:rsidRPr="00CA2758">
        <w:rPr>
          <w:rStyle w:val="Strong"/>
          <w:b w:val="0"/>
        </w:rPr>
        <w:t>ES Sutarties 7 str. procedūra prieš Lenkiją EK pradėta 2017 m. gruodį dėl Lenkijos vykdomos teisinės sistemos reformos, didinančios teisminės valdžios priklausomumą nuo politinės valdžios. Šią procedūrą inicijavo Europos Komisija.</w:t>
      </w:r>
      <w:r w:rsidRPr="00F564C8">
        <w:t xml:space="preserve"> Komisijos teigimu, 2016-2018 m. vykdyti dvišaliai kontaktai tarp Komisijos ir Lenkijos neatnešė lauktų rezultatų dėl teisinės valstybės principo laikymosi Lenkijoje. Todėl Komisija, siekdama užtikrinti šio principo laikymąsi visoje ES, Tarybai pateikė pasiūlymą inicijuoti 7 str. procedūrą. Klausymai (angl. </w:t>
      </w:r>
      <w:proofErr w:type="spellStart"/>
      <w:r w:rsidRPr="00F564C8">
        <w:rPr>
          <w:rStyle w:val="Emphasis"/>
        </w:rPr>
        <w:t>hearing</w:t>
      </w:r>
      <w:proofErr w:type="spellEnd"/>
      <w:r w:rsidRPr="00F564C8">
        <w:rPr>
          <w:rStyle w:val="Emphasis"/>
        </w:rPr>
        <w:t>)</w:t>
      </w:r>
      <w:r w:rsidRPr="00F564C8">
        <w:t xml:space="preserve"> – būtinas 7 (1) str. procedūros etapas: prieš priimdama sprendimą, kad iškilo pavojus, jog valstybė narė gali šiurkščiai pažeisti 2 str. nurodytas vertybes, Taryba </w:t>
      </w:r>
      <w:r w:rsidRPr="00F564C8">
        <w:rPr>
          <w:rStyle w:val="Emphasis"/>
        </w:rPr>
        <w:t>išklauso</w:t>
      </w:r>
      <w:r w:rsidRPr="00F564C8">
        <w:t xml:space="preserve"> tą valstybę narę ir gali teikti jai rekomendacijas.  Klausymų metu Europos Komisija pristato nuo praėjusių klaus</w:t>
      </w:r>
      <w:r>
        <w:t>y</w:t>
      </w:r>
      <w:r w:rsidRPr="00F564C8">
        <w:t>mų valstybėje narėje įvykusius procesus, kurie tiesiogiai prisideda prie teisinės valstybės principo laikymosi. Po to suteikiamas žodis valstyb</w:t>
      </w:r>
      <w:r>
        <w:t>ei nar</w:t>
      </w:r>
      <w:r w:rsidRPr="00F564C8">
        <w:t>ei, prieš kurią yra p</w:t>
      </w:r>
      <w:r>
        <w:t>radėta 7 str. procedūra. V</w:t>
      </w:r>
      <w:r w:rsidRPr="00F564C8">
        <w:t>alstybė narė turi galimybę pateikti klausimų ir komentarų. Diskusiją apibendrina ES Tarybai pirmininkaujanti valstybė narė. Inicijuodama šią procedūrą prieš Lenkiją, Komisija pabrėžė būtinybę Lenkijai atkurti Konstitucinio teismo nepriklausomumą ir teisėtumą (užtikrinti jo teisėjų, pirmininko ir vicepirmininko teisėtą paskyrimą bei teismo nutarimų paskelbimą), pataisyti teismų sistemos reformą taip, kad ji atitiktų teismų nepriklausomumo ir valdžių atskyrimo principus, taip pat užtikrinti, kad teismų sistemos reforma būtų vykdoma glaudžiai bendradarbiaujant su teisėjais ir kitomis suinteresuotomis šalimis, įskaitant Venecijos komisiją.</w:t>
      </w:r>
    </w:p>
    <w:p w:rsidR="00A40F37" w:rsidRPr="00F564C8" w:rsidRDefault="00A40F37" w:rsidP="00A40F37">
      <w:pPr>
        <w:pStyle w:val="NormalWeb"/>
        <w:pBdr>
          <w:top w:val="single" w:sz="4" w:space="1" w:color="auto"/>
          <w:left w:val="single" w:sz="4" w:space="4" w:color="auto"/>
          <w:bottom w:val="single" w:sz="4" w:space="1" w:color="auto"/>
          <w:right w:val="single" w:sz="4" w:space="4" w:color="auto"/>
        </w:pBdr>
        <w:jc w:val="both"/>
      </w:pPr>
      <w:r w:rsidRPr="00F564C8">
        <w:lastRenderedPageBreak/>
        <w:t>Atkreiptinas dėmesys, kad dėl teisinės valstybės principo įgyvendinimo problemų E</w:t>
      </w:r>
      <w:r>
        <w:t>K</w:t>
      </w:r>
      <w:r w:rsidRPr="00F564C8">
        <w:t xml:space="preserve"> iki šiol nėra patvirtinusi Lenkijos pateikto Ekonomikos gaivinimo plano, argumentuodama tuo, kad Lenkija turi gerinti teisinės valstybės principo padėtį valstybėje (panaikinti prieštaringai vertinamą teisėjų drausmės kolegiją, pakeisti teisėjų drausmės režimą ir pradėti atleistų teisėjų grąžinimo į pareigas procesą.) Šiame kontekste, Lenkija, kartu su Vengrija, yra padavusios ieškinį ESTT, prašydamos išaiškinti, ar 2020 m. gruodžio mėn. Reglamentas dėl bendro Sąjungos biudžeto apsaugos sąlygų režimo (kuriuo numatoma susieti ES biudžetą su teisinės valstybės principo laikymusi) neprieštarauja ES teisei. </w:t>
      </w:r>
      <w:r>
        <w:t xml:space="preserve">2021 m. </w:t>
      </w:r>
      <w:bookmarkStart w:id="0" w:name="_GoBack"/>
      <w:bookmarkEnd w:id="0"/>
      <w:r w:rsidRPr="00120A80">
        <w:t>gruodžio 2 d. ESTT generalinis advokatas išplatino nuomonę, kurioje teigiama, kad ESTT turėtų atmesti šį Lenkijos ir Vengrijos ieškinį. Tikėtina, kad šia nuomone vadovausis ir ESTT sprendimas, kuris, tikėtina, bus paskelbtas 2022 m. vasario mėn.</w:t>
      </w:r>
    </w:p>
    <w:p w:rsidR="00A40F37" w:rsidRPr="00A40F37" w:rsidRDefault="00A40F37" w:rsidP="00F564C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i/>
        </w:rPr>
      </w:pPr>
      <w:r w:rsidRPr="00A40F37">
        <w:rPr>
          <w:i/>
        </w:rPr>
        <w:t xml:space="preserve">Papildoma informacija apie </w:t>
      </w:r>
      <w:r w:rsidR="00F564C8" w:rsidRPr="00A40F37">
        <w:rPr>
          <w:i/>
        </w:rPr>
        <w:t>teisinės valstybės principo padėt</w:t>
      </w:r>
      <w:r w:rsidRPr="00A40F37">
        <w:rPr>
          <w:i/>
        </w:rPr>
        <w:t>į</w:t>
      </w:r>
      <w:r w:rsidR="00F564C8" w:rsidRPr="00A40F37">
        <w:rPr>
          <w:i/>
        </w:rPr>
        <w:t xml:space="preserve"> Lenkijoje. </w:t>
      </w:r>
    </w:p>
    <w:p w:rsidR="00A40F37" w:rsidRDefault="00A40F37" w:rsidP="00F564C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p>
    <w:p w:rsidR="00F564C8" w:rsidRPr="00A40F37" w:rsidRDefault="00E57F1D" w:rsidP="00F564C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i/>
        </w:rPr>
      </w:pPr>
      <w:r w:rsidRPr="00A40F37">
        <w:rPr>
          <w:i/>
        </w:rPr>
        <w:t xml:space="preserve">2021 m. </w:t>
      </w:r>
      <w:r w:rsidRPr="00A40F37">
        <w:rPr>
          <w:b/>
          <w:i/>
        </w:rPr>
        <w:t>s</w:t>
      </w:r>
      <w:r w:rsidR="00F564C8" w:rsidRPr="00A40F37">
        <w:rPr>
          <w:rStyle w:val="Strong"/>
          <w:b w:val="0"/>
          <w:i/>
        </w:rPr>
        <w:t>palio 7 d. Lenkijos Konstitucinis Tribunolas priėmė sprendimą</w:t>
      </w:r>
      <w:r w:rsidR="00F564C8" w:rsidRPr="00A40F37">
        <w:rPr>
          <w:b/>
          <w:i/>
        </w:rPr>
        <w:t xml:space="preserve"> </w:t>
      </w:r>
      <w:r w:rsidR="00F564C8" w:rsidRPr="00A40F37">
        <w:rPr>
          <w:i/>
        </w:rPr>
        <w:t xml:space="preserve">(bylą Konstituciniame teisme iniciavo </w:t>
      </w:r>
      <w:r w:rsidR="00E1607F" w:rsidRPr="00A40F37">
        <w:rPr>
          <w:i/>
        </w:rPr>
        <w:t>Ministras P</w:t>
      </w:r>
      <w:r w:rsidR="00F564C8" w:rsidRPr="00A40F37">
        <w:rPr>
          <w:i/>
        </w:rPr>
        <w:t xml:space="preserve">irmininkas M. </w:t>
      </w:r>
      <w:proofErr w:type="spellStart"/>
      <w:r w:rsidR="00F564C8" w:rsidRPr="00A40F37">
        <w:rPr>
          <w:i/>
        </w:rPr>
        <w:t>Morawiecki</w:t>
      </w:r>
      <w:proofErr w:type="spellEnd"/>
      <w:r w:rsidR="00F564C8" w:rsidRPr="00A40F37">
        <w:rPr>
          <w:i/>
        </w:rPr>
        <w:t>), kuriame teigiama, kad atskiri ES Sutarties straipsniai (1, 2, 4 (3 d.), 19 (1)) pripažinti prieštaraujančiais Lenkijos Konstitucijai „</w:t>
      </w:r>
      <w:r w:rsidR="00F564C8" w:rsidRPr="00A40F37">
        <w:rPr>
          <w:rStyle w:val="Emphasis"/>
          <w:i w:val="0"/>
        </w:rPr>
        <w:t>ta apimti, kuria</w:t>
      </w:r>
      <w:r w:rsidR="00F564C8" w:rsidRPr="00A40F37">
        <w:rPr>
          <w:i/>
        </w:rPr>
        <w:t>“ jie interpretuojami kaip leidžiantys ES institucijoms viršyti Sutartimis joms suteiktą kompetenciją, dėl ko Lenkija, Konstitucinio Tribunolo teigimu, nebegalinti funkcionuoti kaip suvereni valstybė, jos Konstitucija faktiškai prarandanti aukščiausią galią turinčio įstatymo statusą, o nacionaliniai teismai jais remdamiesi bando nesilaikyti tam tikrų Konstitucijos nuostatų, taikyti negaliojančius teisės aktus, ginčyti ar kontroliuoti teisėjų paskyrimo teisėtumą bei nepripažinti paskirtų teisėjų. Tokia Lenkijos Konstitucinio Tribunolo pozicija yra nepriimtina Europos Komisijai, kuri pabrėžia, jog visi Europos Sąjungos Teisingumo Teismo (ESTT) sprendimai yra privalomi, todėl jų kvestionavimas pažeidžia ES teisinės valstybės principą.</w:t>
      </w:r>
    </w:p>
    <w:p w:rsidR="00F564C8" w:rsidRPr="00A40F37" w:rsidRDefault="00F564C8" w:rsidP="00F564C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i/>
        </w:rPr>
      </w:pPr>
      <w:r w:rsidRPr="00A40F37">
        <w:rPr>
          <w:rStyle w:val="Strong"/>
          <w:i/>
        </w:rPr>
        <w:t> </w:t>
      </w:r>
    </w:p>
    <w:p w:rsidR="00F564C8" w:rsidRPr="00A40F37" w:rsidRDefault="00CA2758" w:rsidP="00F564C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i/>
        </w:rPr>
      </w:pPr>
      <w:r w:rsidRPr="00A40F37">
        <w:rPr>
          <w:rStyle w:val="Strong"/>
          <w:b w:val="0"/>
          <w:i/>
        </w:rPr>
        <w:t>2021 m. s</w:t>
      </w:r>
      <w:r w:rsidR="00F564C8" w:rsidRPr="00A40F37">
        <w:rPr>
          <w:rStyle w:val="Strong"/>
          <w:b w:val="0"/>
          <w:i/>
        </w:rPr>
        <w:t>palio 27 d. ES</w:t>
      </w:r>
      <w:r w:rsidR="00E1607F" w:rsidRPr="00A40F37">
        <w:rPr>
          <w:rStyle w:val="Strong"/>
          <w:b w:val="0"/>
          <w:i/>
        </w:rPr>
        <w:t>TT</w:t>
      </w:r>
      <w:r w:rsidR="00F564C8" w:rsidRPr="00A40F37">
        <w:rPr>
          <w:rStyle w:val="Strong"/>
          <w:b w:val="0"/>
          <w:i/>
        </w:rPr>
        <w:t xml:space="preserve"> nutarė įpareigoti Lenkiją sumokėti po 1 mln. </w:t>
      </w:r>
      <w:r w:rsidR="00E1607F" w:rsidRPr="00A40F37">
        <w:rPr>
          <w:rStyle w:val="Strong"/>
          <w:b w:val="0"/>
          <w:i/>
        </w:rPr>
        <w:t>eurų</w:t>
      </w:r>
      <w:r w:rsidR="00F564C8" w:rsidRPr="00A40F37">
        <w:rPr>
          <w:rStyle w:val="Strong"/>
          <w:b w:val="0"/>
          <w:i/>
        </w:rPr>
        <w:t xml:space="preserve"> per dieną</w:t>
      </w:r>
      <w:r w:rsidR="00F564C8" w:rsidRPr="00A40F37">
        <w:rPr>
          <w:i/>
        </w:rPr>
        <w:t xml:space="preserve"> Europos Komisijai</w:t>
      </w:r>
      <w:r w:rsidR="00E1607F" w:rsidRPr="00A40F37">
        <w:rPr>
          <w:i/>
        </w:rPr>
        <w:t xml:space="preserve"> (EK)</w:t>
      </w:r>
      <w:r w:rsidR="00F564C8" w:rsidRPr="00A40F37">
        <w:rPr>
          <w:i/>
        </w:rPr>
        <w:t>, tol, kol Lenkija neįgyvendins pareigų, kylančių iš ESTT liepos 14 d. nutarties, arba kol ES</w:t>
      </w:r>
      <w:r w:rsidR="00E1607F" w:rsidRPr="00A40F37">
        <w:rPr>
          <w:i/>
        </w:rPr>
        <w:t>TT</w:t>
      </w:r>
      <w:r w:rsidR="00F564C8" w:rsidRPr="00A40F37">
        <w:rPr>
          <w:i/>
        </w:rPr>
        <w:t xml:space="preserve"> nepriims galutinio sprendimo byloje Lenkija v. Komisija (byloje </w:t>
      </w:r>
      <w:r w:rsidR="00E1607F" w:rsidRPr="00A40F37">
        <w:rPr>
          <w:i/>
        </w:rPr>
        <w:t>Lenkija</w:t>
      </w:r>
      <w:r w:rsidR="00F564C8" w:rsidRPr="00A40F37">
        <w:rPr>
          <w:i/>
        </w:rPr>
        <w:t xml:space="preserve"> padavė </w:t>
      </w:r>
      <w:r w:rsidR="00E1607F" w:rsidRPr="00A40F37">
        <w:rPr>
          <w:i/>
        </w:rPr>
        <w:t>EK</w:t>
      </w:r>
      <w:r w:rsidR="00F564C8" w:rsidRPr="00A40F37">
        <w:rPr>
          <w:i/>
        </w:rPr>
        <w:t xml:space="preserve"> į teismą siekdama panaikinti ES</w:t>
      </w:r>
      <w:r w:rsidR="00E1607F" w:rsidRPr="00A40F37">
        <w:rPr>
          <w:i/>
        </w:rPr>
        <w:t xml:space="preserve">TT </w:t>
      </w:r>
      <w:r w:rsidR="00F564C8" w:rsidRPr="00A40F37">
        <w:rPr>
          <w:i/>
        </w:rPr>
        <w:t xml:space="preserve">liepos 14 d. nutartį). </w:t>
      </w:r>
      <w:r w:rsidR="00E1607F" w:rsidRPr="00A40F37">
        <w:rPr>
          <w:i/>
        </w:rPr>
        <w:t>2021 m. l</w:t>
      </w:r>
      <w:r w:rsidR="00F564C8" w:rsidRPr="00A40F37">
        <w:rPr>
          <w:i/>
        </w:rPr>
        <w:t>iepos 14 d. ES</w:t>
      </w:r>
      <w:r w:rsidR="00E1607F" w:rsidRPr="00A40F37">
        <w:rPr>
          <w:i/>
        </w:rPr>
        <w:t>TT</w:t>
      </w:r>
      <w:r w:rsidR="00F564C8" w:rsidRPr="00A40F37">
        <w:rPr>
          <w:i/>
        </w:rPr>
        <w:t xml:space="preserve"> nutartimi Lenkij</w:t>
      </w:r>
      <w:r w:rsidR="00E1607F" w:rsidRPr="00A40F37">
        <w:rPr>
          <w:i/>
        </w:rPr>
        <w:t>a įpareigota: a</w:t>
      </w:r>
      <w:r w:rsidR="00F564C8" w:rsidRPr="00A40F37">
        <w:rPr>
          <w:i/>
        </w:rPr>
        <w:t xml:space="preserve">tsisakyti nuostatų, kuriomis Aukščiausiojo Teismo drausmės kolegija gali spręsti dėl teisėjų imuniteto panaikinimo, taip pat dėl Aukščiausiojo Teismo teisėjų įdarbinimo, socialinių </w:t>
      </w:r>
      <w:r w:rsidR="00E1607F" w:rsidRPr="00A40F37">
        <w:rPr>
          <w:i/>
        </w:rPr>
        <w:t>garantijų ir pensijos; a</w:t>
      </w:r>
      <w:r w:rsidR="00F564C8" w:rsidRPr="00A40F37">
        <w:rPr>
          <w:i/>
        </w:rPr>
        <w:t>tmesti Drausmės kolegijos jau priimtus sprendimus dėl teisėjų imu</w:t>
      </w:r>
      <w:r w:rsidR="00E1607F" w:rsidRPr="00A40F37">
        <w:rPr>
          <w:i/>
        </w:rPr>
        <w:t>niteto panaikinimo;</w:t>
      </w:r>
      <w:r w:rsidR="00F564C8" w:rsidRPr="00A40F37">
        <w:rPr>
          <w:i/>
        </w:rPr>
        <w:t xml:space="preserve"> atsisakyti teisės aktų nuostatų, trukdančių Lenkijos teisėjams tiesiogiai taikyti ES teisę. Po šios ES</w:t>
      </w:r>
      <w:r w:rsidRPr="00A40F37">
        <w:rPr>
          <w:i/>
        </w:rPr>
        <w:t xml:space="preserve">TT </w:t>
      </w:r>
      <w:r w:rsidR="00F564C8" w:rsidRPr="00A40F37">
        <w:rPr>
          <w:i/>
        </w:rPr>
        <w:t xml:space="preserve">nutarties paskelbimo, Lenkija teigė nemokėsianti jai paskirtų baudų, nes laiko ESTT teiginius nepagrįstais. </w:t>
      </w:r>
    </w:p>
    <w:p w:rsidR="00F564C8" w:rsidRPr="00A40F37" w:rsidRDefault="00F564C8" w:rsidP="00F564C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i/>
        </w:rPr>
      </w:pPr>
      <w:r w:rsidRPr="00A40F37">
        <w:rPr>
          <w:rStyle w:val="Strong"/>
          <w:i/>
        </w:rPr>
        <w:t> </w:t>
      </w:r>
    </w:p>
    <w:p w:rsidR="00F564C8" w:rsidRPr="00A40F37" w:rsidRDefault="00F564C8" w:rsidP="00F564C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i/>
        </w:rPr>
      </w:pPr>
      <w:r w:rsidRPr="00A40F37">
        <w:rPr>
          <w:rStyle w:val="Strong"/>
          <w:b w:val="0"/>
          <w:i/>
        </w:rPr>
        <w:t>2022 m. sausio 20 d. E</w:t>
      </w:r>
      <w:r w:rsidR="00E1607F" w:rsidRPr="00A40F37">
        <w:rPr>
          <w:rStyle w:val="Strong"/>
          <w:b w:val="0"/>
          <w:i/>
        </w:rPr>
        <w:t>L Lenkijai</w:t>
      </w:r>
      <w:r w:rsidRPr="00A40F37">
        <w:rPr>
          <w:rStyle w:val="Strong"/>
          <w:b w:val="0"/>
          <w:i/>
        </w:rPr>
        <w:t xml:space="preserve"> pateikė įspėjimą sumokėti apie 70 milijonų eurų baudų</w:t>
      </w:r>
      <w:r w:rsidRPr="00A40F37">
        <w:rPr>
          <w:i/>
        </w:rPr>
        <w:t xml:space="preserve"> už tai, kad ji iki šiol nepanaikino teisinės valstybės principo pažeidimų, susijusių su teisėjų nepriklausomumu, atsižvelgiant į 2021 m. spalio 27 d. ESTT sprendimą.</w:t>
      </w:r>
    </w:p>
    <w:p w:rsidR="00F564C8" w:rsidRPr="00A40F37" w:rsidRDefault="00F564C8" w:rsidP="00F564C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i/>
        </w:rPr>
      </w:pPr>
      <w:r w:rsidRPr="00A40F37">
        <w:rPr>
          <w:rStyle w:val="Strong"/>
          <w:i/>
        </w:rPr>
        <w:t> </w:t>
      </w:r>
    </w:p>
    <w:p w:rsidR="00F564C8" w:rsidRPr="00A40F37" w:rsidRDefault="00F564C8" w:rsidP="00F564C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i/>
        </w:rPr>
      </w:pPr>
      <w:r w:rsidRPr="00A40F37">
        <w:rPr>
          <w:rStyle w:val="Strong"/>
          <w:b w:val="0"/>
          <w:i/>
        </w:rPr>
        <w:t xml:space="preserve">2022 m. vasario 3 d. </w:t>
      </w:r>
      <w:r w:rsidR="00CA2758" w:rsidRPr="00A40F37">
        <w:rPr>
          <w:rStyle w:val="Strong"/>
          <w:b w:val="0"/>
          <w:i/>
        </w:rPr>
        <w:t xml:space="preserve">Lenkijos </w:t>
      </w:r>
      <w:r w:rsidRPr="00A40F37">
        <w:rPr>
          <w:rStyle w:val="Strong"/>
          <w:b w:val="0"/>
          <w:i/>
        </w:rPr>
        <w:t xml:space="preserve">Prezidentas A. </w:t>
      </w:r>
      <w:proofErr w:type="spellStart"/>
      <w:r w:rsidRPr="00A40F37">
        <w:rPr>
          <w:rStyle w:val="Strong"/>
          <w:b w:val="0"/>
          <w:i/>
        </w:rPr>
        <w:t>Duda</w:t>
      </w:r>
      <w:proofErr w:type="spellEnd"/>
      <w:r w:rsidRPr="00A40F37">
        <w:rPr>
          <w:rStyle w:val="Strong"/>
          <w:b w:val="0"/>
          <w:i/>
        </w:rPr>
        <w:t>, pasinaudodamas jam priklausančia teisėkūros teise, pateikė Aukščiausiojo teismo įstatymo pakeitimo pasiūlymą, kuriame numatoma panaikinti Aukščiausiojo teismo drausmės kolegiją</w:t>
      </w:r>
      <w:r w:rsidRPr="00A40F37">
        <w:rPr>
          <w:b/>
          <w:i/>
        </w:rPr>
        <w:t>.</w:t>
      </w:r>
      <w:r w:rsidRPr="00A40F37">
        <w:rPr>
          <w:i/>
        </w:rPr>
        <w:t xml:space="preserve"> Pakeitimu siūloma šią kolegiją pakeisti Profesinės atsakomybės rūmais. Naikinamą Drausmės kolegiją iki šiol sudarę teisėjai bus paskirstyti į kitas pareigas Aukščiausiame teisme arba galės pasirinkti išeiti į pensiją. Siūlomi Profesinės atsakomybės rūmai būtų sudaromi visiems Aukščiausiojo teismo teisėjams traukiant burtus, taip atrenkant 33 kandidatus, iš kurių Aukščiausiojo teismo pirmininkas išrinktų 11 rūmų narių. Išrinktieji teisėjai kartu dirbtų savo einamuose pareigose teisme, tačiau už papildomą atlygį taip pat dirbtų Profesinės atsakomybės rūmuose.</w:t>
      </w:r>
    </w:p>
    <w:p w:rsidR="00F564C8" w:rsidRPr="00A40F37" w:rsidRDefault="00F564C8" w:rsidP="00F564C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i/>
        </w:rPr>
      </w:pPr>
      <w:r w:rsidRPr="00A40F37">
        <w:rPr>
          <w:i/>
        </w:rPr>
        <w:lastRenderedPageBreak/>
        <w:t xml:space="preserve">Remiantis pirminiais vertinimais, šis A. </w:t>
      </w:r>
      <w:proofErr w:type="spellStart"/>
      <w:r w:rsidRPr="00A40F37">
        <w:rPr>
          <w:i/>
        </w:rPr>
        <w:t>Dudos</w:t>
      </w:r>
      <w:proofErr w:type="spellEnd"/>
      <w:r w:rsidRPr="00A40F37">
        <w:rPr>
          <w:i/>
        </w:rPr>
        <w:t xml:space="preserve"> pasiūlymas nepadės išspręsti esamų teisinės valstybės principo pažeidimų PL Aukščiausiame teisme, nes:</w:t>
      </w:r>
    </w:p>
    <w:p w:rsidR="00F564C8" w:rsidRPr="00A40F37" w:rsidRDefault="00F564C8" w:rsidP="00F564C8">
      <w:pPr>
        <w:pStyle w:val="NormalWeb"/>
        <w:numPr>
          <w:ilvl w:val="0"/>
          <w:numId w:val="4"/>
        </w:numPr>
        <w:pBdr>
          <w:top w:val="single" w:sz="4" w:space="1" w:color="auto"/>
          <w:left w:val="single" w:sz="4" w:space="4" w:color="auto"/>
          <w:bottom w:val="single" w:sz="4" w:space="1" w:color="auto"/>
          <w:right w:val="single" w:sz="4" w:space="4" w:color="auto"/>
        </w:pBdr>
        <w:spacing w:before="0" w:beforeAutospacing="0" w:after="0" w:afterAutospacing="0"/>
        <w:jc w:val="both"/>
        <w:rPr>
          <w:i/>
        </w:rPr>
      </w:pPr>
      <w:r w:rsidRPr="00A40F37">
        <w:rPr>
          <w:i/>
        </w:rPr>
        <w:t>Drausmės kolegijos panaikinimas nesprendžia problemos dėl teisėjų neprikl</w:t>
      </w:r>
      <w:r w:rsidR="00CA2758" w:rsidRPr="00A40F37">
        <w:rPr>
          <w:i/>
        </w:rPr>
        <w:t>ausomumo trūkumo Aukščiausiame T</w:t>
      </w:r>
      <w:r w:rsidRPr="00A40F37">
        <w:rPr>
          <w:i/>
        </w:rPr>
        <w:t>eisme. Didžiajai daugumai teisėjų esant paskirtų L</w:t>
      </w:r>
      <w:r w:rsidR="00E1607F" w:rsidRPr="00A40F37">
        <w:rPr>
          <w:i/>
        </w:rPr>
        <w:t>enkijos</w:t>
      </w:r>
      <w:r w:rsidRPr="00A40F37">
        <w:rPr>
          <w:i/>
        </w:rPr>
        <w:t xml:space="preserve"> teisingumo ministro, paskirto Teisės ir teisingumo (</w:t>
      </w:r>
      <w:proofErr w:type="spellStart"/>
      <w:r w:rsidRPr="00A40F37">
        <w:rPr>
          <w:i/>
        </w:rPr>
        <w:t>PiS</w:t>
      </w:r>
      <w:proofErr w:type="spellEnd"/>
      <w:r w:rsidRPr="00A40F37">
        <w:rPr>
          <w:i/>
        </w:rPr>
        <w:t xml:space="preserve">) partijos, siūlomi Profesinės atsakomybės rūmai taip pat būtų sudaryti didžiąja dauguma iš </w:t>
      </w:r>
      <w:proofErr w:type="spellStart"/>
      <w:r w:rsidRPr="00A40F37">
        <w:rPr>
          <w:i/>
        </w:rPr>
        <w:t>PiS</w:t>
      </w:r>
      <w:proofErr w:type="spellEnd"/>
      <w:r w:rsidRPr="00A40F37">
        <w:rPr>
          <w:i/>
        </w:rPr>
        <w:t xml:space="preserve"> palankių teisėjų.</w:t>
      </w:r>
    </w:p>
    <w:p w:rsidR="00F564C8" w:rsidRPr="00A40F37" w:rsidRDefault="00F564C8" w:rsidP="00F564C8">
      <w:pPr>
        <w:pStyle w:val="NormalWeb"/>
        <w:numPr>
          <w:ilvl w:val="0"/>
          <w:numId w:val="4"/>
        </w:numPr>
        <w:pBdr>
          <w:top w:val="single" w:sz="4" w:space="1" w:color="auto"/>
          <w:left w:val="single" w:sz="4" w:space="4" w:color="auto"/>
          <w:bottom w:val="single" w:sz="4" w:space="1" w:color="auto"/>
          <w:right w:val="single" w:sz="4" w:space="4" w:color="auto"/>
        </w:pBdr>
        <w:spacing w:before="0" w:beforeAutospacing="0" w:after="0" w:afterAutospacing="0"/>
        <w:jc w:val="both"/>
        <w:rPr>
          <w:i/>
        </w:rPr>
      </w:pPr>
      <w:r w:rsidRPr="00A40F37">
        <w:rPr>
          <w:i/>
        </w:rPr>
        <w:t xml:space="preserve">Nors A. </w:t>
      </w:r>
      <w:proofErr w:type="spellStart"/>
      <w:r w:rsidRPr="00A40F37">
        <w:rPr>
          <w:i/>
        </w:rPr>
        <w:t>Dudos</w:t>
      </w:r>
      <w:proofErr w:type="spellEnd"/>
      <w:r w:rsidR="0072716B" w:rsidRPr="00A40F37">
        <w:rPr>
          <w:i/>
        </w:rPr>
        <w:t xml:space="preserve"> pasiūlyme numatoma sąlyga, kad</w:t>
      </w:r>
      <w:r w:rsidRPr="00A40F37">
        <w:rPr>
          <w:i/>
        </w:rPr>
        <w:t xml:space="preserve"> kadangi Drausmės kolegija buvo laikoma šališka, jos sprendimus iš naujo galės peržiūrėti Profesinės atsakomybės rūmai. Tačiau, atsižvelgiant į potencialią naujųjų rūmų teisėjų sandarą (dauguma jų – galimai palankūs Pis), nematoma skirtumo tarp Drausmės kolegijos ir siūlomų Profesinės atsakomybės rūmų sprendimų šališkumo.</w:t>
      </w:r>
    </w:p>
    <w:p w:rsidR="00F564C8" w:rsidRPr="00A40F37" w:rsidRDefault="00F564C8" w:rsidP="00F564C8">
      <w:pPr>
        <w:pStyle w:val="NormalWeb"/>
        <w:numPr>
          <w:ilvl w:val="0"/>
          <w:numId w:val="4"/>
        </w:numPr>
        <w:pBdr>
          <w:top w:val="single" w:sz="4" w:space="1" w:color="auto"/>
          <w:left w:val="single" w:sz="4" w:space="4" w:color="auto"/>
          <w:bottom w:val="single" w:sz="4" w:space="1" w:color="auto"/>
          <w:right w:val="single" w:sz="4" w:space="4" w:color="auto"/>
        </w:pBdr>
        <w:spacing w:before="0" w:beforeAutospacing="0" w:after="0" w:afterAutospacing="0"/>
        <w:jc w:val="both"/>
        <w:rPr>
          <w:i/>
        </w:rPr>
      </w:pPr>
      <w:r w:rsidRPr="00A40F37">
        <w:rPr>
          <w:i/>
        </w:rPr>
        <w:t xml:space="preserve">Analitikai šį A. </w:t>
      </w:r>
      <w:proofErr w:type="spellStart"/>
      <w:r w:rsidRPr="00A40F37">
        <w:rPr>
          <w:i/>
        </w:rPr>
        <w:t>Duda</w:t>
      </w:r>
      <w:proofErr w:type="spellEnd"/>
      <w:r w:rsidRPr="00A40F37">
        <w:rPr>
          <w:i/>
        </w:rPr>
        <w:t xml:space="preserve"> pasiūlymą vertina kaip mėginimą </w:t>
      </w:r>
      <w:proofErr w:type="spellStart"/>
      <w:r w:rsidRPr="00A40F37">
        <w:rPr>
          <w:i/>
        </w:rPr>
        <w:t>deeskaluoti</w:t>
      </w:r>
      <w:proofErr w:type="spellEnd"/>
      <w:r w:rsidRPr="00A40F37">
        <w:rPr>
          <w:i/>
        </w:rPr>
        <w:t xml:space="preserve"> įtampą su E</w:t>
      </w:r>
      <w:r w:rsidR="00E1607F" w:rsidRPr="00A40F37">
        <w:rPr>
          <w:i/>
        </w:rPr>
        <w:t>K</w:t>
      </w:r>
      <w:r w:rsidRPr="00A40F37">
        <w:rPr>
          <w:i/>
        </w:rPr>
        <w:t xml:space="preserve">, realiai nepakeičiant status quo aukščiausiame teisme, siekiant, kad ES kuo greičiau patvirtintų </w:t>
      </w:r>
      <w:r w:rsidR="00E1607F" w:rsidRPr="00A40F37">
        <w:rPr>
          <w:i/>
        </w:rPr>
        <w:t>Lenkijai</w:t>
      </w:r>
      <w:r w:rsidRPr="00A40F37">
        <w:rPr>
          <w:i/>
        </w:rPr>
        <w:t xml:space="preserve"> skirtas RRF lėšas. Spėjama, kad įgyvendinus šį A. </w:t>
      </w:r>
      <w:proofErr w:type="spellStart"/>
      <w:r w:rsidRPr="00A40F37">
        <w:rPr>
          <w:i/>
        </w:rPr>
        <w:t>Dudos</w:t>
      </w:r>
      <w:proofErr w:type="spellEnd"/>
      <w:r w:rsidRPr="00A40F37">
        <w:rPr>
          <w:i/>
        </w:rPr>
        <w:t xml:space="preserve"> pasiūlymą, jį neužilgo sektų dar viena byla prieš </w:t>
      </w:r>
      <w:r w:rsidR="00E1607F" w:rsidRPr="00A40F37">
        <w:rPr>
          <w:i/>
        </w:rPr>
        <w:t xml:space="preserve">Lenkiją </w:t>
      </w:r>
      <w:r w:rsidRPr="00A40F37">
        <w:rPr>
          <w:i/>
        </w:rPr>
        <w:t>ESTT.</w:t>
      </w:r>
    </w:p>
    <w:p w:rsidR="00F564C8" w:rsidRPr="00A40F37" w:rsidRDefault="00F564C8" w:rsidP="00F564C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i/>
        </w:rPr>
      </w:pPr>
      <w:r w:rsidRPr="00A40F37">
        <w:rPr>
          <w:i/>
        </w:rPr>
        <w:t xml:space="preserve">Šiam A. </w:t>
      </w:r>
      <w:proofErr w:type="spellStart"/>
      <w:r w:rsidRPr="00A40F37">
        <w:rPr>
          <w:i/>
        </w:rPr>
        <w:t>Dudos</w:t>
      </w:r>
      <w:proofErr w:type="spellEnd"/>
      <w:r w:rsidRPr="00A40F37">
        <w:rPr>
          <w:i/>
        </w:rPr>
        <w:t xml:space="preserve"> pasiūlymui dar turės pritarti L</w:t>
      </w:r>
      <w:r w:rsidR="00CA2758" w:rsidRPr="00A40F37">
        <w:rPr>
          <w:i/>
        </w:rPr>
        <w:t xml:space="preserve">enkijos </w:t>
      </w:r>
      <w:r w:rsidRPr="00A40F37">
        <w:rPr>
          <w:i/>
        </w:rPr>
        <w:t>parlamentas.</w:t>
      </w:r>
    </w:p>
    <w:p w:rsidR="00F564C8" w:rsidRPr="00A40F37" w:rsidRDefault="00F564C8" w:rsidP="00F564C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i/>
        </w:rPr>
      </w:pPr>
    </w:p>
    <w:p w:rsidR="00F564C8" w:rsidRPr="00A40F37" w:rsidRDefault="00F564C8" w:rsidP="00F564C8">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i/>
        </w:rPr>
      </w:pPr>
      <w:r w:rsidRPr="00A40F37">
        <w:rPr>
          <w:i/>
        </w:rPr>
        <w:t xml:space="preserve">2022 m. vasario 8 d. EK pranešė, kad šį mėnesį sieks sumažinti Lenkijai skirtą finansavimą beveik 15 mln. eurų, tokiu būdu išieškodama baudas, skirtas PL už atsisakymą uždaryti </w:t>
      </w:r>
      <w:proofErr w:type="spellStart"/>
      <w:r w:rsidRPr="00A40F37">
        <w:rPr>
          <w:i/>
        </w:rPr>
        <w:t>Turuvo</w:t>
      </w:r>
      <w:proofErr w:type="spellEnd"/>
      <w:r w:rsidRPr="00A40F37">
        <w:rPr>
          <w:i/>
        </w:rPr>
        <w:t xml:space="preserve"> anglių kasyklą. L</w:t>
      </w:r>
      <w:r w:rsidR="00E1607F" w:rsidRPr="00A40F37">
        <w:rPr>
          <w:i/>
        </w:rPr>
        <w:t>enkijai</w:t>
      </w:r>
      <w:r w:rsidRPr="00A40F37">
        <w:rPr>
          <w:i/>
        </w:rPr>
        <w:t xml:space="preserve"> 500 tūkst. </w:t>
      </w:r>
      <w:r w:rsidR="00E1607F" w:rsidRPr="00A40F37">
        <w:rPr>
          <w:i/>
        </w:rPr>
        <w:t xml:space="preserve">eurų </w:t>
      </w:r>
      <w:r w:rsidRPr="00A40F37">
        <w:rPr>
          <w:i/>
        </w:rPr>
        <w:t>per dieną bauda buvo skirta 2021 m. rugsėjo 20 d. ESTT sprendimu, kur</w:t>
      </w:r>
      <w:r w:rsidR="00E1607F" w:rsidRPr="00A40F37">
        <w:rPr>
          <w:i/>
        </w:rPr>
        <w:t>iame</w:t>
      </w:r>
      <w:r w:rsidRPr="00A40F37">
        <w:rPr>
          <w:i/>
        </w:rPr>
        <w:t xml:space="preserve">, atsižvelgiant į </w:t>
      </w:r>
      <w:r w:rsidR="00CA2758" w:rsidRPr="00A40F37">
        <w:rPr>
          <w:i/>
        </w:rPr>
        <w:t xml:space="preserve">Čekijos </w:t>
      </w:r>
      <w:r w:rsidRPr="00A40F37">
        <w:rPr>
          <w:i/>
        </w:rPr>
        <w:t xml:space="preserve">skundą, buvo teigiama, kad </w:t>
      </w:r>
      <w:proofErr w:type="spellStart"/>
      <w:r w:rsidRPr="00A40F37">
        <w:rPr>
          <w:i/>
        </w:rPr>
        <w:t>Turuvo</w:t>
      </w:r>
      <w:proofErr w:type="spellEnd"/>
      <w:r w:rsidRPr="00A40F37">
        <w:rPr>
          <w:i/>
        </w:rPr>
        <w:t xml:space="preserve"> kasykla, esanti netoli </w:t>
      </w:r>
      <w:r w:rsidR="00E1607F" w:rsidRPr="00A40F37">
        <w:rPr>
          <w:i/>
        </w:rPr>
        <w:t xml:space="preserve">Čekijos </w:t>
      </w:r>
      <w:r w:rsidRPr="00A40F37">
        <w:rPr>
          <w:i/>
        </w:rPr>
        <w:t xml:space="preserve">sienos, </w:t>
      </w:r>
      <w:r w:rsidR="00E1607F" w:rsidRPr="00A40F37">
        <w:rPr>
          <w:i/>
        </w:rPr>
        <w:t xml:space="preserve">kelia </w:t>
      </w:r>
      <w:r w:rsidRPr="00A40F37">
        <w:rPr>
          <w:i/>
        </w:rPr>
        <w:t xml:space="preserve">pavojų už sienos esančių gyvenviečių gyventojų sveikatai, aplinkai ir pažeidžia ES teisę. Vasario 4 d. </w:t>
      </w:r>
      <w:r w:rsidR="00E1607F" w:rsidRPr="00A40F37">
        <w:rPr>
          <w:i/>
        </w:rPr>
        <w:t>Lenkijos</w:t>
      </w:r>
      <w:r w:rsidRPr="00A40F37">
        <w:rPr>
          <w:i/>
        </w:rPr>
        <w:t xml:space="preserve"> ir </w:t>
      </w:r>
      <w:r w:rsidR="00E1607F" w:rsidRPr="00A40F37">
        <w:rPr>
          <w:i/>
        </w:rPr>
        <w:t>Čekijos</w:t>
      </w:r>
      <w:r w:rsidRPr="00A40F37">
        <w:rPr>
          <w:i/>
        </w:rPr>
        <w:t xml:space="preserve"> vyriausybių vadovai sutarė dėl tolesnio kasyklos veikimo, L</w:t>
      </w:r>
      <w:r w:rsidR="00E1607F" w:rsidRPr="00A40F37">
        <w:rPr>
          <w:i/>
        </w:rPr>
        <w:t xml:space="preserve">enkijai atlyginant nuostolius, padarytus Čekijai, </w:t>
      </w:r>
      <w:r w:rsidRPr="00A40F37">
        <w:rPr>
          <w:i/>
        </w:rPr>
        <w:t>bei investuojant į aplinkosaugos projektus kasyklos apylinkėse. Tačiau ESTT teigimu, L</w:t>
      </w:r>
      <w:r w:rsidR="00A40F37" w:rsidRPr="00A40F37">
        <w:rPr>
          <w:i/>
        </w:rPr>
        <w:t>enkijos</w:t>
      </w:r>
      <w:r w:rsidRPr="00A40F37">
        <w:rPr>
          <w:i/>
        </w:rPr>
        <w:t xml:space="preserve"> nesumokėtos baudos lieka galioti, n</w:t>
      </w:r>
      <w:r w:rsidR="00A40F37" w:rsidRPr="00A40F37">
        <w:rPr>
          <w:i/>
        </w:rPr>
        <w:t>epaisant pasiekto susitarimo. Lenkija</w:t>
      </w:r>
      <w:r w:rsidRPr="00A40F37">
        <w:rPr>
          <w:i/>
        </w:rPr>
        <w:t xml:space="preserve"> teigia, kad tokius ES veiksmus mėgins apskųsti visomis turimomis teisinėmis priemonėmis.</w:t>
      </w:r>
    </w:p>
    <w:p w:rsidR="00A40F37" w:rsidRDefault="00A40F37" w:rsidP="00F564C8">
      <w:pPr>
        <w:pBdr>
          <w:top w:val="single" w:sz="4" w:space="1" w:color="auto"/>
          <w:left w:val="single" w:sz="4" w:space="4" w:color="auto"/>
          <w:bottom w:val="single" w:sz="4" w:space="1" w:color="auto"/>
          <w:right w:val="single" w:sz="4" w:space="4" w:color="auto"/>
        </w:pBdr>
        <w:jc w:val="both"/>
        <w:rPr>
          <w:rFonts w:ascii="Times New Roman" w:hAnsi="Times New Roman" w:cs="Times New Roman"/>
          <w:b/>
          <w:sz w:val="24"/>
          <w:szCs w:val="24"/>
          <w:u w:val="single"/>
        </w:rPr>
      </w:pPr>
    </w:p>
    <w:p w:rsidR="00F564C8" w:rsidRPr="00F564C8" w:rsidRDefault="00F564C8" w:rsidP="00F564C8">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F564C8">
        <w:rPr>
          <w:rFonts w:ascii="Times New Roman" w:hAnsi="Times New Roman" w:cs="Times New Roman"/>
          <w:b/>
          <w:sz w:val="24"/>
          <w:szCs w:val="24"/>
          <w:u w:val="single"/>
        </w:rPr>
        <w:t>Lietuvos pozicija</w:t>
      </w:r>
      <w:r w:rsidR="0072716B">
        <w:rPr>
          <w:rFonts w:ascii="Times New Roman" w:hAnsi="Times New Roman" w:cs="Times New Roman"/>
          <w:b/>
          <w:sz w:val="24"/>
          <w:szCs w:val="24"/>
          <w:u w:val="single"/>
        </w:rPr>
        <w:t>.</w:t>
      </w:r>
      <w:r w:rsidRPr="00F564C8">
        <w:rPr>
          <w:rFonts w:ascii="Times New Roman" w:hAnsi="Times New Roman" w:cs="Times New Roman"/>
          <w:sz w:val="24"/>
          <w:szCs w:val="24"/>
        </w:rPr>
        <w:t xml:space="preserve"> Lietuva </w:t>
      </w:r>
      <w:r w:rsidR="00CA2758">
        <w:rPr>
          <w:rFonts w:ascii="Times New Roman" w:hAnsi="Times New Roman" w:cs="Times New Roman"/>
          <w:sz w:val="24"/>
          <w:szCs w:val="24"/>
        </w:rPr>
        <w:t>nuosekliai</w:t>
      </w:r>
      <w:r w:rsidRPr="00F564C8">
        <w:rPr>
          <w:rFonts w:ascii="Times New Roman" w:hAnsi="Times New Roman" w:cs="Times New Roman"/>
          <w:sz w:val="24"/>
          <w:szCs w:val="24"/>
        </w:rPr>
        <w:t xml:space="preserve"> pasisak</w:t>
      </w:r>
      <w:r w:rsidR="00CA2758">
        <w:rPr>
          <w:rFonts w:ascii="Times New Roman" w:hAnsi="Times New Roman" w:cs="Times New Roman"/>
          <w:sz w:val="24"/>
          <w:szCs w:val="24"/>
        </w:rPr>
        <w:t>o</w:t>
      </w:r>
      <w:r w:rsidRPr="00F564C8">
        <w:rPr>
          <w:rFonts w:ascii="Times New Roman" w:hAnsi="Times New Roman" w:cs="Times New Roman"/>
          <w:sz w:val="24"/>
          <w:szCs w:val="24"/>
        </w:rPr>
        <w:t xml:space="preserve"> už teisinės valstybės principo apsaugą ES. Pabrėžiame, kad šio principo laikymasis yra visų ES valstybių narių atsakomybė. Esame sunerimę</w:t>
      </w:r>
      <w:r w:rsidR="005D328F">
        <w:rPr>
          <w:rFonts w:ascii="Times New Roman" w:hAnsi="Times New Roman" w:cs="Times New Roman"/>
          <w:sz w:val="24"/>
          <w:szCs w:val="24"/>
        </w:rPr>
        <w:t xml:space="preserve"> dėl</w:t>
      </w:r>
      <w:r w:rsidRPr="00F564C8">
        <w:rPr>
          <w:rFonts w:ascii="Times New Roman" w:hAnsi="Times New Roman" w:cs="Times New Roman"/>
          <w:sz w:val="24"/>
          <w:szCs w:val="24"/>
        </w:rPr>
        <w:t xml:space="preserve"> </w:t>
      </w:r>
      <w:r w:rsidR="005D328F" w:rsidRPr="00F564C8">
        <w:rPr>
          <w:rFonts w:ascii="Times New Roman" w:hAnsi="Times New Roman" w:cs="Times New Roman"/>
          <w:sz w:val="24"/>
          <w:szCs w:val="24"/>
        </w:rPr>
        <w:t>teisinės valstybės principo padėti</w:t>
      </w:r>
      <w:r w:rsidR="005D328F">
        <w:rPr>
          <w:rFonts w:ascii="Times New Roman" w:hAnsi="Times New Roman" w:cs="Times New Roman"/>
          <w:sz w:val="24"/>
          <w:szCs w:val="24"/>
        </w:rPr>
        <w:t xml:space="preserve">es </w:t>
      </w:r>
      <w:r w:rsidR="00CA2758">
        <w:rPr>
          <w:rFonts w:ascii="Times New Roman" w:hAnsi="Times New Roman" w:cs="Times New Roman"/>
          <w:sz w:val="24"/>
          <w:szCs w:val="24"/>
        </w:rPr>
        <w:t>Lenkijo</w:t>
      </w:r>
      <w:r w:rsidR="005D328F">
        <w:rPr>
          <w:rFonts w:ascii="Times New Roman" w:hAnsi="Times New Roman" w:cs="Times New Roman"/>
          <w:sz w:val="24"/>
          <w:szCs w:val="24"/>
        </w:rPr>
        <w:t>je</w:t>
      </w:r>
      <w:r w:rsidR="00CA2758">
        <w:rPr>
          <w:rFonts w:ascii="Times New Roman" w:hAnsi="Times New Roman" w:cs="Times New Roman"/>
          <w:sz w:val="24"/>
          <w:szCs w:val="24"/>
        </w:rPr>
        <w:t>, kuri yra Lietuvos strateginė partnerė</w:t>
      </w:r>
      <w:r w:rsidR="005D328F">
        <w:rPr>
          <w:rFonts w:ascii="Times New Roman" w:hAnsi="Times New Roman" w:cs="Times New Roman"/>
          <w:sz w:val="24"/>
          <w:szCs w:val="24"/>
        </w:rPr>
        <w:t>.</w:t>
      </w:r>
      <w:r w:rsidRPr="00F564C8">
        <w:rPr>
          <w:rFonts w:ascii="Times New Roman" w:hAnsi="Times New Roman" w:cs="Times New Roman"/>
          <w:sz w:val="24"/>
          <w:szCs w:val="24"/>
        </w:rPr>
        <w:t xml:space="preserve"> Pabrėžiame</w:t>
      </w:r>
      <w:r w:rsidR="005D328F">
        <w:rPr>
          <w:rFonts w:ascii="Times New Roman" w:hAnsi="Times New Roman" w:cs="Times New Roman"/>
          <w:sz w:val="24"/>
          <w:szCs w:val="24"/>
        </w:rPr>
        <w:t xml:space="preserve"> būtinybę</w:t>
      </w:r>
      <w:r w:rsidRPr="00F564C8">
        <w:rPr>
          <w:rFonts w:ascii="Times New Roman" w:hAnsi="Times New Roman" w:cs="Times New Roman"/>
          <w:sz w:val="24"/>
          <w:szCs w:val="24"/>
        </w:rPr>
        <w:t xml:space="preserve"> išlaikyti konstruktyvų dialogą tarp ES institucijų ir Lenkijos. </w:t>
      </w:r>
      <w:r w:rsidR="007F630E">
        <w:rPr>
          <w:rFonts w:ascii="Times New Roman" w:hAnsi="Times New Roman" w:cs="Times New Roman"/>
          <w:sz w:val="24"/>
          <w:szCs w:val="24"/>
        </w:rPr>
        <w:t xml:space="preserve">Atkreipiame dėmesį į Lenkijos pastangas spręsti teisinės valstybės problemas, tačiau akcentuojame būtinybę tai daryti </w:t>
      </w:r>
      <w:r w:rsidR="005D328F">
        <w:rPr>
          <w:rFonts w:ascii="Times New Roman" w:hAnsi="Times New Roman" w:cs="Times New Roman"/>
          <w:sz w:val="24"/>
          <w:szCs w:val="24"/>
        </w:rPr>
        <w:t xml:space="preserve">griežtai </w:t>
      </w:r>
      <w:r w:rsidR="007F630E">
        <w:rPr>
          <w:rFonts w:ascii="Times New Roman" w:hAnsi="Times New Roman" w:cs="Times New Roman"/>
          <w:sz w:val="24"/>
          <w:szCs w:val="24"/>
        </w:rPr>
        <w:t>laikantis ES teisinės valstybės principo standartų. Kartu r</w:t>
      </w:r>
      <w:r w:rsidRPr="00F564C8">
        <w:rPr>
          <w:rFonts w:ascii="Times New Roman" w:hAnsi="Times New Roman" w:cs="Times New Roman"/>
          <w:sz w:val="24"/>
          <w:szCs w:val="24"/>
        </w:rPr>
        <w:t>aginame Europos Komisiją priimti tik gerai pagrįstus ir nešališkus sprendimus Lenkijos atžvilgiu.</w:t>
      </w:r>
    </w:p>
    <w:p w:rsidR="00212DC9" w:rsidRDefault="00212DC9"/>
    <w:p w:rsidR="00212DC9" w:rsidRDefault="00212DC9"/>
    <w:p w:rsidR="00212DC9" w:rsidRPr="00F564C8" w:rsidRDefault="00212DC9" w:rsidP="00CD6ADA">
      <w:pPr>
        <w:pBdr>
          <w:top w:val="single" w:sz="4" w:space="1" w:color="auto"/>
          <w:left w:val="single" w:sz="4" w:space="4" w:color="auto"/>
          <w:bottom w:val="single" w:sz="4" w:space="1" w:color="auto"/>
          <w:right w:val="single" w:sz="4" w:space="4" w:color="auto"/>
        </w:pBdr>
        <w:rPr>
          <w:rFonts w:ascii="Times New Roman" w:hAnsi="Times New Roman" w:cs="Times New Roman"/>
          <w:b/>
          <w:sz w:val="24"/>
        </w:rPr>
      </w:pPr>
      <w:r w:rsidRPr="00F564C8">
        <w:rPr>
          <w:rFonts w:ascii="Times New Roman" w:hAnsi="Times New Roman" w:cs="Times New Roman"/>
          <w:b/>
          <w:sz w:val="24"/>
        </w:rPr>
        <w:t>Konferencija dėl Europos ateities</w:t>
      </w:r>
    </w:p>
    <w:p w:rsidR="00212DC9" w:rsidRPr="00F564C8" w:rsidRDefault="00212DC9" w:rsidP="00CD6ADA">
      <w:pPr>
        <w:pBdr>
          <w:top w:val="single" w:sz="4" w:space="1" w:color="auto"/>
          <w:left w:val="single" w:sz="4" w:space="4" w:color="auto"/>
          <w:bottom w:val="single" w:sz="4" w:space="1" w:color="auto"/>
          <w:right w:val="single" w:sz="4" w:space="4" w:color="auto"/>
        </w:pBdr>
        <w:rPr>
          <w:rFonts w:ascii="Times New Roman" w:hAnsi="Times New Roman" w:cs="Times New Roman"/>
          <w:i/>
          <w:iCs/>
          <w:sz w:val="24"/>
        </w:rPr>
      </w:pPr>
      <w:r w:rsidRPr="00F564C8">
        <w:rPr>
          <w:rFonts w:ascii="Times New Roman" w:hAnsi="Times New Roman" w:cs="Times New Roman"/>
          <w:i/>
          <w:iCs/>
          <w:sz w:val="24"/>
        </w:rPr>
        <w:t>Pirmininkaujančios valstybės narės informacija</w:t>
      </w:r>
    </w:p>
    <w:p w:rsidR="00212DC9" w:rsidRPr="00F564C8" w:rsidRDefault="00212DC9" w:rsidP="00CD6ADA">
      <w:pPr>
        <w:pBdr>
          <w:top w:val="single" w:sz="4" w:space="1" w:color="auto"/>
          <w:left w:val="single" w:sz="4" w:space="4" w:color="auto"/>
          <w:bottom w:val="single" w:sz="4" w:space="1" w:color="auto"/>
          <w:right w:val="single" w:sz="4" w:space="4" w:color="auto"/>
        </w:pBdr>
        <w:rPr>
          <w:rFonts w:ascii="Times New Roman" w:hAnsi="Times New Roman" w:cs="Times New Roman"/>
          <w:sz w:val="24"/>
        </w:rPr>
      </w:pPr>
      <w:r w:rsidRPr="00F564C8">
        <w:rPr>
          <w:rFonts w:ascii="Times New Roman" w:hAnsi="Times New Roman" w:cs="Times New Roman"/>
          <w:i/>
          <w:iCs/>
          <w:sz w:val="24"/>
        </w:rPr>
        <w:t>Pasikeitimas nuomonėmis</w:t>
      </w:r>
    </w:p>
    <w:p w:rsidR="00212DC9" w:rsidRDefault="00212DC9" w:rsidP="00CD6ADA">
      <w:pPr>
        <w:pBdr>
          <w:top w:val="single" w:sz="4" w:space="1" w:color="auto"/>
          <w:left w:val="single" w:sz="4" w:space="4" w:color="auto"/>
          <w:bottom w:val="single" w:sz="4" w:space="1" w:color="auto"/>
          <w:right w:val="single" w:sz="4" w:space="4" w:color="auto"/>
        </w:pBdr>
      </w:pPr>
    </w:p>
    <w:p w:rsidR="00CD6ADA" w:rsidRDefault="00CD6ADA" w:rsidP="00CD6ADA">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color w:val="000000"/>
        </w:rPr>
      </w:pPr>
      <w:r w:rsidRPr="007618CE">
        <w:rPr>
          <w:b/>
          <w:bCs/>
          <w:u w:val="single"/>
        </w:rPr>
        <w:t>Kontekstas</w:t>
      </w:r>
      <w:r w:rsidR="0072716B">
        <w:rPr>
          <w:b/>
          <w:bCs/>
          <w:u w:val="single"/>
        </w:rPr>
        <w:t>.</w:t>
      </w:r>
      <w:r w:rsidR="0072716B">
        <w:rPr>
          <w:b/>
          <w:bCs/>
        </w:rPr>
        <w:t xml:space="preserve"> </w:t>
      </w:r>
      <w:r w:rsidR="0072716B">
        <w:rPr>
          <w:color w:val="000000"/>
        </w:rPr>
        <w:t>Pirmininkaujanti valstybė</w:t>
      </w:r>
      <w:r>
        <w:rPr>
          <w:color w:val="000000"/>
        </w:rPr>
        <w:t xml:space="preserve"> informuos apie Konferencijos dėl Europos ateities (</w:t>
      </w:r>
      <w:proofErr w:type="spellStart"/>
      <w:r>
        <w:rPr>
          <w:color w:val="000000"/>
        </w:rPr>
        <w:t>CoFE</w:t>
      </w:r>
      <w:proofErr w:type="spellEnd"/>
      <w:r>
        <w:rPr>
          <w:color w:val="000000"/>
        </w:rPr>
        <w:t xml:space="preserve">) esamą padėtį, pristatys atnaujintą </w:t>
      </w:r>
      <w:proofErr w:type="spellStart"/>
      <w:r>
        <w:rPr>
          <w:color w:val="000000"/>
        </w:rPr>
        <w:t>CoFE</w:t>
      </w:r>
      <w:proofErr w:type="spellEnd"/>
      <w:r>
        <w:rPr>
          <w:color w:val="000000"/>
        </w:rPr>
        <w:t xml:space="preserve"> kalendorių bei </w:t>
      </w:r>
      <w:proofErr w:type="spellStart"/>
      <w:r>
        <w:rPr>
          <w:color w:val="000000"/>
        </w:rPr>
        <w:t>CoFE</w:t>
      </w:r>
      <w:proofErr w:type="spellEnd"/>
      <w:r>
        <w:rPr>
          <w:color w:val="000000"/>
        </w:rPr>
        <w:t xml:space="preserve"> tolimesnę eigą. Diskusijos BRT vyks Pirm</w:t>
      </w:r>
      <w:r w:rsidR="0072716B">
        <w:rPr>
          <w:color w:val="000000"/>
        </w:rPr>
        <w:t>ininkaujančios Prancūzijos</w:t>
      </w:r>
      <w:r>
        <w:rPr>
          <w:color w:val="000000"/>
        </w:rPr>
        <w:t xml:space="preserve"> išplatinto diskusinio dokumento pagrindu</w:t>
      </w:r>
      <w:r w:rsidR="0072716B">
        <w:rPr>
          <w:color w:val="000000"/>
        </w:rPr>
        <w:t xml:space="preserve"> (dokumentas kol kas negautas)</w:t>
      </w:r>
      <w:r>
        <w:rPr>
          <w:color w:val="000000"/>
        </w:rPr>
        <w:t xml:space="preserve">. </w:t>
      </w:r>
      <w:r w:rsidR="0072716B">
        <w:rPr>
          <w:color w:val="000000"/>
        </w:rPr>
        <w:t>Tikimasi, kad šiame</w:t>
      </w:r>
      <w:r>
        <w:rPr>
          <w:color w:val="000000"/>
        </w:rPr>
        <w:t xml:space="preserve"> dokumente bus </w:t>
      </w:r>
      <w:r w:rsidR="0072716B">
        <w:rPr>
          <w:color w:val="000000"/>
        </w:rPr>
        <w:t>paaiškintas ga</w:t>
      </w:r>
      <w:r>
        <w:rPr>
          <w:color w:val="000000"/>
        </w:rPr>
        <w:t>lutinių išvadų parengimo proces</w:t>
      </w:r>
      <w:r w:rsidR="0072716B">
        <w:rPr>
          <w:color w:val="000000"/>
        </w:rPr>
        <w:t>as</w:t>
      </w:r>
      <w:r>
        <w:rPr>
          <w:color w:val="000000"/>
        </w:rPr>
        <w:t xml:space="preserve"> ir taisykl</w:t>
      </w:r>
      <w:r w:rsidR="0072716B">
        <w:rPr>
          <w:color w:val="000000"/>
        </w:rPr>
        <w:t>ės.</w:t>
      </w:r>
    </w:p>
    <w:p w:rsidR="00CD6ADA" w:rsidRDefault="00CD6ADA" w:rsidP="00CD6ADA">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b/>
          <w:bCs/>
        </w:rPr>
      </w:pPr>
      <w:r w:rsidRPr="007618CE">
        <w:rPr>
          <w:b/>
          <w:bCs/>
          <w:color w:val="000000"/>
        </w:rPr>
        <w:t>S</w:t>
      </w:r>
      <w:r>
        <w:rPr>
          <w:b/>
          <w:bCs/>
          <w:color w:val="000000"/>
        </w:rPr>
        <w:t>varbiausi įvykiai</w:t>
      </w:r>
      <w:r w:rsidR="0072716B">
        <w:rPr>
          <w:b/>
          <w:bCs/>
          <w:color w:val="000000"/>
        </w:rPr>
        <w:t>.</w:t>
      </w:r>
      <w:r>
        <w:rPr>
          <w:b/>
          <w:bCs/>
          <w:color w:val="000000"/>
        </w:rPr>
        <w:t xml:space="preserve"> </w:t>
      </w:r>
      <w:r w:rsidR="0072716B" w:rsidRPr="0072716B">
        <w:rPr>
          <w:bCs/>
          <w:color w:val="000000"/>
        </w:rPr>
        <w:t>Sekanti</w:t>
      </w:r>
      <w:r w:rsidRPr="0072716B">
        <w:rPr>
          <w:bCs/>
          <w:color w:val="000000"/>
        </w:rPr>
        <w:t xml:space="preserve"> Plenarinė sesija vyks kovo </w:t>
      </w:r>
      <w:r w:rsidRPr="0072716B">
        <w:rPr>
          <w:bCs/>
          <w:color w:val="000000"/>
          <w:lang w:val="en-US"/>
        </w:rPr>
        <w:t xml:space="preserve">11-12 d. </w:t>
      </w:r>
      <w:proofErr w:type="spellStart"/>
      <w:r w:rsidRPr="0072716B">
        <w:rPr>
          <w:bCs/>
          <w:color w:val="000000"/>
          <w:lang w:val="en-US"/>
        </w:rPr>
        <w:t>Kitos</w:t>
      </w:r>
      <w:proofErr w:type="spellEnd"/>
      <w:r w:rsidRPr="0072716B">
        <w:rPr>
          <w:bCs/>
          <w:color w:val="000000"/>
          <w:lang w:val="en-US"/>
        </w:rPr>
        <w:t xml:space="preserve"> </w:t>
      </w:r>
      <w:proofErr w:type="spellStart"/>
      <w:r w:rsidRPr="0072716B">
        <w:rPr>
          <w:bCs/>
          <w:color w:val="000000"/>
          <w:lang w:val="en-US"/>
        </w:rPr>
        <w:t>Plenarin</w:t>
      </w:r>
      <w:proofErr w:type="spellEnd"/>
      <w:r w:rsidRPr="0072716B">
        <w:rPr>
          <w:bCs/>
          <w:color w:val="000000"/>
        </w:rPr>
        <w:t xml:space="preserve">ės sesijos: </w:t>
      </w:r>
      <w:r w:rsidRPr="0072716B">
        <w:rPr>
          <w:color w:val="000000"/>
        </w:rPr>
        <w:t>kovo</w:t>
      </w:r>
      <w:r>
        <w:rPr>
          <w:color w:val="000000"/>
        </w:rPr>
        <w:t xml:space="preserve"> 25-26 d., balandžio 8-9 d. ir balandžio 29-30 d. bei baigiamasis politinis renginys gegužės 9 d. </w:t>
      </w:r>
      <w:r>
        <w:rPr>
          <w:b/>
          <w:bCs/>
          <w:color w:val="000000"/>
        </w:rPr>
        <w:t xml:space="preserve"> </w:t>
      </w:r>
      <w:r>
        <w:rPr>
          <w:color w:val="000000"/>
        </w:rPr>
        <w:t xml:space="preserve">Iki kovo 11-12 d. pasibaigs likę dveji Europos piliečių forumai ES rolės pasaulyje, migracijos, ekonomikos, </w:t>
      </w:r>
      <w:proofErr w:type="spellStart"/>
      <w:r>
        <w:rPr>
          <w:color w:val="000000"/>
        </w:rPr>
        <w:t>skaitmenizacijos</w:t>
      </w:r>
      <w:proofErr w:type="spellEnd"/>
      <w:r>
        <w:rPr>
          <w:color w:val="000000"/>
        </w:rPr>
        <w:t xml:space="preserve">, socialinės politikos, švietimo, kultūros klausimais. Šių forumų rezultatai bus pristatomi kovo </w:t>
      </w:r>
      <w:r>
        <w:rPr>
          <w:color w:val="000000"/>
          <w:lang w:val="en-US"/>
        </w:rPr>
        <w:t xml:space="preserve">11-12 d. </w:t>
      </w:r>
      <w:proofErr w:type="spellStart"/>
      <w:r>
        <w:rPr>
          <w:color w:val="000000"/>
          <w:lang w:val="en-US"/>
        </w:rPr>
        <w:t>Plenarin</w:t>
      </w:r>
      <w:r>
        <w:rPr>
          <w:color w:val="000000"/>
        </w:rPr>
        <w:t>ėje</w:t>
      </w:r>
      <w:proofErr w:type="spellEnd"/>
      <w:r>
        <w:rPr>
          <w:color w:val="000000"/>
        </w:rPr>
        <w:t xml:space="preserve"> sesijoje.</w:t>
      </w:r>
    </w:p>
    <w:p w:rsidR="00CD6ADA" w:rsidRPr="00CD6ADA" w:rsidRDefault="00CD6ADA" w:rsidP="00CD6ADA">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b/>
          <w:bCs/>
        </w:rPr>
      </w:pPr>
    </w:p>
    <w:p w:rsidR="00CD6ADA" w:rsidRPr="007618CE" w:rsidRDefault="00CD6ADA" w:rsidP="0072716B">
      <w:pPr>
        <w:pBdr>
          <w:top w:val="single" w:sz="4" w:space="1" w:color="auto"/>
          <w:left w:val="single" w:sz="4" w:space="4" w:color="auto"/>
          <w:bottom w:val="single" w:sz="4" w:space="1" w:color="auto"/>
          <w:right w:val="single" w:sz="4" w:space="4" w:color="auto"/>
        </w:pBdr>
        <w:jc w:val="both"/>
        <w:rPr>
          <w:rFonts w:ascii="Times New Roman" w:hAnsi="Times New Roman" w:cs="Times New Roman"/>
          <w:b/>
          <w:bCs/>
          <w:sz w:val="24"/>
          <w:szCs w:val="24"/>
        </w:rPr>
      </w:pPr>
      <w:r w:rsidRPr="007618CE">
        <w:rPr>
          <w:rFonts w:ascii="Times New Roman" w:hAnsi="Times New Roman" w:cs="Times New Roman"/>
          <w:b/>
          <w:bCs/>
          <w:sz w:val="24"/>
          <w:szCs w:val="24"/>
          <w:u w:val="single"/>
        </w:rPr>
        <w:t>Lietuvos pozicija</w:t>
      </w:r>
      <w:r w:rsidR="0072716B">
        <w:rPr>
          <w:rFonts w:ascii="Times New Roman" w:hAnsi="Times New Roman" w:cs="Times New Roman"/>
          <w:b/>
          <w:bCs/>
          <w:sz w:val="24"/>
          <w:szCs w:val="24"/>
          <w:u w:val="single"/>
        </w:rPr>
        <w:t>.</w:t>
      </w:r>
      <w:r>
        <w:rPr>
          <w:rFonts w:ascii="Times New Roman" w:hAnsi="Times New Roman" w:cs="Times New Roman"/>
          <w:b/>
          <w:bCs/>
          <w:sz w:val="24"/>
          <w:szCs w:val="24"/>
        </w:rPr>
        <w:t xml:space="preserve"> </w:t>
      </w:r>
      <w:r w:rsidR="0072716B">
        <w:rPr>
          <w:rFonts w:ascii="Times New Roman" w:hAnsi="Times New Roman" w:cs="Times New Roman"/>
          <w:color w:val="000000"/>
          <w:sz w:val="24"/>
          <w:szCs w:val="24"/>
        </w:rPr>
        <w:t>Lietuva r</w:t>
      </w:r>
      <w:r>
        <w:rPr>
          <w:rFonts w:ascii="Times New Roman" w:hAnsi="Times New Roman" w:cs="Times New Roman"/>
          <w:color w:val="000000"/>
          <w:sz w:val="24"/>
          <w:szCs w:val="24"/>
        </w:rPr>
        <w:t xml:space="preserve">emia Konferencijos dėl Europos ateities iniciatyvą, kuri yra unikali platforma su Lietuvos ir visos ES piliečiais kalbėtis apie mūsų bendrą ateitį. Tikimės, kad ji prisidės prie ES vienybės stiprinimo. Nuosekliai akcentuojame, kad didžiausias dėmesys turėtų būti  kreipiamas į ES Strateginės darbotvarkės įgyvendinimą, atsigavimą po pandemijos, ES žaliąjį kursą ir </w:t>
      </w:r>
      <w:proofErr w:type="spellStart"/>
      <w:r>
        <w:rPr>
          <w:rFonts w:ascii="Times New Roman" w:hAnsi="Times New Roman" w:cs="Times New Roman"/>
          <w:color w:val="000000"/>
          <w:sz w:val="24"/>
          <w:szCs w:val="24"/>
        </w:rPr>
        <w:t>skaitmenizacijos</w:t>
      </w:r>
      <w:proofErr w:type="spellEnd"/>
      <w:r>
        <w:rPr>
          <w:rFonts w:ascii="Times New Roman" w:hAnsi="Times New Roman" w:cs="Times New Roman"/>
          <w:color w:val="000000"/>
          <w:sz w:val="24"/>
          <w:szCs w:val="24"/>
        </w:rPr>
        <w:t xml:space="preserve"> plėtrą bei jos keliamus iššūkius. Kartu pabrėžiame būtinybę stiprinti ES atsaką į migracinį spaudimą ir demokratijos, įskaitant teisės viršenybę, stiprinimą tiek ES viduje, tiek ir kaimynystėje bei pasaulyje. </w:t>
      </w:r>
    </w:p>
    <w:p w:rsidR="0072716B" w:rsidRDefault="0072716B" w:rsidP="0072716B">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000000"/>
          <w:sz w:val="24"/>
          <w:szCs w:val="24"/>
        </w:rPr>
      </w:pPr>
    </w:p>
    <w:p w:rsidR="00CD6ADA" w:rsidRDefault="00CD6ADA" w:rsidP="0072716B">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Manome, kad dabar svarbu susitarti dėl likusio </w:t>
      </w:r>
      <w:proofErr w:type="spellStart"/>
      <w:r>
        <w:rPr>
          <w:rFonts w:ascii="Times New Roman" w:hAnsi="Times New Roman" w:cs="Times New Roman"/>
          <w:color w:val="000000"/>
          <w:sz w:val="24"/>
          <w:szCs w:val="24"/>
        </w:rPr>
        <w:t>CoFE</w:t>
      </w:r>
      <w:proofErr w:type="spellEnd"/>
      <w:r>
        <w:rPr>
          <w:rFonts w:ascii="Times New Roman" w:hAnsi="Times New Roman" w:cs="Times New Roman"/>
          <w:color w:val="000000"/>
          <w:sz w:val="24"/>
          <w:szCs w:val="24"/>
        </w:rPr>
        <w:t xml:space="preserve"> proceso eigos, tikimės, kad pirmininkaujanti Prancūzija pateiks atnaujintą Konferencijos dėl Europos ateities kalendorių bei atsakys į likusius organizacinius klausimus, ypatingai dėl Konferencijos išvadų parengimo. </w:t>
      </w:r>
    </w:p>
    <w:p w:rsidR="0072716B" w:rsidRDefault="0072716B" w:rsidP="0072716B">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000000"/>
          <w:sz w:val="24"/>
          <w:szCs w:val="24"/>
        </w:rPr>
      </w:pPr>
    </w:p>
    <w:p w:rsidR="00CD6ADA" w:rsidRDefault="00CD6ADA" w:rsidP="0072716B">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1F497D"/>
          <w:sz w:val="24"/>
          <w:szCs w:val="24"/>
        </w:rPr>
      </w:pPr>
      <w:r>
        <w:rPr>
          <w:rFonts w:ascii="Times New Roman" w:hAnsi="Times New Roman" w:cs="Times New Roman"/>
          <w:color w:val="000000"/>
          <w:sz w:val="24"/>
          <w:szCs w:val="24"/>
        </w:rPr>
        <w:t xml:space="preserve">Pasisakome, kad Konferencija dėl Europos ateities turi pasibaigti </w:t>
      </w:r>
      <w:r>
        <w:rPr>
          <w:rFonts w:ascii="Times New Roman" w:hAnsi="Times New Roman" w:cs="Times New Roman"/>
          <w:color w:val="000000"/>
          <w:sz w:val="24"/>
          <w:szCs w:val="24"/>
          <w:lang w:val="en-US"/>
        </w:rPr>
        <w:t xml:space="preserve">2022 m. </w:t>
      </w:r>
      <w:proofErr w:type="spellStart"/>
      <w:proofErr w:type="gramStart"/>
      <w:r>
        <w:rPr>
          <w:rFonts w:ascii="Times New Roman" w:hAnsi="Times New Roman" w:cs="Times New Roman"/>
          <w:color w:val="000000"/>
          <w:sz w:val="24"/>
          <w:szCs w:val="24"/>
          <w:lang w:val="en-US"/>
        </w:rPr>
        <w:t>gegu</w:t>
      </w:r>
      <w:r>
        <w:rPr>
          <w:rFonts w:ascii="Times New Roman" w:hAnsi="Times New Roman" w:cs="Times New Roman"/>
          <w:color w:val="000000"/>
          <w:sz w:val="24"/>
          <w:szCs w:val="24"/>
        </w:rPr>
        <w:t>žės</w:t>
      </w:r>
      <w:proofErr w:type="spellEnd"/>
      <w:proofErr w:type="gramEnd"/>
      <w:r>
        <w:rPr>
          <w:rFonts w:ascii="Times New Roman" w:hAnsi="Times New Roman" w:cs="Times New Roman"/>
          <w:color w:val="000000"/>
          <w:sz w:val="24"/>
          <w:szCs w:val="24"/>
        </w:rPr>
        <w:t xml:space="preserve"> 9 d., kuomet bus išplatintas Vykdančiosios Tarybos parengta galutinė Konferencijos ataskaita, kuri bus paskelbta viešai Skaitmeninėje platformoje bei pateikta Pirmininkaujančiam Trio (Europos Parlamento, ES Tarybos ir Europos Komisijos vadovams) ir Konferencijoje dalyvaujančioms ES institucijoms. Kaip numatyta Konferencijos dėl Europos ateities darbo taisyklių </w:t>
      </w:r>
      <w:r>
        <w:rPr>
          <w:rFonts w:ascii="Times New Roman" w:hAnsi="Times New Roman" w:cs="Times New Roman"/>
          <w:color w:val="000000"/>
          <w:sz w:val="24"/>
          <w:szCs w:val="24"/>
          <w:lang w:val="en-US"/>
        </w:rPr>
        <w:t xml:space="preserve">18 </w:t>
      </w:r>
      <w:proofErr w:type="spellStart"/>
      <w:r>
        <w:rPr>
          <w:rFonts w:ascii="Times New Roman" w:hAnsi="Times New Roman" w:cs="Times New Roman"/>
          <w:color w:val="000000"/>
          <w:sz w:val="24"/>
          <w:szCs w:val="24"/>
          <w:lang w:val="en-US"/>
        </w:rPr>
        <w:t>skyriuje</w:t>
      </w:r>
      <w:proofErr w:type="spellEnd"/>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ši ataskaita turi būti parengta remiantis Konferencijos dėl Europos ateities plenarinių sesijų pasiūlymais bei bendradarbiaujant su Plenarine sesija. Nuosekliai pasisakome, kad Konferencija dėl Europos ateities yra ne sprendimų priėmimo organas, tačiau įrankis konsultuotis su piliečiais jiems rūpimais klausimais. Todėl manome, kad galutinė rezultatų ataskaita turi būti maksimaliai skaidri ir apimantis visus piliečių pasiūlymus,  kurie buvo pateikti tiek Europos piliečių forumuose, tiek nacionaliniuose renginiuose. Atsargiai vertintumėme </w:t>
      </w:r>
      <w:proofErr w:type="spellStart"/>
      <w:r>
        <w:rPr>
          <w:rFonts w:ascii="Times New Roman" w:hAnsi="Times New Roman" w:cs="Times New Roman"/>
          <w:color w:val="000000"/>
          <w:sz w:val="24"/>
          <w:szCs w:val="24"/>
        </w:rPr>
        <w:t>ketinimus</w:t>
      </w:r>
      <w:proofErr w:type="spellEnd"/>
      <w:r>
        <w:rPr>
          <w:rFonts w:ascii="Times New Roman" w:hAnsi="Times New Roman" w:cs="Times New Roman"/>
          <w:color w:val="000000"/>
          <w:sz w:val="24"/>
          <w:szCs w:val="24"/>
        </w:rPr>
        <w:t xml:space="preserve"> piliečių idėjas interpretuoti ar jų pagrindu parengti politinius siūlymus. Atkreipiame dėmesį, kad Konferencijos galutinės išvados/rekomendacijos negali būti privalomo pobūdžio. Remiantis Konferencijos dėl Europos ateities darbo taisyklių </w:t>
      </w:r>
      <w:r>
        <w:rPr>
          <w:rFonts w:ascii="Times New Roman" w:hAnsi="Times New Roman" w:cs="Times New Roman"/>
          <w:color w:val="000000"/>
          <w:sz w:val="24"/>
          <w:szCs w:val="24"/>
          <w:lang w:val="en-US"/>
        </w:rPr>
        <w:t xml:space="preserve">23 </w:t>
      </w:r>
      <w:proofErr w:type="spellStart"/>
      <w:r>
        <w:rPr>
          <w:rFonts w:ascii="Times New Roman" w:hAnsi="Times New Roman" w:cs="Times New Roman"/>
          <w:color w:val="000000"/>
          <w:sz w:val="24"/>
          <w:szCs w:val="24"/>
          <w:lang w:val="en-US"/>
        </w:rPr>
        <w:t>straipsniu</w:t>
      </w:r>
      <w:proofErr w:type="spellEnd"/>
      <w:r>
        <w:rPr>
          <w:rFonts w:ascii="Times New Roman" w:hAnsi="Times New Roman" w:cs="Times New Roman"/>
          <w:color w:val="000000"/>
          <w:sz w:val="24"/>
          <w:szCs w:val="24"/>
          <w:lang w:val="en-US"/>
        </w:rPr>
        <w:t xml:space="preserve">, </w:t>
      </w:r>
      <w:proofErr w:type="spellStart"/>
      <w:r>
        <w:rPr>
          <w:rFonts w:ascii="Times New Roman" w:hAnsi="Times New Roman" w:cs="Times New Roman"/>
          <w:color w:val="000000"/>
          <w:sz w:val="24"/>
          <w:szCs w:val="24"/>
          <w:lang w:val="en-US"/>
        </w:rPr>
        <w:t>kiekviena</w:t>
      </w:r>
      <w:proofErr w:type="spellEnd"/>
      <w:r>
        <w:rPr>
          <w:rFonts w:ascii="Times New Roman" w:hAnsi="Times New Roman" w:cs="Times New Roman"/>
          <w:color w:val="000000"/>
          <w:sz w:val="24"/>
          <w:szCs w:val="24"/>
          <w:lang w:val="en-US"/>
        </w:rPr>
        <w:t xml:space="preserve"> </w:t>
      </w:r>
      <w:r w:rsidRPr="00F17D55">
        <w:rPr>
          <w:rFonts w:ascii="Times New Roman" w:hAnsi="Times New Roman" w:cs="Times New Roman"/>
          <w:color w:val="000000"/>
          <w:sz w:val="24"/>
          <w:szCs w:val="24"/>
        </w:rPr>
        <w:t xml:space="preserve">institucija atskirai </w:t>
      </w:r>
      <w:r>
        <w:rPr>
          <w:rFonts w:ascii="Times New Roman" w:hAnsi="Times New Roman" w:cs="Times New Roman"/>
          <w:color w:val="000000"/>
          <w:sz w:val="24"/>
          <w:szCs w:val="24"/>
        </w:rPr>
        <w:t xml:space="preserve">įsivertina, kaip atsižvelgti į rekomendacijas savo kompetencijų srityse ir gerbiant ES sutartis. </w:t>
      </w:r>
      <w:r w:rsidRPr="00F17D55">
        <w:rPr>
          <w:rFonts w:ascii="Times New Roman" w:hAnsi="Times New Roman" w:cs="Times New Roman"/>
          <w:color w:val="000000"/>
          <w:sz w:val="24"/>
          <w:szCs w:val="24"/>
        </w:rPr>
        <w:t>Todėl tikimės, kad po Konferencijos pabaigos jos ataskaita bus išnagrinėta visose institucijose, siekiant įvertinti galimybes įgyvendinti pateiktus siūlymus, o į svarstymų rezultatus bus atsižvelgta planuojant ES teisėkūrą ateinančiais metais.</w:t>
      </w:r>
    </w:p>
    <w:p w:rsidR="00CD6ADA" w:rsidRDefault="00CD6ADA" w:rsidP="0072716B">
      <w:pPr>
        <w:pBdr>
          <w:top w:val="single" w:sz="4" w:space="1" w:color="auto"/>
          <w:left w:val="single" w:sz="4" w:space="4" w:color="auto"/>
          <w:bottom w:val="single" w:sz="4" w:space="1" w:color="auto"/>
          <w:right w:val="single" w:sz="4" w:space="4" w:color="auto"/>
        </w:pBdr>
        <w:jc w:val="both"/>
        <w:rPr>
          <w:rFonts w:ascii="Times New Roman" w:hAnsi="Times New Roman" w:cs="Times New Roman"/>
          <w:color w:val="1F497D"/>
          <w:sz w:val="24"/>
          <w:szCs w:val="24"/>
        </w:rPr>
      </w:pPr>
    </w:p>
    <w:p w:rsidR="00CD6ADA" w:rsidRPr="00CD6ADA" w:rsidRDefault="0072716B" w:rsidP="00CD6ADA">
      <w:pPr>
        <w:pBdr>
          <w:top w:val="single" w:sz="4" w:space="1" w:color="auto"/>
          <w:left w:val="single" w:sz="4" w:space="4" w:color="auto"/>
          <w:bottom w:val="single" w:sz="4" w:space="1" w:color="auto"/>
          <w:right w:val="single" w:sz="4" w:space="4" w:color="auto"/>
        </w:pBdr>
        <w:rPr>
          <w:rFonts w:ascii="Times New Roman" w:hAnsi="Times New Roman" w:cs="Times New Roman"/>
          <w:i/>
          <w:color w:val="000000"/>
          <w:sz w:val="24"/>
          <w:szCs w:val="24"/>
        </w:rPr>
      </w:pPr>
      <w:r>
        <w:rPr>
          <w:rFonts w:ascii="Times New Roman" w:hAnsi="Times New Roman" w:cs="Times New Roman"/>
          <w:i/>
          <w:color w:val="000000"/>
          <w:sz w:val="24"/>
          <w:szCs w:val="24"/>
        </w:rPr>
        <w:t>Prireikus</w:t>
      </w:r>
      <w:r w:rsidR="00CD6ADA" w:rsidRPr="00CD6ADA">
        <w:rPr>
          <w:rFonts w:ascii="Times New Roman" w:hAnsi="Times New Roman" w:cs="Times New Roman"/>
          <w:i/>
          <w:color w:val="000000"/>
          <w:sz w:val="24"/>
          <w:szCs w:val="24"/>
        </w:rPr>
        <w:t xml:space="preserve"> pozicija gali būti atnaujinama, gavus Pirm</w:t>
      </w:r>
      <w:r>
        <w:rPr>
          <w:rFonts w:ascii="Times New Roman" w:hAnsi="Times New Roman" w:cs="Times New Roman"/>
          <w:i/>
          <w:color w:val="000000"/>
          <w:sz w:val="24"/>
          <w:szCs w:val="24"/>
        </w:rPr>
        <w:t xml:space="preserve">ininkaujančios </w:t>
      </w:r>
      <w:r w:rsidR="00CD6ADA" w:rsidRPr="00CD6ADA">
        <w:rPr>
          <w:rFonts w:ascii="Times New Roman" w:hAnsi="Times New Roman" w:cs="Times New Roman"/>
          <w:i/>
          <w:color w:val="000000"/>
          <w:sz w:val="24"/>
          <w:szCs w:val="24"/>
        </w:rPr>
        <w:t>valstybės parengtą diskusinį dokumentą.</w:t>
      </w:r>
    </w:p>
    <w:p w:rsidR="00212DC9" w:rsidRPr="00C87F4A" w:rsidRDefault="00212DC9" w:rsidP="00CD6ADA">
      <w:pPr>
        <w:pBdr>
          <w:top w:val="single" w:sz="4" w:space="1" w:color="auto"/>
          <w:left w:val="single" w:sz="4" w:space="4" w:color="auto"/>
          <w:bottom w:val="single" w:sz="4" w:space="1" w:color="auto"/>
          <w:right w:val="single" w:sz="4" w:space="4" w:color="auto"/>
        </w:pBdr>
        <w:rPr>
          <w:lang w:val="en-US"/>
        </w:rPr>
      </w:pPr>
    </w:p>
    <w:sectPr w:rsidR="00212DC9" w:rsidRPr="00C87F4A">
      <w:foot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175" w:rsidRDefault="00D51175" w:rsidP="009B46C4">
      <w:r>
        <w:separator/>
      </w:r>
    </w:p>
  </w:endnote>
  <w:endnote w:type="continuationSeparator" w:id="0">
    <w:p w:rsidR="00D51175" w:rsidRDefault="00D51175" w:rsidP="009B4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pitch w:val="default"/>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113185074"/>
      <w:docPartObj>
        <w:docPartGallery w:val="Page Numbers (Bottom of Page)"/>
        <w:docPartUnique/>
      </w:docPartObj>
    </w:sdtPr>
    <w:sdtEndPr>
      <w:rPr>
        <w:noProof/>
      </w:rPr>
    </w:sdtEndPr>
    <w:sdtContent>
      <w:p w:rsidR="009B46C4" w:rsidRPr="009B46C4" w:rsidRDefault="009B46C4">
        <w:pPr>
          <w:pStyle w:val="Footer"/>
          <w:jc w:val="right"/>
          <w:rPr>
            <w:rFonts w:ascii="Times New Roman" w:hAnsi="Times New Roman" w:cs="Times New Roman"/>
            <w:sz w:val="24"/>
          </w:rPr>
        </w:pPr>
        <w:r w:rsidRPr="009B46C4">
          <w:rPr>
            <w:rFonts w:ascii="Times New Roman" w:hAnsi="Times New Roman" w:cs="Times New Roman"/>
            <w:sz w:val="24"/>
          </w:rPr>
          <w:fldChar w:fldCharType="begin"/>
        </w:r>
        <w:r w:rsidRPr="009B46C4">
          <w:rPr>
            <w:rFonts w:ascii="Times New Roman" w:hAnsi="Times New Roman" w:cs="Times New Roman"/>
            <w:sz w:val="24"/>
          </w:rPr>
          <w:instrText xml:space="preserve"> PAGE   \* MERGEFORMAT </w:instrText>
        </w:r>
        <w:r w:rsidRPr="009B46C4">
          <w:rPr>
            <w:rFonts w:ascii="Times New Roman" w:hAnsi="Times New Roman" w:cs="Times New Roman"/>
            <w:sz w:val="24"/>
          </w:rPr>
          <w:fldChar w:fldCharType="separate"/>
        </w:r>
        <w:r w:rsidR="00120A80">
          <w:rPr>
            <w:rFonts w:ascii="Times New Roman" w:hAnsi="Times New Roman" w:cs="Times New Roman"/>
            <w:noProof/>
            <w:sz w:val="24"/>
          </w:rPr>
          <w:t>4</w:t>
        </w:r>
        <w:r w:rsidRPr="009B46C4">
          <w:rPr>
            <w:rFonts w:ascii="Times New Roman" w:hAnsi="Times New Roman" w:cs="Times New Roman"/>
            <w:noProof/>
            <w:sz w:val="24"/>
          </w:rPr>
          <w:fldChar w:fldCharType="end"/>
        </w:r>
      </w:p>
    </w:sdtContent>
  </w:sdt>
  <w:p w:rsidR="009B46C4" w:rsidRPr="009B46C4" w:rsidRDefault="009B46C4">
    <w:pPr>
      <w:pStyle w:val="Footer"/>
      <w:rPr>
        <w:rFonts w:ascii="Times New Roman" w:hAnsi="Times New Roman"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175" w:rsidRDefault="00D51175" w:rsidP="009B46C4">
      <w:r>
        <w:separator/>
      </w:r>
    </w:p>
  </w:footnote>
  <w:footnote w:type="continuationSeparator" w:id="0">
    <w:p w:rsidR="00D51175" w:rsidRDefault="00D51175" w:rsidP="009B4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B0281"/>
    <w:multiLevelType w:val="hybridMultilevel"/>
    <w:tmpl w:val="83CEDFB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39EB35B0"/>
    <w:multiLevelType w:val="multilevel"/>
    <w:tmpl w:val="6E7278F8"/>
    <w:lvl w:ilvl="0">
      <w:start w:val="2"/>
      <w:numFmt w:val="decimal"/>
      <w:lvlText w:val="%1."/>
      <w:lvlJc w:val="left"/>
      <w:pPr>
        <w:tabs>
          <w:tab w:val="num" w:pos="260"/>
        </w:tabs>
        <w:ind w:left="260" w:hanging="260"/>
      </w:pPr>
      <w:rPr>
        <w:rFonts w:ascii="Times New Roman" w:eastAsia="Times New Roman" w:hAnsi="Times New Roman" w:cs="Times New Roman" w:hint="default"/>
        <w:b/>
        <w:color w:val="000000"/>
        <w:position w:val="0"/>
        <w:sz w:val="24"/>
        <w:szCs w:val="24"/>
        <w:u w:color="000000"/>
        <w:lang w:val="en-US"/>
      </w:rPr>
    </w:lvl>
    <w:lvl w:ilvl="1">
      <w:start w:val="1"/>
      <w:numFmt w:val="decimal"/>
      <w:lvlText w:val="%1.%2."/>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2">
      <w:start w:val="1"/>
      <w:numFmt w:val="decimal"/>
      <w:lvlText w:val="%3."/>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3">
      <w:start w:val="1"/>
      <w:numFmt w:val="decimal"/>
      <w:lvlText w:val="%4."/>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4">
      <w:start w:val="1"/>
      <w:numFmt w:val="decimal"/>
      <w:lvlText w:val="%5."/>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5">
      <w:start w:val="1"/>
      <w:numFmt w:val="decimal"/>
      <w:lvlText w:val="%6."/>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6">
      <w:start w:val="1"/>
      <w:numFmt w:val="decimal"/>
      <w:lvlText w:val="%7."/>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7">
      <w:start w:val="1"/>
      <w:numFmt w:val="decimal"/>
      <w:lvlText w:val="%8."/>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lvl w:ilvl="8">
      <w:start w:val="1"/>
      <w:numFmt w:val="decimal"/>
      <w:lvlText w:val="%9."/>
      <w:lvlJc w:val="left"/>
      <w:pPr>
        <w:tabs>
          <w:tab w:val="num" w:pos="120"/>
        </w:tabs>
        <w:ind w:left="0" w:firstLine="0"/>
      </w:pPr>
      <w:rPr>
        <w:rFonts w:ascii="Times New Roman Bold" w:eastAsia="Times New Roman Bold" w:hAnsi="Times New Roman Bold" w:cs="Times New Roman Bold" w:hint="default"/>
        <w:color w:val="000000"/>
        <w:position w:val="0"/>
        <w:sz w:val="24"/>
        <w:szCs w:val="24"/>
        <w:u w:color="000000"/>
        <w:lang w:val="en-US"/>
      </w:rPr>
    </w:lvl>
  </w:abstractNum>
  <w:abstractNum w:abstractNumId="2" w15:restartNumberingAfterBreak="0">
    <w:nsid w:val="3ACE272B"/>
    <w:multiLevelType w:val="hybridMultilevel"/>
    <w:tmpl w:val="181E9FA6"/>
    <w:lvl w:ilvl="0" w:tplc="3ABC8F32">
      <w:start w:val="202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1977E2B"/>
    <w:multiLevelType w:val="hybridMultilevel"/>
    <w:tmpl w:val="1B4223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DC9"/>
    <w:rsid w:val="00103902"/>
    <w:rsid w:val="00120A80"/>
    <w:rsid w:val="00212DC9"/>
    <w:rsid w:val="0040041B"/>
    <w:rsid w:val="004310F5"/>
    <w:rsid w:val="005D328F"/>
    <w:rsid w:val="0072716B"/>
    <w:rsid w:val="007E466E"/>
    <w:rsid w:val="007F630E"/>
    <w:rsid w:val="009B46C4"/>
    <w:rsid w:val="00A40F37"/>
    <w:rsid w:val="00C87F4A"/>
    <w:rsid w:val="00CA2758"/>
    <w:rsid w:val="00CD6ADA"/>
    <w:rsid w:val="00D51175"/>
    <w:rsid w:val="00E1607F"/>
    <w:rsid w:val="00E57F1D"/>
    <w:rsid w:val="00EB2291"/>
    <w:rsid w:val="00F20571"/>
    <w:rsid w:val="00F564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EBF7A4-B4EE-4F0B-AA94-660B9D9CA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DC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Dot pt,F5 List Paragraph,List Paragraph1,Recommendation,List Paragraph11,Numerowanie,Kolorowa lista — akcent 11,Akapit z listą1,Listaszerű bekezdés1,List Paragraph à moi,List Paragraph (numbered (a)),References"/>
    <w:basedOn w:val="Normal"/>
    <w:link w:val="ListParagraphChar"/>
    <w:uiPriority w:val="34"/>
    <w:qFormat/>
    <w:rsid w:val="00212DC9"/>
    <w:pPr>
      <w:spacing w:after="160" w:line="252" w:lineRule="auto"/>
      <w:ind w:left="720"/>
      <w:contextualSpacing/>
    </w:pPr>
  </w:style>
  <w:style w:type="character" w:customStyle="1" w:styleId="ListParagraphChar">
    <w:name w:val="List Paragraph Char"/>
    <w:aliases w:val="Akapit z listą Char,Dot pt Char,F5 List Paragraph Char,List Paragraph1 Char,Recommendation Char,List Paragraph11 Char,Numerowanie Char,Kolorowa lista — akcent 11 Char,Akapit z listą1 Char,Listaszerű bekezdés1 Char,References Char"/>
    <w:basedOn w:val="DefaultParagraphFont"/>
    <w:link w:val="ListParagraph"/>
    <w:uiPriority w:val="34"/>
    <w:locked/>
    <w:rsid w:val="00212DC9"/>
    <w:rPr>
      <w:rFonts w:ascii="Calibri" w:hAnsi="Calibri" w:cs="Calibri"/>
    </w:rPr>
  </w:style>
  <w:style w:type="table" w:customStyle="1" w:styleId="TableGrid1">
    <w:name w:val="Table Grid1"/>
    <w:basedOn w:val="TableNormal"/>
    <w:next w:val="TableGrid"/>
    <w:uiPriority w:val="59"/>
    <w:rsid w:val="00212DC9"/>
    <w:pPr>
      <w:spacing w:after="0" w:line="240" w:lineRule="auto"/>
    </w:pPr>
    <w:rPr>
      <w:rFonts w:ascii="Times New Roman" w:eastAsia="Calibri"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12D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564C8"/>
    <w:pPr>
      <w:spacing w:before="100" w:beforeAutospacing="1" w:after="100" w:afterAutospacing="1"/>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F564C8"/>
    <w:rPr>
      <w:b/>
      <w:bCs/>
    </w:rPr>
  </w:style>
  <w:style w:type="character" w:styleId="Emphasis">
    <w:name w:val="Emphasis"/>
    <w:basedOn w:val="DefaultParagraphFont"/>
    <w:uiPriority w:val="20"/>
    <w:qFormat/>
    <w:rsid w:val="00F564C8"/>
    <w:rPr>
      <w:i/>
      <w:iCs/>
    </w:rPr>
  </w:style>
  <w:style w:type="paragraph" w:styleId="Header">
    <w:name w:val="header"/>
    <w:basedOn w:val="Normal"/>
    <w:link w:val="HeaderChar"/>
    <w:uiPriority w:val="99"/>
    <w:unhideWhenUsed/>
    <w:rsid w:val="009B46C4"/>
    <w:pPr>
      <w:tabs>
        <w:tab w:val="center" w:pos="4819"/>
        <w:tab w:val="right" w:pos="9638"/>
      </w:tabs>
    </w:pPr>
  </w:style>
  <w:style w:type="character" w:customStyle="1" w:styleId="HeaderChar">
    <w:name w:val="Header Char"/>
    <w:basedOn w:val="DefaultParagraphFont"/>
    <w:link w:val="Header"/>
    <w:uiPriority w:val="99"/>
    <w:rsid w:val="009B46C4"/>
    <w:rPr>
      <w:rFonts w:ascii="Calibri" w:hAnsi="Calibri" w:cs="Calibri"/>
    </w:rPr>
  </w:style>
  <w:style w:type="paragraph" w:styleId="Footer">
    <w:name w:val="footer"/>
    <w:basedOn w:val="Normal"/>
    <w:link w:val="FooterChar"/>
    <w:uiPriority w:val="99"/>
    <w:unhideWhenUsed/>
    <w:rsid w:val="009B46C4"/>
    <w:pPr>
      <w:tabs>
        <w:tab w:val="center" w:pos="4819"/>
        <w:tab w:val="right" w:pos="9638"/>
      </w:tabs>
    </w:pPr>
  </w:style>
  <w:style w:type="character" w:customStyle="1" w:styleId="FooterChar">
    <w:name w:val="Footer Char"/>
    <w:basedOn w:val="DefaultParagraphFont"/>
    <w:link w:val="Footer"/>
    <w:uiPriority w:val="99"/>
    <w:rsid w:val="009B46C4"/>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433751">
      <w:bodyDiv w:val="1"/>
      <w:marLeft w:val="0"/>
      <w:marRight w:val="0"/>
      <w:marTop w:val="0"/>
      <w:marBottom w:val="0"/>
      <w:divBdr>
        <w:top w:val="none" w:sz="0" w:space="0" w:color="auto"/>
        <w:left w:val="none" w:sz="0" w:space="0" w:color="auto"/>
        <w:bottom w:val="none" w:sz="0" w:space="0" w:color="auto"/>
        <w:right w:val="none" w:sz="0" w:space="0" w:color="auto"/>
      </w:divBdr>
    </w:div>
    <w:div w:id="2105029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10945</Words>
  <Characters>6239</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Dominykas Goda</dc:creator>
  <cp:keywords/>
  <dc:description/>
  <cp:lastModifiedBy>Dominykas Goda</cp:lastModifiedBy>
  <cp:revision>3</cp:revision>
  <dcterms:created xsi:type="dcterms:W3CDTF">2022-02-10T13:46:00Z</dcterms:created>
  <dcterms:modified xsi:type="dcterms:W3CDTF">2022-02-10T14:49:00Z</dcterms:modified>
</cp:coreProperties>
</file>