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DC46" w14:textId="1E32463C" w:rsidR="00FD29FB" w:rsidRPr="00E81374" w:rsidRDefault="00FD29FB" w:rsidP="00F704C2">
      <w:pPr>
        <w:autoSpaceDE w:val="0"/>
        <w:autoSpaceDN w:val="0"/>
        <w:adjustRightInd w:val="0"/>
        <w:spacing w:after="0" w:line="240" w:lineRule="auto"/>
        <w:jc w:val="center"/>
        <w:rPr>
          <w:rFonts w:ascii="Times New Roman" w:hAnsi="Times New Roman" w:cs="Times New Roman"/>
          <w:b/>
          <w:bCs/>
        </w:rPr>
      </w:pPr>
      <w:r w:rsidRPr="00E81374">
        <w:rPr>
          <w:rFonts w:ascii="Times New Roman" w:hAnsi="Times New Roman" w:cs="Times New Roman"/>
          <w:b/>
          <w:bCs/>
        </w:rPr>
        <w:t>DERINIMO PAŽYMA</w:t>
      </w:r>
    </w:p>
    <w:p w14:paraId="2DA8A1E2" w14:textId="77C8298B" w:rsidR="00FD29FB" w:rsidRDefault="00CB7990" w:rsidP="00CB7990">
      <w:pPr>
        <w:autoSpaceDE w:val="0"/>
        <w:autoSpaceDN w:val="0"/>
        <w:adjustRightInd w:val="0"/>
        <w:spacing w:after="0" w:line="240" w:lineRule="auto"/>
        <w:jc w:val="center"/>
        <w:rPr>
          <w:rFonts w:ascii="Times New Roman" w:eastAsia="Andale Sans UI" w:hAnsi="Times New Roman" w:cs="Times New Roman"/>
          <w:b/>
          <w:bCs/>
          <w:lang w:bidi="en-US"/>
        </w:rPr>
      </w:pPr>
      <w:r w:rsidRPr="00CB7990">
        <w:rPr>
          <w:rFonts w:ascii="Times New Roman" w:eastAsia="Andale Sans UI" w:hAnsi="Times New Roman" w:cs="Times New Roman"/>
          <w:b/>
          <w:bCs/>
          <w:lang w:bidi="en-US"/>
        </w:rPr>
        <w:t>DĖL LIETUVOS RESPUBLIKOS VYRIAUSYBĖS 2014 M. KOVO 12 D. NUTARIMO NR. 243 „DĖL TEISĖS AKTŲ PROJEKTŲ ANTIKORUPCINIO VERTINIMO TAISYKLIŲ PATVIRTINIMO“ PAKEITIMO PROJEKTO</w:t>
      </w:r>
    </w:p>
    <w:p w14:paraId="54EEA11F" w14:textId="77777777" w:rsidR="00CB7990" w:rsidRPr="00E81374" w:rsidRDefault="00CB7990" w:rsidP="00E81374">
      <w:pPr>
        <w:autoSpaceDE w:val="0"/>
        <w:autoSpaceDN w:val="0"/>
        <w:adjustRightInd w:val="0"/>
        <w:spacing w:after="0" w:line="240" w:lineRule="auto"/>
        <w:jc w:val="both"/>
        <w:rPr>
          <w:rFonts w:ascii="Times New Roman" w:hAnsi="Times New Roman" w:cs="Times New Roman"/>
          <w:b/>
          <w:bCs/>
        </w:rPr>
      </w:pPr>
    </w:p>
    <w:tbl>
      <w:tblPr>
        <w:tblStyle w:val="Lentelstinklelis"/>
        <w:tblW w:w="14911" w:type="dxa"/>
        <w:tblInd w:w="-174" w:type="dxa"/>
        <w:tblLook w:val="04A0" w:firstRow="1" w:lastRow="0" w:firstColumn="1" w:lastColumn="0" w:noHBand="0" w:noVBand="1"/>
      </w:tblPr>
      <w:tblGrid>
        <w:gridCol w:w="1020"/>
        <w:gridCol w:w="6662"/>
        <w:gridCol w:w="7229"/>
      </w:tblGrid>
      <w:tr w:rsidR="00FD29FB" w:rsidRPr="00E723F3" w14:paraId="374FE896" w14:textId="77777777" w:rsidTr="00E723F3">
        <w:tc>
          <w:tcPr>
            <w:tcW w:w="1020" w:type="dxa"/>
            <w:vAlign w:val="center"/>
          </w:tcPr>
          <w:p w14:paraId="39571BEA" w14:textId="77777777" w:rsidR="00FD29FB" w:rsidRPr="00E723F3" w:rsidRDefault="00FD29FB" w:rsidP="00E723F3">
            <w:pPr>
              <w:jc w:val="center"/>
              <w:rPr>
                <w:rFonts w:ascii="Times New Roman" w:eastAsia="Times New Roman" w:hAnsi="Times New Roman" w:cs="Times New Roman"/>
                <w:b/>
                <w:bCs/>
              </w:rPr>
            </w:pPr>
            <w:r w:rsidRPr="00E723F3">
              <w:rPr>
                <w:rFonts w:ascii="Times New Roman" w:eastAsia="Times New Roman" w:hAnsi="Times New Roman" w:cs="Times New Roman"/>
                <w:b/>
                <w:bCs/>
              </w:rPr>
              <w:t>Eil. Nr.</w:t>
            </w:r>
          </w:p>
        </w:tc>
        <w:tc>
          <w:tcPr>
            <w:tcW w:w="6662" w:type="dxa"/>
            <w:vAlign w:val="center"/>
          </w:tcPr>
          <w:p w14:paraId="5DD6BE6A" w14:textId="77777777" w:rsidR="00FD29FB" w:rsidRPr="00E723F3" w:rsidRDefault="00FD29FB" w:rsidP="00E723F3">
            <w:pPr>
              <w:jc w:val="center"/>
              <w:rPr>
                <w:rFonts w:ascii="Times New Roman" w:eastAsia="Times New Roman" w:hAnsi="Times New Roman" w:cs="Times New Roman"/>
                <w:b/>
                <w:bCs/>
              </w:rPr>
            </w:pPr>
            <w:r w:rsidRPr="00E723F3">
              <w:rPr>
                <w:rFonts w:ascii="Times New Roman" w:eastAsia="Times New Roman" w:hAnsi="Times New Roman" w:cs="Times New Roman"/>
                <w:b/>
                <w:bCs/>
                <w:caps/>
              </w:rPr>
              <w:t>p</w:t>
            </w:r>
            <w:r w:rsidRPr="00E723F3">
              <w:rPr>
                <w:rFonts w:ascii="Times New Roman" w:eastAsia="Times New Roman" w:hAnsi="Times New Roman" w:cs="Times New Roman"/>
                <w:b/>
                <w:bCs/>
              </w:rPr>
              <w:t>astabos ir pasiūlymai</w:t>
            </w:r>
          </w:p>
        </w:tc>
        <w:tc>
          <w:tcPr>
            <w:tcW w:w="7229" w:type="dxa"/>
            <w:vAlign w:val="center"/>
          </w:tcPr>
          <w:p w14:paraId="1253E39E" w14:textId="77777777" w:rsidR="00FD29FB" w:rsidRPr="00E723F3" w:rsidRDefault="00FD29FB" w:rsidP="00E723F3">
            <w:pPr>
              <w:ind w:right="72"/>
              <w:jc w:val="center"/>
              <w:rPr>
                <w:rFonts w:ascii="Times New Roman" w:hAnsi="Times New Roman" w:cs="Times New Roman"/>
                <w:b/>
              </w:rPr>
            </w:pPr>
            <w:r w:rsidRPr="00E723F3">
              <w:rPr>
                <w:rFonts w:ascii="Times New Roman" w:eastAsia="Times New Roman" w:hAnsi="Times New Roman" w:cs="Times New Roman"/>
                <w:b/>
                <w:bCs/>
                <w:caps/>
              </w:rPr>
              <w:t>A</w:t>
            </w:r>
            <w:r w:rsidRPr="00E723F3">
              <w:rPr>
                <w:rFonts w:ascii="Times New Roman" w:eastAsia="Times New Roman" w:hAnsi="Times New Roman" w:cs="Times New Roman"/>
                <w:b/>
                <w:bCs/>
              </w:rPr>
              <w:t>rgumentai, kodėl neatsižvelgta arba atsižvelgta iš dalies į suinteresuotos institucijos pastabas ir pasiūlymus</w:t>
            </w:r>
          </w:p>
        </w:tc>
      </w:tr>
      <w:tr w:rsidR="00846011" w:rsidRPr="00E723F3" w14:paraId="1B4936D0" w14:textId="77777777" w:rsidTr="00E723F3">
        <w:tc>
          <w:tcPr>
            <w:tcW w:w="14911" w:type="dxa"/>
            <w:gridSpan w:val="3"/>
            <w:shd w:val="pct10" w:color="auto" w:fill="auto"/>
          </w:tcPr>
          <w:p w14:paraId="75B7317D" w14:textId="58E8EE00" w:rsidR="00846011" w:rsidRPr="00E723F3" w:rsidRDefault="00846011" w:rsidP="00E81374">
            <w:pPr>
              <w:jc w:val="both"/>
              <w:rPr>
                <w:rFonts w:ascii="Times New Roman" w:hAnsi="Times New Roman" w:cs="Times New Roman"/>
                <w:b/>
                <w:bCs/>
              </w:rPr>
            </w:pPr>
            <w:bookmarkStart w:id="0" w:name="_Hlk19619326"/>
            <w:r w:rsidRPr="00E723F3">
              <w:rPr>
                <w:rFonts w:ascii="Times New Roman" w:hAnsi="Times New Roman" w:cs="Times New Roman"/>
                <w:b/>
                <w:bCs/>
              </w:rPr>
              <w:t xml:space="preserve">Lietuvos </w:t>
            </w:r>
            <w:r w:rsidR="004B664C" w:rsidRPr="00E723F3">
              <w:rPr>
                <w:rFonts w:ascii="Times New Roman" w:hAnsi="Times New Roman" w:cs="Times New Roman"/>
                <w:b/>
                <w:bCs/>
              </w:rPr>
              <w:t>savivaldybių asociacija</w:t>
            </w:r>
          </w:p>
          <w:p w14:paraId="1711A73B" w14:textId="1D3DD055" w:rsidR="00846011" w:rsidRPr="00E723F3" w:rsidRDefault="00846011" w:rsidP="00E81374">
            <w:pPr>
              <w:jc w:val="both"/>
              <w:rPr>
                <w:rFonts w:ascii="Times New Roman" w:hAnsi="Times New Roman" w:cs="Times New Roman"/>
              </w:rPr>
            </w:pPr>
            <w:r w:rsidRPr="00E723F3">
              <w:rPr>
                <w:rFonts w:ascii="Times New Roman" w:hAnsi="Times New Roman" w:cs="Times New Roman"/>
                <w:b/>
                <w:bCs/>
              </w:rPr>
              <w:t xml:space="preserve">Išvada </w:t>
            </w:r>
            <w:r w:rsidR="004B664C" w:rsidRPr="00E723F3">
              <w:rPr>
                <w:rFonts w:ascii="Times New Roman" w:hAnsi="Times New Roman" w:cs="Times New Roman"/>
                <w:b/>
                <w:bCs/>
              </w:rPr>
              <w:t xml:space="preserve">2021-11-17 </w:t>
            </w:r>
            <w:r w:rsidR="00522B8F" w:rsidRPr="00E723F3">
              <w:rPr>
                <w:rFonts w:ascii="Times New Roman" w:hAnsi="Times New Roman" w:cs="Times New Roman"/>
                <w:b/>
                <w:bCs/>
              </w:rPr>
              <w:t xml:space="preserve">Nr. </w:t>
            </w:r>
            <w:r w:rsidR="004B664C" w:rsidRPr="00E723F3">
              <w:rPr>
                <w:rFonts w:ascii="Times New Roman" w:hAnsi="Times New Roman" w:cs="Times New Roman"/>
                <w:b/>
                <w:bCs/>
              </w:rPr>
              <w:t>(11)-SD-780</w:t>
            </w:r>
          </w:p>
        </w:tc>
      </w:tr>
      <w:tr w:rsidR="00D14A1D" w:rsidRPr="00E723F3" w14:paraId="067FB6B3" w14:textId="77777777" w:rsidTr="00E723F3">
        <w:tc>
          <w:tcPr>
            <w:tcW w:w="1020" w:type="dxa"/>
          </w:tcPr>
          <w:p w14:paraId="25C5FEAC" w14:textId="4ECA0760" w:rsidR="00D14A1D" w:rsidRPr="00E723F3" w:rsidRDefault="00296428">
            <w:pPr>
              <w:jc w:val="both"/>
              <w:rPr>
                <w:rFonts w:ascii="Times New Roman" w:hAnsi="Times New Roman" w:cs="Times New Roman"/>
              </w:rPr>
            </w:pPr>
            <w:r w:rsidRPr="00E723F3">
              <w:rPr>
                <w:rFonts w:ascii="Times New Roman" w:hAnsi="Times New Roman" w:cs="Times New Roman"/>
              </w:rPr>
              <w:t>1.</w:t>
            </w:r>
            <w:r w:rsidR="004679D8" w:rsidRPr="00E723F3">
              <w:rPr>
                <w:rFonts w:ascii="Times New Roman" w:hAnsi="Times New Roman" w:cs="Times New Roman"/>
              </w:rPr>
              <w:t xml:space="preserve"> </w:t>
            </w:r>
          </w:p>
        </w:tc>
        <w:tc>
          <w:tcPr>
            <w:tcW w:w="6662" w:type="dxa"/>
          </w:tcPr>
          <w:p w14:paraId="37C7E114" w14:textId="79BF2B87" w:rsidR="00D14A1D" w:rsidRPr="00E723F3" w:rsidRDefault="004B664C" w:rsidP="00590CD9">
            <w:pPr>
              <w:jc w:val="both"/>
              <w:rPr>
                <w:rFonts w:ascii="Times New Roman" w:hAnsi="Times New Roman" w:cs="Times New Roman"/>
              </w:rPr>
            </w:pPr>
            <w:r w:rsidRPr="00E723F3">
              <w:rPr>
                <w:rFonts w:ascii="Times New Roman" w:hAnsi="Times New Roman" w:cs="Times New Roman"/>
              </w:rPr>
              <w:t>Siūlome Nutarimo projekte numatyti, kada pakartotinis antikorupcinis teisės akto vertinimas neatliekamas (pvz., atliekant teisės akto techninio pobūdžio pakeitimus, pakartotinis antikorupcinis vertinimas neatliekamas).</w:t>
            </w:r>
          </w:p>
        </w:tc>
        <w:tc>
          <w:tcPr>
            <w:tcW w:w="7229" w:type="dxa"/>
          </w:tcPr>
          <w:p w14:paraId="01792A94" w14:textId="2709D418" w:rsidR="00D14A1D" w:rsidRPr="00E723F3" w:rsidRDefault="00781793" w:rsidP="00E81374">
            <w:pPr>
              <w:jc w:val="both"/>
              <w:rPr>
                <w:rFonts w:ascii="Times New Roman" w:hAnsi="Times New Roman" w:cs="Times New Roman"/>
              </w:rPr>
            </w:pPr>
            <w:r w:rsidRPr="00E723F3">
              <w:rPr>
                <w:rFonts w:ascii="Times New Roman" w:hAnsi="Times New Roman" w:cs="Times New Roman"/>
              </w:rPr>
              <w:t>N</w:t>
            </w:r>
            <w:r w:rsidR="00D70FBD" w:rsidRPr="00E723F3">
              <w:rPr>
                <w:rFonts w:ascii="Times New Roman" w:hAnsi="Times New Roman" w:cs="Times New Roman"/>
              </w:rPr>
              <w:t>eatsižvelgt</w:t>
            </w:r>
            <w:r w:rsidRPr="00E723F3">
              <w:rPr>
                <w:rFonts w:ascii="Times New Roman" w:hAnsi="Times New Roman" w:cs="Times New Roman"/>
              </w:rPr>
              <w:t>a</w:t>
            </w:r>
            <w:r w:rsidR="007F6356" w:rsidRPr="00E723F3">
              <w:rPr>
                <w:rFonts w:ascii="Times New Roman" w:hAnsi="Times New Roman" w:cs="Times New Roman"/>
              </w:rPr>
              <w:t>.</w:t>
            </w:r>
          </w:p>
          <w:p w14:paraId="698384E6" w14:textId="77777777" w:rsidR="00383B1A" w:rsidRPr="00E723F3" w:rsidRDefault="00383B1A" w:rsidP="00E81374">
            <w:pPr>
              <w:jc w:val="both"/>
              <w:rPr>
                <w:rFonts w:ascii="Times New Roman" w:hAnsi="Times New Roman" w:cs="Times New Roman"/>
              </w:rPr>
            </w:pPr>
          </w:p>
          <w:p w14:paraId="2B9E2E77" w14:textId="0ADA4DD0" w:rsidR="001A6CE4" w:rsidRPr="00E723F3" w:rsidRDefault="00F27728" w:rsidP="001A6CE4">
            <w:pPr>
              <w:jc w:val="both"/>
              <w:rPr>
                <w:rFonts w:ascii="Times New Roman" w:hAnsi="Times New Roman" w:cs="Times New Roman"/>
              </w:rPr>
            </w:pPr>
            <w:r w:rsidRPr="00E723F3">
              <w:rPr>
                <w:rFonts w:ascii="Times New Roman" w:hAnsi="Times New Roman" w:cs="Times New Roman"/>
              </w:rPr>
              <w:t>Kai kuri</w:t>
            </w:r>
            <w:r w:rsidR="005B033E" w:rsidRPr="00E723F3">
              <w:rPr>
                <w:rFonts w:ascii="Times New Roman" w:hAnsi="Times New Roman" w:cs="Times New Roman"/>
              </w:rPr>
              <w:t>ais</w:t>
            </w:r>
            <w:r w:rsidRPr="00E723F3">
              <w:rPr>
                <w:rFonts w:ascii="Times New Roman" w:hAnsi="Times New Roman" w:cs="Times New Roman"/>
              </w:rPr>
              <w:t xml:space="preserve"> atvejais teisės akto projekto techninio pobūdžio pakeitimai gali keisti teisės akto projektu siūlomos teisės normos prasmę, turinį, tuo pačiu gali lemti  korupcijos rizikos veiksnio atsiradimą, todėl tikslinga, kad pakeistas (papildytas) teisės akto projekto nuostatas įvertintų </w:t>
            </w:r>
            <w:r w:rsidRPr="00E723F3">
              <w:rPr>
                <w:rFonts w:ascii="Times New Roman" w:hAnsi="Times New Roman" w:cs="Times New Roman"/>
                <w:bCs/>
              </w:rPr>
              <w:t>teisės akto projekto antikorupcinį vertinimą atliekantis asmuo</w:t>
            </w:r>
            <w:r w:rsidR="00A231EC" w:rsidRPr="00E723F3">
              <w:rPr>
                <w:rFonts w:ascii="Times New Roman" w:hAnsi="Times New Roman" w:cs="Times New Roman"/>
                <w:bCs/>
              </w:rPr>
              <w:t>.</w:t>
            </w:r>
            <w:r w:rsidR="001A6CE4" w:rsidRPr="00E723F3">
              <w:rPr>
                <w:rFonts w:ascii="Times New Roman" w:hAnsi="Times New Roman" w:cs="Times New Roman"/>
              </w:rPr>
              <w:t xml:space="preserve"> </w:t>
            </w:r>
          </w:p>
          <w:p w14:paraId="73E7EBBE" w14:textId="77777777" w:rsidR="00020BC8" w:rsidRPr="00E723F3" w:rsidRDefault="00020BC8" w:rsidP="001A6CE4">
            <w:pPr>
              <w:jc w:val="both"/>
              <w:rPr>
                <w:rFonts w:ascii="Times New Roman" w:hAnsi="Times New Roman" w:cs="Times New Roman"/>
              </w:rPr>
            </w:pPr>
          </w:p>
          <w:p w14:paraId="0A1298E1" w14:textId="515F1F58" w:rsidR="00383B1A" w:rsidRPr="00E723F3" w:rsidRDefault="00676F30" w:rsidP="008C4C69">
            <w:pPr>
              <w:jc w:val="both"/>
              <w:rPr>
                <w:rFonts w:ascii="Times New Roman" w:hAnsi="Times New Roman" w:cs="Times New Roman"/>
              </w:rPr>
            </w:pPr>
            <w:r w:rsidRPr="00E723F3">
              <w:rPr>
                <w:rFonts w:ascii="Times New Roman" w:hAnsi="Times New Roman" w:cs="Times New Roman"/>
              </w:rPr>
              <w:t xml:space="preserve">(Kartojasi </w:t>
            </w:r>
            <w:r w:rsidR="008C4C69" w:rsidRPr="00E723F3">
              <w:rPr>
                <w:rFonts w:ascii="Times New Roman" w:hAnsi="Times New Roman" w:cs="Times New Roman"/>
              </w:rPr>
              <w:t xml:space="preserve">su </w:t>
            </w:r>
            <w:r w:rsidR="00E205D0" w:rsidRPr="00E723F3">
              <w:rPr>
                <w:rFonts w:ascii="Times New Roman" w:hAnsi="Times New Roman" w:cs="Times New Roman"/>
              </w:rPr>
              <w:t>V</w:t>
            </w:r>
            <w:r w:rsidR="00E205D0" w:rsidRPr="00E723F3">
              <w:rPr>
                <w:rFonts w:ascii="Times New Roman" w:hAnsi="Times New Roman" w:cs="Times New Roman"/>
                <w:bCs/>
              </w:rPr>
              <w:t>idaus reikalų ministerijos</w:t>
            </w:r>
            <w:r w:rsidR="001A6CE4" w:rsidRPr="00E723F3">
              <w:rPr>
                <w:rFonts w:ascii="Times New Roman" w:hAnsi="Times New Roman" w:cs="Times New Roman"/>
                <w:b/>
              </w:rPr>
              <w:t xml:space="preserve"> </w:t>
            </w:r>
            <w:r w:rsidR="00E205D0" w:rsidRPr="00E723F3">
              <w:rPr>
                <w:rFonts w:ascii="Times New Roman" w:hAnsi="Times New Roman" w:cs="Times New Roman"/>
              </w:rPr>
              <w:t>pastaba</w:t>
            </w:r>
            <w:r w:rsidRPr="00E723F3">
              <w:rPr>
                <w:rFonts w:ascii="Times New Roman" w:hAnsi="Times New Roman" w:cs="Times New Roman"/>
              </w:rPr>
              <w:t>)</w:t>
            </w:r>
          </w:p>
        </w:tc>
      </w:tr>
      <w:tr w:rsidR="00E81374" w:rsidRPr="00E723F3" w14:paraId="4273FA37" w14:textId="77777777" w:rsidTr="00E723F3">
        <w:tc>
          <w:tcPr>
            <w:tcW w:w="14911" w:type="dxa"/>
            <w:gridSpan w:val="3"/>
            <w:shd w:val="pct10" w:color="auto" w:fill="auto"/>
          </w:tcPr>
          <w:p w14:paraId="6F802A13" w14:textId="703EF7D1" w:rsidR="00E81374" w:rsidRPr="00E723F3" w:rsidRDefault="00E81374" w:rsidP="00E81374">
            <w:pPr>
              <w:jc w:val="both"/>
              <w:rPr>
                <w:rFonts w:ascii="Times New Roman" w:hAnsi="Times New Roman" w:cs="Times New Roman"/>
                <w:b/>
                <w:bCs/>
              </w:rPr>
            </w:pPr>
            <w:r w:rsidRPr="00E723F3">
              <w:rPr>
                <w:rFonts w:ascii="Times New Roman" w:hAnsi="Times New Roman" w:cs="Times New Roman"/>
                <w:b/>
                <w:bCs/>
              </w:rPr>
              <w:t xml:space="preserve">Lietuvos Respublikos </w:t>
            </w:r>
            <w:r w:rsidR="009077CC" w:rsidRPr="00E723F3">
              <w:rPr>
                <w:rFonts w:ascii="Times New Roman" w:hAnsi="Times New Roman" w:cs="Times New Roman"/>
                <w:b/>
                <w:bCs/>
              </w:rPr>
              <w:t>sveikatos apsaugos ministerija</w:t>
            </w:r>
          </w:p>
          <w:p w14:paraId="6CDBAC75" w14:textId="47277C86" w:rsidR="00E81374" w:rsidRPr="00E723F3" w:rsidRDefault="00D26334" w:rsidP="00E81374">
            <w:pPr>
              <w:jc w:val="both"/>
              <w:rPr>
                <w:rFonts w:ascii="Times New Roman" w:hAnsi="Times New Roman" w:cs="Times New Roman"/>
              </w:rPr>
            </w:pPr>
            <w:r w:rsidRPr="00E723F3">
              <w:rPr>
                <w:rFonts w:ascii="Times New Roman" w:hAnsi="Times New Roman" w:cs="Times New Roman"/>
                <w:b/>
                <w:bCs/>
              </w:rPr>
              <w:t xml:space="preserve">Išvada </w:t>
            </w:r>
            <w:r w:rsidR="009077CC" w:rsidRPr="00E723F3">
              <w:rPr>
                <w:rFonts w:ascii="Times New Roman" w:hAnsi="Times New Roman" w:cs="Times New Roman"/>
                <w:b/>
                <w:bCs/>
              </w:rPr>
              <w:t xml:space="preserve">2021-11-18 </w:t>
            </w:r>
            <w:r w:rsidRPr="00E723F3">
              <w:rPr>
                <w:rFonts w:ascii="Times New Roman" w:hAnsi="Times New Roman" w:cs="Times New Roman"/>
                <w:b/>
                <w:bCs/>
              </w:rPr>
              <w:t xml:space="preserve">Nr. </w:t>
            </w:r>
            <w:r w:rsidR="009077CC" w:rsidRPr="00E723F3">
              <w:rPr>
                <w:rFonts w:ascii="Times New Roman" w:hAnsi="Times New Roman" w:cs="Times New Roman"/>
                <w:b/>
                <w:bCs/>
              </w:rPr>
              <w:t>10-6055</w:t>
            </w:r>
            <w:r w:rsidR="009077CC" w:rsidRPr="00E723F3">
              <w:rPr>
                <w:rFonts w:ascii="Times New Roman" w:hAnsi="Times New Roman" w:cs="Times New Roman"/>
                <w:b/>
                <w:bCs/>
              </w:rPr>
              <w:tab/>
            </w:r>
          </w:p>
        </w:tc>
      </w:tr>
      <w:tr w:rsidR="001E73BD" w:rsidRPr="00E723F3" w14:paraId="3686F856" w14:textId="77777777" w:rsidTr="00E723F3">
        <w:tc>
          <w:tcPr>
            <w:tcW w:w="1020" w:type="dxa"/>
            <w:tcBorders>
              <w:bottom w:val="single" w:sz="4" w:space="0" w:color="auto"/>
            </w:tcBorders>
          </w:tcPr>
          <w:p w14:paraId="4E2C683D" w14:textId="685998B3" w:rsidR="001E73BD" w:rsidRPr="00E723F3" w:rsidRDefault="008C4C69" w:rsidP="00E81374">
            <w:pPr>
              <w:jc w:val="both"/>
              <w:rPr>
                <w:rFonts w:ascii="Times New Roman" w:hAnsi="Times New Roman" w:cs="Times New Roman"/>
              </w:rPr>
            </w:pPr>
            <w:r w:rsidRPr="00E723F3">
              <w:rPr>
                <w:rFonts w:ascii="Times New Roman" w:hAnsi="Times New Roman" w:cs="Times New Roman"/>
              </w:rPr>
              <w:t>1</w:t>
            </w:r>
            <w:r w:rsidR="001E73BD" w:rsidRPr="00E723F3">
              <w:rPr>
                <w:rFonts w:ascii="Times New Roman" w:hAnsi="Times New Roman" w:cs="Times New Roman"/>
              </w:rPr>
              <w:t>.</w:t>
            </w:r>
          </w:p>
        </w:tc>
        <w:tc>
          <w:tcPr>
            <w:tcW w:w="6662" w:type="dxa"/>
            <w:tcBorders>
              <w:bottom w:val="single" w:sz="4" w:space="0" w:color="auto"/>
            </w:tcBorders>
          </w:tcPr>
          <w:p w14:paraId="18A7D98F" w14:textId="46172B67" w:rsidR="001E73BD" w:rsidRPr="00E723F3" w:rsidRDefault="00464BC9" w:rsidP="00D26334">
            <w:pPr>
              <w:jc w:val="both"/>
              <w:rPr>
                <w:rFonts w:ascii="Times New Roman" w:hAnsi="Times New Roman" w:cs="Times New Roman"/>
              </w:rPr>
            </w:pPr>
            <w:r w:rsidRPr="00E723F3">
              <w:rPr>
                <w:rFonts w:ascii="Times New Roman" w:hAnsi="Times New Roman" w:cs="Times New Roman"/>
              </w:rPr>
              <w:t>Siekiant dar efektyviau šalinti ar valdyti galimas korupcijos rizikas, siūlome Taisyklių projekto priedo lentelę papildyti šiais kriterijais:</w:t>
            </w:r>
          </w:p>
        </w:tc>
        <w:tc>
          <w:tcPr>
            <w:tcW w:w="7229" w:type="dxa"/>
            <w:tcBorders>
              <w:bottom w:val="single" w:sz="4" w:space="0" w:color="auto"/>
            </w:tcBorders>
          </w:tcPr>
          <w:p w14:paraId="7A51FDEA" w14:textId="40C461D0" w:rsidR="001E73BD" w:rsidRPr="00E723F3" w:rsidRDefault="001E73BD" w:rsidP="00E81374">
            <w:pPr>
              <w:jc w:val="both"/>
              <w:rPr>
                <w:rFonts w:ascii="Times New Roman" w:hAnsi="Times New Roman" w:cs="Times New Roman"/>
              </w:rPr>
            </w:pPr>
          </w:p>
        </w:tc>
      </w:tr>
      <w:tr w:rsidR="001E73BD" w:rsidRPr="00E723F3" w14:paraId="5430549B" w14:textId="77777777" w:rsidTr="00E723F3">
        <w:tc>
          <w:tcPr>
            <w:tcW w:w="1020" w:type="dxa"/>
            <w:tcBorders>
              <w:bottom w:val="single" w:sz="4" w:space="0" w:color="auto"/>
            </w:tcBorders>
          </w:tcPr>
          <w:p w14:paraId="49E3BA5A" w14:textId="22041632" w:rsidR="001E73BD" w:rsidRPr="00E723F3" w:rsidRDefault="008C4C69">
            <w:pPr>
              <w:jc w:val="both"/>
              <w:rPr>
                <w:rFonts w:ascii="Times New Roman" w:hAnsi="Times New Roman" w:cs="Times New Roman"/>
              </w:rPr>
            </w:pPr>
            <w:r w:rsidRPr="00E723F3">
              <w:rPr>
                <w:rFonts w:ascii="Times New Roman" w:hAnsi="Times New Roman" w:cs="Times New Roman"/>
                <w:lang w:val="en-US"/>
              </w:rPr>
              <w:t>1</w:t>
            </w:r>
            <w:r w:rsidR="001E73BD" w:rsidRPr="00E723F3">
              <w:rPr>
                <w:rFonts w:ascii="Times New Roman" w:hAnsi="Times New Roman" w:cs="Times New Roman"/>
              </w:rPr>
              <w:t>.</w:t>
            </w:r>
            <w:r w:rsidR="00464BC9" w:rsidRPr="00E723F3">
              <w:rPr>
                <w:rFonts w:ascii="Times New Roman" w:hAnsi="Times New Roman" w:cs="Times New Roman"/>
              </w:rPr>
              <w:t>1.</w:t>
            </w:r>
            <w:r w:rsidR="00BD2F3B" w:rsidRPr="00E723F3">
              <w:rPr>
                <w:rFonts w:ascii="Times New Roman" w:hAnsi="Times New Roman" w:cs="Times New Roman"/>
              </w:rPr>
              <w:t xml:space="preserve"> </w:t>
            </w:r>
          </w:p>
        </w:tc>
        <w:tc>
          <w:tcPr>
            <w:tcW w:w="6662" w:type="dxa"/>
            <w:tcBorders>
              <w:bottom w:val="single" w:sz="4" w:space="0" w:color="auto"/>
            </w:tcBorders>
          </w:tcPr>
          <w:p w14:paraId="264F1E0E" w14:textId="60E0ED6C" w:rsidR="00464BC9" w:rsidRPr="00E723F3" w:rsidRDefault="00464BC9" w:rsidP="001E73BD">
            <w:pPr>
              <w:jc w:val="both"/>
              <w:rPr>
                <w:rFonts w:ascii="Times New Roman" w:hAnsi="Times New Roman" w:cs="Times New Roman"/>
              </w:rPr>
            </w:pPr>
            <w:r w:rsidRPr="00E723F3">
              <w:rPr>
                <w:rFonts w:ascii="Times New Roman" w:hAnsi="Times New Roman" w:cs="Times New Roman"/>
              </w:rPr>
              <w:t>Teisės akto projekto normos nesudaro sąlygų finansuoti neaiškios apimties veiklų, o finansavimo šaltiniai yra pagrįsti ir aiškūs (vertinama, kiek tai susiję su sąlygomis korupcijai pasireikšti);</w:t>
            </w:r>
          </w:p>
          <w:p w14:paraId="4070DCC5" w14:textId="77777777" w:rsidR="001E73BD" w:rsidRPr="00E723F3" w:rsidRDefault="001E73BD" w:rsidP="00464BC9">
            <w:pPr>
              <w:jc w:val="both"/>
              <w:rPr>
                <w:rFonts w:ascii="Times New Roman" w:hAnsi="Times New Roman" w:cs="Times New Roman"/>
              </w:rPr>
            </w:pPr>
          </w:p>
        </w:tc>
        <w:tc>
          <w:tcPr>
            <w:tcW w:w="7229" w:type="dxa"/>
            <w:tcBorders>
              <w:bottom w:val="single" w:sz="4" w:space="0" w:color="auto"/>
            </w:tcBorders>
          </w:tcPr>
          <w:p w14:paraId="082D2CB1" w14:textId="6FE57984" w:rsidR="00671F35" w:rsidRPr="00E723F3" w:rsidRDefault="00671F35" w:rsidP="003701FE">
            <w:pPr>
              <w:jc w:val="both"/>
              <w:rPr>
                <w:rFonts w:ascii="Times New Roman" w:hAnsi="Times New Roman" w:cs="Times New Roman"/>
                <w:color w:val="000000"/>
              </w:rPr>
            </w:pPr>
            <w:r w:rsidRPr="00E723F3">
              <w:rPr>
                <w:rFonts w:ascii="Times New Roman" w:hAnsi="Times New Roman" w:cs="Times New Roman"/>
                <w:color w:val="000000"/>
              </w:rPr>
              <w:t>Neatsižvelgta.</w:t>
            </w:r>
          </w:p>
          <w:p w14:paraId="62E053F7" w14:textId="2A507DBD" w:rsidR="00671F35" w:rsidRPr="00E723F3" w:rsidRDefault="00671F35" w:rsidP="003701FE">
            <w:pPr>
              <w:jc w:val="both"/>
              <w:rPr>
                <w:rFonts w:ascii="Times New Roman" w:hAnsi="Times New Roman" w:cs="Times New Roman"/>
                <w:color w:val="000000"/>
              </w:rPr>
            </w:pPr>
          </w:p>
          <w:p w14:paraId="0E3C4943" w14:textId="00B44BC9" w:rsidR="00671F35" w:rsidRPr="00E723F3" w:rsidRDefault="00671F35" w:rsidP="00671F35">
            <w:pPr>
              <w:jc w:val="both"/>
              <w:rPr>
                <w:rFonts w:ascii="Times New Roman" w:hAnsi="Times New Roman" w:cs="Times New Roman"/>
              </w:rPr>
            </w:pPr>
            <w:r w:rsidRPr="00E723F3">
              <w:rPr>
                <w:rFonts w:ascii="Times New Roman" w:hAnsi="Times New Roman" w:cs="Times New Roman"/>
              </w:rPr>
              <w:t>Siūlomas kriterijus daugeliu atveju būtų  neaktualus.</w:t>
            </w:r>
          </w:p>
          <w:p w14:paraId="3F1FC8A5" w14:textId="77777777" w:rsidR="00671F35" w:rsidRPr="00E723F3" w:rsidRDefault="00671F35" w:rsidP="003701FE">
            <w:pPr>
              <w:jc w:val="both"/>
              <w:rPr>
                <w:rFonts w:ascii="Times New Roman" w:hAnsi="Times New Roman" w:cs="Times New Roman"/>
                <w:color w:val="000000"/>
              </w:rPr>
            </w:pPr>
          </w:p>
          <w:p w14:paraId="44D255BF" w14:textId="6A51959D" w:rsidR="000973EF" w:rsidRPr="00E723F3" w:rsidRDefault="000973EF">
            <w:pPr>
              <w:jc w:val="both"/>
              <w:rPr>
                <w:rFonts w:ascii="Times New Roman" w:hAnsi="Times New Roman" w:cs="Times New Roman"/>
              </w:rPr>
            </w:pPr>
            <w:r w:rsidRPr="00E723F3">
              <w:rPr>
                <w:rFonts w:ascii="Times New Roman" w:hAnsi="Times New Roman" w:cs="Times New Roman"/>
                <w:color w:val="000000"/>
              </w:rPr>
              <w:t xml:space="preserve">Paminėtina, kad </w:t>
            </w:r>
            <w:r w:rsidR="00671F35" w:rsidRPr="00E723F3">
              <w:rPr>
                <w:rFonts w:ascii="Times New Roman" w:hAnsi="Times New Roman" w:cs="Times New Roman"/>
                <w:color w:val="000000"/>
              </w:rPr>
              <w:t xml:space="preserve">pagal </w:t>
            </w:r>
            <w:r w:rsidRPr="00E723F3">
              <w:rPr>
                <w:rFonts w:ascii="Times New Roman" w:hAnsi="Times New Roman" w:cs="Times New Roman"/>
                <w:color w:val="000000"/>
              </w:rPr>
              <w:t>pažymos 19 punkt</w:t>
            </w:r>
            <w:r w:rsidR="00671F35" w:rsidRPr="00E723F3">
              <w:rPr>
                <w:rFonts w:ascii="Times New Roman" w:hAnsi="Times New Roman" w:cs="Times New Roman"/>
                <w:color w:val="000000"/>
              </w:rPr>
              <w:t>ą</w:t>
            </w:r>
            <w:r w:rsidRPr="00E723F3">
              <w:rPr>
                <w:rFonts w:ascii="Times New Roman" w:hAnsi="Times New Roman" w:cs="Times New Roman"/>
                <w:color w:val="000000"/>
              </w:rPr>
              <w:t xml:space="preserve"> „kiti svarbūs kriterijai“ sudaro</w:t>
            </w:r>
            <w:r w:rsidR="00671F35" w:rsidRPr="00E723F3">
              <w:rPr>
                <w:rFonts w:ascii="Times New Roman" w:hAnsi="Times New Roman" w:cs="Times New Roman"/>
                <w:color w:val="000000"/>
              </w:rPr>
              <w:t>mos</w:t>
            </w:r>
            <w:r w:rsidRPr="00E723F3">
              <w:rPr>
                <w:rFonts w:ascii="Times New Roman" w:hAnsi="Times New Roman" w:cs="Times New Roman"/>
                <w:color w:val="000000"/>
              </w:rPr>
              <w:t xml:space="preserve"> galimybes tam tikrose specifinėse situacijose fiksuoti korupcijos riziką, kuriai neaktualūs pažymos 1-18 punktuose nustatyti kriterijai.</w:t>
            </w:r>
          </w:p>
        </w:tc>
      </w:tr>
      <w:tr w:rsidR="001E73BD" w:rsidRPr="00E723F3" w14:paraId="110E0998" w14:textId="77777777" w:rsidTr="00E723F3">
        <w:tc>
          <w:tcPr>
            <w:tcW w:w="1020" w:type="dxa"/>
            <w:tcBorders>
              <w:bottom w:val="single" w:sz="4" w:space="0" w:color="auto"/>
            </w:tcBorders>
          </w:tcPr>
          <w:p w14:paraId="5BF35DD9" w14:textId="155572D8" w:rsidR="001E73BD" w:rsidRPr="00E723F3" w:rsidRDefault="008C4C69" w:rsidP="009E4B49">
            <w:pPr>
              <w:jc w:val="both"/>
              <w:rPr>
                <w:rFonts w:ascii="Times New Roman" w:hAnsi="Times New Roman" w:cs="Times New Roman"/>
              </w:rPr>
            </w:pPr>
            <w:r w:rsidRPr="00E723F3">
              <w:rPr>
                <w:rFonts w:ascii="Times New Roman" w:hAnsi="Times New Roman" w:cs="Times New Roman"/>
              </w:rPr>
              <w:t>1</w:t>
            </w:r>
            <w:r w:rsidR="001E73BD" w:rsidRPr="00E723F3">
              <w:rPr>
                <w:rFonts w:ascii="Times New Roman" w:hAnsi="Times New Roman" w:cs="Times New Roman"/>
              </w:rPr>
              <w:t>.</w:t>
            </w:r>
            <w:r w:rsidR="00464BC9" w:rsidRPr="00E723F3">
              <w:rPr>
                <w:rFonts w:ascii="Times New Roman" w:hAnsi="Times New Roman" w:cs="Times New Roman"/>
              </w:rPr>
              <w:t>2.</w:t>
            </w:r>
            <w:r w:rsidR="001E73BD" w:rsidRPr="00E723F3">
              <w:rPr>
                <w:rFonts w:ascii="Times New Roman" w:hAnsi="Times New Roman" w:cs="Times New Roman"/>
              </w:rPr>
              <w:t xml:space="preserve"> </w:t>
            </w:r>
          </w:p>
        </w:tc>
        <w:tc>
          <w:tcPr>
            <w:tcW w:w="6662" w:type="dxa"/>
            <w:tcBorders>
              <w:bottom w:val="single" w:sz="4" w:space="0" w:color="auto"/>
            </w:tcBorders>
          </w:tcPr>
          <w:p w14:paraId="226443FF" w14:textId="7B8D91DA" w:rsidR="001E73BD" w:rsidRPr="00E723F3" w:rsidRDefault="00464BC9" w:rsidP="00D26334">
            <w:pPr>
              <w:jc w:val="both"/>
              <w:rPr>
                <w:rFonts w:ascii="Times New Roman" w:hAnsi="Times New Roman" w:cs="Times New Roman"/>
              </w:rPr>
            </w:pPr>
            <w:r w:rsidRPr="00E723F3">
              <w:rPr>
                <w:rFonts w:ascii="Times New Roman" w:hAnsi="Times New Roman" w:cs="Times New Roman"/>
              </w:rPr>
              <w:t>Teisės akto projekto normos neprieštarauja galiojantiems teisės aktams ir antikorupciniu požiūriu nesukuria rizikingų teisės akto projekto nuostatų (vertinama, kiek tai susiję su sąlygomis korupcijai pasireikšti</w:t>
            </w:r>
            <w:r w:rsidR="00DA2AAB" w:rsidRPr="00E723F3">
              <w:rPr>
                <w:rFonts w:ascii="Times New Roman" w:hAnsi="Times New Roman" w:cs="Times New Roman"/>
              </w:rPr>
              <w:t>;</w:t>
            </w:r>
          </w:p>
        </w:tc>
        <w:tc>
          <w:tcPr>
            <w:tcW w:w="7229" w:type="dxa"/>
            <w:tcBorders>
              <w:bottom w:val="single" w:sz="4" w:space="0" w:color="auto"/>
            </w:tcBorders>
          </w:tcPr>
          <w:p w14:paraId="2F951519" w14:textId="77777777" w:rsidR="00671F35" w:rsidRPr="00E723F3" w:rsidRDefault="00671F35" w:rsidP="00671F35">
            <w:pPr>
              <w:jc w:val="both"/>
              <w:rPr>
                <w:rFonts w:ascii="Times New Roman" w:hAnsi="Times New Roman" w:cs="Times New Roman"/>
                <w:color w:val="000000"/>
              </w:rPr>
            </w:pPr>
            <w:r w:rsidRPr="00E723F3">
              <w:rPr>
                <w:rFonts w:ascii="Times New Roman" w:hAnsi="Times New Roman" w:cs="Times New Roman"/>
                <w:color w:val="000000"/>
              </w:rPr>
              <w:t>Neatsižvelgta.</w:t>
            </w:r>
          </w:p>
          <w:p w14:paraId="05573F05" w14:textId="77777777" w:rsidR="00671F35" w:rsidRPr="00E723F3" w:rsidRDefault="00671F35" w:rsidP="00671F35">
            <w:pPr>
              <w:jc w:val="both"/>
              <w:rPr>
                <w:rFonts w:ascii="Times New Roman" w:hAnsi="Times New Roman" w:cs="Times New Roman"/>
                <w:color w:val="000000"/>
              </w:rPr>
            </w:pPr>
          </w:p>
          <w:p w14:paraId="7F195B9C" w14:textId="6F90C4E1" w:rsidR="00671F35" w:rsidRPr="00E723F3" w:rsidRDefault="00671F35" w:rsidP="00671F35">
            <w:pPr>
              <w:jc w:val="both"/>
              <w:rPr>
                <w:rFonts w:ascii="Times New Roman" w:hAnsi="Times New Roman" w:cs="Times New Roman"/>
              </w:rPr>
            </w:pPr>
            <w:r w:rsidRPr="00E723F3">
              <w:rPr>
                <w:rFonts w:ascii="Times New Roman" w:hAnsi="Times New Roman" w:cs="Times New Roman"/>
              </w:rPr>
              <w:t>Siūlomas kriterijus („antikorupciniu požiūriu nesukuria rizikingų teisės akto projekto nuostatų“)</w:t>
            </w:r>
            <w:r w:rsidRPr="00E723F3">
              <w:rPr>
                <w:rFonts w:ascii="Times New Roman" w:hAnsi="Times New Roman" w:cs="Times New Roman"/>
                <w:color w:val="000000"/>
              </w:rPr>
              <w:t xml:space="preserve"> </w:t>
            </w:r>
            <w:r w:rsidR="00E05519" w:rsidRPr="00E723F3">
              <w:rPr>
                <w:rFonts w:ascii="Times New Roman" w:hAnsi="Times New Roman" w:cs="Times New Roman"/>
                <w:color w:val="000000"/>
              </w:rPr>
              <w:t xml:space="preserve">dubliuotų </w:t>
            </w:r>
            <w:r w:rsidRPr="00E723F3">
              <w:rPr>
                <w:rFonts w:ascii="Times New Roman" w:hAnsi="Times New Roman" w:cs="Times New Roman"/>
                <w:color w:val="000000"/>
              </w:rPr>
              <w:t>pažymos 1-18 punktuose nustatyt</w:t>
            </w:r>
            <w:r w:rsidR="00E05519" w:rsidRPr="00E723F3">
              <w:rPr>
                <w:rFonts w:ascii="Times New Roman" w:hAnsi="Times New Roman" w:cs="Times New Roman"/>
                <w:color w:val="000000"/>
              </w:rPr>
              <w:t xml:space="preserve">us </w:t>
            </w:r>
            <w:r w:rsidRPr="00E723F3">
              <w:rPr>
                <w:rFonts w:ascii="Times New Roman" w:hAnsi="Times New Roman" w:cs="Times New Roman"/>
                <w:color w:val="000000"/>
              </w:rPr>
              <w:t>kriterij</w:t>
            </w:r>
            <w:r w:rsidR="00E05519" w:rsidRPr="00E723F3">
              <w:rPr>
                <w:rFonts w:ascii="Times New Roman" w:hAnsi="Times New Roman" w:cs="Times New Roman"/>
                <w:color w:val="000000"/>
              </w:rPr>
              <w:t>us.</w:t>
            </w:r>
          </w:p>
          <w:p w14:paraId="0ADC63BD" w14:textId="77777777" w:rsidR="00671F35" w:rsidRPr="00E723F3" w:rsidRDefault="00671F35" w:rsidP="00671F35">
            <w:pPr>
              <w:jc w:val="both"/>
              <w:rPr>
                <w:rFonts w:ascii="Times New Roman" w:hAnsi="Times New Roman" w:cs="Times New Roman"/>
                <w:color w:val="000000"/>
              </w:rPr>
            </w:pPr>
          </w:p>
          <w:p w14:paraId="7B915245" w14:textId="4CE3C98C" w:rsidR="000973EF" w:rsidRPr="00E723F3" w:rsidRDefault="00671F35" w:rsidP="001052AD">
            <w:pPr>
              <w:jc w:val="both"/>
              <w:rPr>
                <w:rFonts w:ascii="Times New Roman" w:hAnsi="Times New Roman" w:cs="Times New Roman"/>
              </w:rPr>
            </w:pPr>
            <w:r w:rsidRPr="00E723F3">
              <w:rPr>
                <w:rFonts w:ascii="Times New Roman" w:hAnsi="Times New Roman" w:cs="Times New Roman"/>
                <w:color w:val="000000"/>
              </w:rPr>
              <w:t>Paminėtina, kad pagal pažymos 19 punktą „kiti svarbūs kriterijai“ sudaromos galimybes fiksuoti korupcijos riziką, kuriai neaktualūs pažymos 1-18 punktuose nustatyti kriterijai</w:t>
            </w:r>
            <w:r w:rsidR="001052AD" w:rsidRPr="00E723F3">
              <w:rPr>
                <w:rFonts w:ascii="Times New Roman" w:hAnsi="Times New Roman" w:cs="Times New Roman"/>
                <w:color w:val="000000"/>
              </w:rPr>
              <w:t>.</w:t>
            </w:r>
          </w:p>
        </w:tc>
      </w:tr>
      <w:tr w:rsidR="00E81374" w:rsidRPr="00E723F3" w14:paraId="09A960FD" w14:textId="77777777" w:rsidTr="00E723F3">
        <w:tc>
          <w:tcPr>
            <w:tcW w:w="14911" w:type="dxa"/>
            <w:gridSpan w:val="3"/>
            <w:shd w:val="pct10" w:color="auto" w:fill="auto"/>
          </w:tcPr>
          <w:p w14:paraId="40B61138" w14:textId="79834319" w:rsidR="00E81374" w:rsidRPr="00E723F3" w:rsidRDefault="00E81374" w:rsidP="00E81374">
            <w:pPr>
              <w:jc w:val="both"/>
              <w:rPr>
                <w:rFonts w:ascii="Times New Roman" w:hAnsi="Times New Roman" w:cs="Times New Roman"/>
                <w:b/>
                <w:bCs/>
              </w:rPr>
            </w:pPr>
            <w:bookmarkStart w:id="1" w:name="_Hlk87008906"/>
            <w:r w:rsidRPr="00E723F3">
              <w:rPr>
                <w:rFonts w:ascii="Times New Roman" w:hAnsi="Times New Roman" w:cs="Times New Roman"/>
                <w:b/>
                <w:bCs/>
              </w:rPr>
              <w:t xml:space="preserve">Lietuvos Respublikos </w:t>
            </w:r>
            <w:r w:rsidR="009F15DB" w:rsidRPr="00E723F3">
              <w:rPr>
                <w:rFonts w:ascii="Times New Roman" w:hAnsi="Times New Roman" w:cs="Times New Roman"/>
                <w:b/>
                <w:bCs/>
              </w:rPr>
              <w:t>vidaus reikalų</w:t>
            </w:r>
            <w:r w:rsidRPr="00E723F3">
              <w:rPr>
                <w:rFonts w:ascii="Times New Roman" w:hAnsi="Times New Roman" w:cs="Times New Roman"/>
                <w:b/>
                <w:bCs/>
              </w:rPr>
              <w:t xml:space="preserve"> ministerija</w:t>
            </w:r>
          </w:p>
          <w:p w14:paraId="10182753" w14:textId="5D38216F" w:rsidR="00E81374" w:rsidRPr="00E723F3" w:rsidRDefault="00FB6135" w:rsidP="00E81374">
            <w:pPr>
              <w:jc w:val="both"/>
              <w:rPr>
                <w:rFonts w:ascii="Times New Roman" w:hAnsi="Times New Roman" w:cs="Times New Roman"/>
              </w:rPr>
            </w:pPr>
            <w:r w:rsidRPr="00E723F3">
              <w:rPr>
                <w:rFonts w:ascii="Times New Roman" w:hAnsi="Times New Roman" w:cs="Times New Roman"/>
                <w:b/>
                <w:bCs/>
              </w:rPr>
              <w:lastRenderedPageBreak/>
              <w:t xml:space="preserve">Išvada </w:t>
            </w:r>
            <w:r w:rsidR="009F15DB" w:rsidRPr="00E723F3">
              <w:rPr>
                <w:rFonts w:ascii="Times New Roman" w:hAnsi="Times New Roman" w:cs="Times New Roman"/>
                <w:b/>
                <w:bCs/>
              </w:rPr>
              <w:t>2021-11-18</w:t>
            </w:r>
            <w:r w:rsidRPr="00E723F3">
              <w:rPr>
                <w:rFonts w:ascii="Times New Roman" w:hAnsi="Times New Roman" w:cs="Times New Roman"/>
                <w:b/>
                <w:bCs/>
              </w:rPr>
              <w:t xml:space="preserve"> Nr. </w:t>
            </w:r>
            <w:r w:rsidR="009F15DB" w:rsidRPr="00E723F3">
              <w:rPr>
                <w:rFonts w:ascii="Times New Roman" w:hAnsi="Times New Roman" w:cs="Times New Roman"/>
                <w:b/>
                <w:bCs/>
              </w:rPr>
              <w:t>1D-6508</w:t>
            </w:r>
          </w:p>
        </w:tc>
      </w:tr>
      <w:tr w:rsidR="00625E33" w:rsidRPr="00E723F3" w14:paraId="61EB9703" w14:textId="77777777" w:rsidTr="00E723F3">
        <w:tc>
          <w:tcPr>
            <w:tcW w:w="1020" w:type="dxa"/>
          </w:tcPr>
          <w:p w14:paraId="0DD0FF1E" w14:textId="7611F396" w:rsidR="00625E33" w:rsidRPr="00E723F3" w:rsidRDefault="004373A3" w:rsidP="00F91F2B">
            <w:pPr>
              <w:jc w:val="both"/>
              <w:rPr>
                <w:rFonts w:ascii="Times New Roman" w:hAnsi="Times New Roman" w:cs="Times New Roman"/>
              </w:rPr>
            </w:pPr>
            <w:r w:rsidRPr="00E723F3">
              <w:rPr>
                <w:rFonts w:ascii="Times New Roman" w:hAnsi="Times New Roman" w:cs="Times New Roman"/>
              </w:rPr>
              <w:lastRenderedPageBreak/>
              <w:t>1</w:t>
            </w:r>
            <w:r w:rsidR="00625E33" w:rsidRPr="00E723F3">
              <w:rPr>
                <w:rFonts w:ascii="Times New Roman" w:hAnsi="Times New Roman" w:cs="Times New Roman"/>
              </w:rPr>
              <w:t>.</w:t>
            </w:r>
            <w:r w:rsidR="00BD2F3B" w:rsidRPr="00E723F3">
              <w:rPr>
                <w:rFonts w:ascii="Times New Roman" w:hAnsi="Times New Roman" w:cs="Times New Roman"/>
              </w:rPr>
              <w:t xml:space="preserve"> </w:t>
            </w:r>
          </w:p>
        </w:tc>
        <w:tc>
          <w:tcPr>
            <w:tcW w:w="6662" w:type="dxa"/>
          </w:tcPr>
          <w:p w14:paraId="1F4FA3CD" w14:textId="77777777" w:rsidR="009F15DB" w:rsidRPr="00E723F3" w:rsidRDefault="009F15DB" w:rsidP="00E723F3">
            <w:pPr>
              <w:jc w:val="both"/>
              <w:rPr>
                <w:rFonts w:ascii="Times New Roman" w:hAnsi="Times New Roman" w:cs="Times New Roman"/>
              </w:rPr>
            </w:pPr>
            <w:r w:rsidRPr="00E723F3">
              <w:rPr>
                <w:rFonts w:ascii="Times New Roman" w:hAnsi="Times New Roman" w:cs="Times New Roman"/>
              </w:rPr>
              <w:t xml:space="preserve">Taisyklių projekto 14 punkto nuostata – „Kai derinamas teisės akto projektas papildomas arba pakeičiamas, teisės akto projekto tiesioginis rengėjas pateikia vertintojui pakeistą teisės akto projektą pakartotiniam antikorupciniam vertinimui atlikti“ –suponuoja, kad po atlikto projekto derinimo su suinteresuotomis institucijomis, kai derinamas teisės akto projektas yra papildomas arba pakeičiamas, teisės akto projekto vertintojas visais atvejais be išimties privalo atlikti pakartotinį teisės akto projekto antikorupcinį vertinimą, nors naujų pagal antikorupcinio vertinimo pažymoje nustatytus kriterijus nevertintų nuostatų arba pakeistų antikorupciniu požiūriu jau vertintų teisės akto projekto nuostatų neatsiranda. Manytina, kad tokia teisės akto projekto vertintojui nustatyta pareiga sukurs papildomą laiko sąnaudų naštą, tačiau jokios realios pridėtinės vertės neduos. </w:t>
            </w:r>
          </w:p>
          <w:p w14:paraId="25D7D00E" w14:textId="4D4BB322" w:rsidR="00625E33" w:rsidRPr="00E723F3" w:rsidRDefault="009F15DB" w:rsidP="00E723F3">
            <w:pPr>
              <w:jc w:val="both"/>
              <w:rPr>
                <w:rFonts w:ascii="Times New Roman" w:hAnsi="Times New Roman" w:cs="Times New Roman"/>
              </w:rPr>
            </w:pPr>
            <w:r w:rsidRPr="00E723F3">
              <w:rPr>
                <w:rFonts w:ascii="Times New Roman" w:hAnsi="Times New Roman" w:cs="Times New Roman"/>
              </w:rPr>
              <w:t>Atsižvelgiant į tai, kas išdėstyta, ir vadovaujantis teisinio proporcingumo principu, reiškiančiu, kad pasirinktos teisinio reguliavimo priemonės turi sudaryti kuo mažesnę administracinę ir kitokią naštą, nevaržyti teisinių santykių subjektų daugiau, negu to reikia teisinio reguliavimo tikslams pasiekti, siūloma Taisyklių projekto 14 punkte numatyti išimtis, numatančias, kada po derinimo su suinteresuotomis institucijomis, kai teisės akto projektas yra papildomas arba pakeičiamas, antikorupcinis teisės akto projekto vertinimas gali būti neatliekamas. Pvz.: „Pakartotinis antikorupcinis vertinimas neatliekamas, jei derinant teisės akto projektą su suinteresuotomis institucijomis neatsiranda naujų pagal nustatytus kriterijus nevertintų nuostatų arba antikorupciniu požiūriu jau vertintos teisės akto projekto nuostatos nėra pakeistos, arba kai teisės akto projekto nuostatos, kurioms nustatyti kriterijai nebuvo aktualūs antikorupcinį vertinimą atliekant pirmą kartą, nėra pakeičiamos taip, kad minėti kriterijai tampa joms aktualūs.“</w:t>
            </w:r>
          </w:p>
        </w:tc>
        <w:tc>
          <w:tcPr>
            <w:tcW w:w="7229" w:type="dxa"/>
          </w:tcPr>
          <w:p w14:paraId="0547AC01" w14:textId="60E448FA" w:rsidR="0055031D" w:rsidRPr="00E723F3" w:rsidRDefault="00A01064" w:rsidP="0055031D">
            <w:pPr>
              <w:jc w:val="both"/>
              <w:rPr>
                <w:rFonts w:ascii="Times New Roman" w:hAnsi="Times New Roman" w:cs="Times New Roman"/>
              </w:rPr>
            </w:pPr>
            <w:r w:rsidRPr="00E723F3">
              <w:rPr>
                <w:rFonts w:ascii="Times New Roman" w:hAnsi="Times New Roman" w:cs="Times New Roman"/>
              </w:rPr>
              <w:t>Neatsižvelgta</w:t>
            </w:r>
            <w:r w:rsidR="009E4B49" w:rsidRPr="00E723F3">
              <w:rPr>
                <w:rFonts w:ascii="Times New Roman" w:hAnsi="Times New Roman" w:cs="Times New Roman"/>
              </w:rPr>
              <w:t>.</w:t>
            </w:r>
          </w:p>
          <w:p w14:paraId="299E55D7" w14:textId="77777777" w:rsidR="0055031D" w:rsidRPr="00E723F3" w:rsidRDefault="0055031D" w:rsidP="0055031D">
            <w:pPr>
              <w:jc w:val="both"/>
              <w:rPr>
                <w:rFonts w:ascii="Times New Roman" w:hAnsi="Times New Roman" w:cs="Times New Roman"/>
              </w:rPr>
            </w:pPr>
          </w:p>
          <w:p w14:paraId="66DE105B" w14:textId="77777777" w:rsidR="001A6CE4" w:rsidRPr="00E723F3" w:rsidRDefault="0055031D" w:rsidP="001A6CE4">
            <w:pPr>
              <w:jc w:val="both"/>
              <w:rPr>
                <w:rFonts w:ascii="Times New Roman" w:hAnsi="Times New Roman" w:cs="Times New Roman"/>
              </w:rPr>
            </w:pPr>
            <w:r w:rsidRPr="00E723F3">
              <w:rPr>
                <w:rFonts w:ascii="Times New Roman" w:hAnsi="Times New Roman" w:cs="Times New Roman"/>
              </w:rPr>
              <w:t xml:space="preserve">Kai kuriais atvejais teisės akto projekto techninio pobūdžio pakeitimai gali keisti teisės akto projektu siūlomos teisės normos prasmę, turinį, tuo pačiu gali lemti  korupcijos rizikos veiksnio atsiradimą, todėl tikslinga, kad pakeistas (papildytas) teisės akto projekto nuostatas įvertintų </w:t>
            </w:r>
            <w:r w:rsidRPr="00E723F3">
              <w:rPr>
                <w:rFonts w:ascii="Times New Roman" w:hAnsi="Times New Roman" w:cs="Times New Roman"/>
                <w:bCs/>
              </w:rPr>
              <w:t>teisės akto projekto antikorupcinį vertinimą atliekantis asmuo.</w:t>
            </w:r>
            <w:r w:rsidR="001A6CE4" w:rsidRPr="00E723F3">
              <w:rPr>
                <w:rFonts w:ascii="Times New Roman" w:hAnsi="Times New Roman" w:cs="Times New Roman"/>
              </w:rPr>
              <w:t xml:space="preserve"> </w:t>
            </w:r>
          </w:p>
          <w:p w14:paraId="2EFCDC76" w14:textId="77777777" w:rsidR="001A6CE4" w:rsidRPr="00E723F3" w:rsidRDefault="001A6CE4" w:rsidP="001A6CE4">
            <w:pPr>
              <w:jc w:val="both"/>
              <w:rPr>
                <w:rFonts w:ascii="Times New Roman" w:hAnsi="Times New Roman" w:cs="Times New Roman"/>
              </w:rPr>
            </w:pPr>
          </w:p>
          <w:p w14:paraId="7E6741C2" w14:textId="186FBFD2" w:rsidR="001A6CE4" w:rsidRPr="00E723F3" w:rsidRDefault="00E205D0" w:rsidP="001A6CE4">
            <w:pPr>
              <w:jc w:val="both"/>
              <w:rPr>
                <w:rFonts w:ascii="Times New Roman" w:hAnsi="Times New Roman" w:cs="Times New Roman"/>
              </w:rPr>
            </w:pPr>
            <w:r w:rsidRPr="00E723F3">
              <w:rPr>
                <w:rFonts w:ascii="Times New Roman" w:hAnsi="Times New Roman" w:cs="Times New Roman"/>
              </w:rPr>
              <w:t>(Kartojasi</w:t>
            </w:r>
            <w:r w:rsidR="001A6CE4" w:rsidRPr="00E723F3">
              <w:rPr>
                <w:rFonts w:ascii="Times New Roman" w:hAnsi="Times New Roman" w:cs="Times New Roman"/>
              </w:rPr>
              <w:t xml:space="preserve"> su </w:t>
            </w:r>
            <w:r w:rsidRPr="00E723F3">
              <w:rPr>
                <w:rFonts w:ascii="Times New Roman" w:hAnsi="Times New Roman" w:cs="Times New Roman"/>
              </w:rPr>
              <w:t xml:space="preserve">Lietuvos </w:t>
            </w:r>
            <w:r w:rsidR="001A6CE4" w:rsidRPr="00E723F3">
              <w:rPr>
                <w:rFonts w:ascii="Times New Roman" w:hAnsi="Times New Roman" w:cs="Times New Roman"/>
              </w:rPr>
              <w:t>savivaldybių asociacijos pastaba</w:t>
            </w:r>
            <w:r w:rsidRPr="00E723F3">
              <w:rPr>
                <w:rFonts w:ascii="Times New Roman" w:hAnsi="Times New Roman" w:cs="Times New Roman"/>
              </w:rPr>
              <w:t>)</w:t>
            </w:r>
            <w:r w:rsidR="001A6CE4" w:rsidRPr="00E723F3">
              <w:rPr>
                <w:rFonts w:ascii="Times New Roman" w:hAnsi="Times New Roman" w:cs="Times New Roman"/>
              </w:rPr>
              <w:t>.</w:t>
            </w:r>
          </w:p>
          <w:p w14:paraId="63557EBA" w14:textId="24BFD71B" w:rsidR="00625E33" w:rsidRPr="00E723F3" w:rsidRDefault="00625E33" w:rsidP="0055031D">
            <w:pPr>
              <w:jc w:val="both"/>
              <w:rPr>
                <w:rFonts w:ascii="Times New Roman" w:hAnsi="Times New Roman" w:cs="Times New Roman"/>
              </w:rPr>
            </w:pPr>
          </w:p>
        </w:tc>
      </w:tr>
      <w:bookmarkEnd w:id="0"/>
      <w:bookmarkEnd w:id="1"/>
      <w:tr w:rsidR="005169A2" w:rsidRPr="00E723F3" w14:paraId="384E9CA6" w14:textId="77777777" w:rsidTr="00E723F3">
        <w:tc>
          <w:tcPr>
            <w:tcW w:w="14911" w:type="dxa"/>
            <w:gridSpan w:val="3"/>
            <w:shd w:val="pct10" w:color="auto" w:fill="auto"/>
          </w:tcPr>
          <w:p w14:paraId="6E151F76" w14:textId="77777777" w:rsidR="00174D39" w:rsidRPr="00E723F3" w:rsidRDefault="00174D39" w:rsidP="00E91B65">
            <w:pPr>
              <w:jc w:val="both"/>
              <w:rPr>
                <w:rFonts w:ascii="Times New Roman" w:hAnsi="Times New Roman" w:cs="Times New Roman"/>
                <w:b/>
                <w:bCs/>
              </w:rPr>
            </w:pPr>
            <w:r w:rsidRPr="00E723F3">
              <w:rPr>
                <w:rFonts w:ascii="Times New Roman" w:hAnsi="Times New Roman" w:cs="Times New Roman"/>
                <w:b/>
                <w:bCs/>
              </w:rPr>
              <w:t>Lietuvos Respublikos valstybės kontrolė</w:t>
            </w:r>
          </w:p>
          <w:p w14:paraId="1C02F3C5" w14:textId="0DDA687C" w:rsidR="005169A2" w:rsidRPr="00E723F3" w:rsidRDefault="00FB6135" w:rsidP="00E91B65">
            <w:pPr>
              <w:jc w:val="both"/>
              <w:rPr>
                <w:rFonts w:ascii="Times New Roman" w:hAnsi="Times New Roman" w:cs="Times New Roman"/>
              </w:rPr>
            </w:pPr>
            <w:r w:rsidRPr="00E723F3">
              <w:rPr>
                <w:rFonts w:ascii="Times New Roman" w:hAnsi="Times New Roman" w:cs="Times New Roman"/>
                <w:b/>
                <w:bCs/>
              </w:rPr>
              <w:t xml:space="preserve">Išvada </w:t>
            </w:r>
            <w:r w:rsidR="00174D39" w:rsidRPr="00E723F3">
              <w:rPr>
                <w:rFonts w:ascii="Times New Roman" w:hAnsi="Times New Roman" w:cs="Times New Roman"/>
                <w:b/>
                <w:bCs/>
              </w:rPr>
              <w:t>2021-11-18</w:t>
            </w:r>
            <w:r w:rsidRPr="00E723F3">
              <w:rPr>
                <w:rFonts w:ascii="Times New Roman" w:hAnsi="Times New Roman" w:cs="Times New Roman"/>
                <w:b/>
                <w:bCs/>
              </w:rPr>
              <w:t xml:space="preserve"> Nr. </w:t>
            </w:r>
            <w:r w:rsidR="00174D39" w:rsidRPr="00E723F3">
              <w:rPr>
                <w:rFonts w:ascii="Times New Roman" w:hAnsi="Times New Roman" w:cs="Times New Roman"/>
                <w:b/>
                <w:bCs/>
              </w:rPr>
              <w:t xml:space="preserve">SD-(70-1.8 </w:t>
            </w:r>
            <w:proofErr w:type="spellStart"/>
            <w:r w:rsidR="00174D39" w:rsidRPr="00E723F3">
              <w:rPr>
                <w:rFonts w:ascii="Times New Roman" w:hAnsi="Times New Roman" w:cs="Times New Roman"/>
                <w:b/>
                <w:bCs/>
              </w:rPr>
              <w:t>Mr</w:t>
            </w:r>
            <w:proofErr w:type="spellEnd"/>
            <w:r w:rsidR="00174D39" w:rsidRPr="00E723F3">
              <w:rPr>
                <w:rFonts w:ascii="Times New Roman" w:hAnsi="Times New Roman" w:cs="Times New Roman"/>
                <w:b/>
                <w:bCs/>
              </w:rPr>
              <w:t>)-989</w:t>
            </w:r>
            <w:r w:rsidR="00174D39" w:rsidRPr="00E723F3">
              <w:rPr>
                <w:rFonts w:ascii="Times New Roman" w:hAnsi="Times New Roman" w:cs="Times New Roman"/>
                <w:b/>
                <w:bCs/>
              </w:rPr>
              <w:tab/>
            </w:r>
          </w:p>
        </w:tc>
      </w:tr>
      <w:tr w:rsidR="005169A2" w:rsidRPr="00E723F3" w14:paraId="039E5523" w14:textId="77777777" w:rsidTr="00E723F3">
        <w:tc>
          <w:tcPr>
            <w:tcW w:w="1020" w:type="dxa"/>
          </w:tcPr>
          <w:p w14:paraId="3ADC4E51" w14:textId="55D76261" w:rsidR="005169A2" w:rsidRPr="00E723F3" w:rsidRDefault="00020BC8" w:rsidP="001A6CE4">
            <w:pPr>
              <w:jc w:val="both"/>
              <w:rPr>
                <w:rFonts w:ascii="Times New Roman" w:hAnsi="Times New Roman" w:cs="Times New Roman"/>
              </w:rPr>
            </w:pPr>
            <w:r w:rsidRPr="00E723F3">
              <w:rPr>
                <w:rFonts w:ascii="Times New Roman" w:hAnsi="Times New Roman" w:cs="Times New Roman"/>
              </w:rPr>
              <w:t>1</w:t>
            </w:r>
            <w:r w:rsidR="00E93F8D" w:rsidRPr="00E723F3">
              <w:rPr>
                <w:rFonts w:ascii="Times New Roman" w:hAnsi="Times New Roman" w:cs="Times New Roman"/>
              </w:rPr>
              <w:t>.</w:t>
            </w:r>
            <w:r w:rsidR="00BD2F3B" w:rsidRPr="00E723F3">
              <w:rPr>
                <w:rFonts w:ascii="Times New Roman" w:hAnsi="Times New Roman" w:cs="Times New Roman"/>
              </w:rPr>
              <w:t xml:space="preserve"> </w:t>
            </w:r>
          </w:p>
        </w:tc>
        <w:tc>
          <w:tcPr>
            <w:tcW w:w="6662" w:type="dxa"/>
          </w:tcPr>
          <w:p w14:paraId="61DA75A7" w14:textId="37846D9D" w:rsidR="005169A2" w:rsidRPr="00E723F3" w:rsidRDefault="00174D39" w:rsidP="00E723F3">
            <w:pPr>
              <w:jc w:val="both"/>
              <w:rPr>
                <w:rFonts w:ascii="Times New Roman" w:hAnsi="Times New Roman" w:cs="Times New Roman"/>
              </w:rPr>
            </w:pPr>
            <w:r w:rsidRPr="00E723F3">
              <w:rPr>
                <w:rFonts w:ascii="Times New Roman" w:hAnsi="Times New Roman" w:cs="Times New Roman"/>
              </w:rPr>
              <w:t>Kadangi trumpinys „vertintojas“ įvestas taisyklių 4 p., siūlome jį vartoti priedo (pažymos formos) 3 ir 5 stulpeliuose vietoje sąvokos „antikorupcinį vertinimą atliekantis asmuo“.</w:t>
            </w:r>
          </w:p>
        </w:tc>
        <w:tc>
          <w:tcPr>
            <w:tcW w:w="7229" w:type="dxa"/>
          </w:tcPr>
          <w:p w14:paraId="1BA00BAB" w14:textId="4EEACD8F" w:rsidR="00BD10FF" w:rsidRPr="00E723F3" w:rsidRDefault="001A6CE4" w:rsidP="00E91B65">
            <w:pPr>
              <w:jc w:val="both"/>
              <w:rPr>
                <w:rFonts w:ascii="Times New Roman" w:hAnsi="Times New Roman" w:cs="Times New Roman"/>
              </w:rPr>
            </w:pPr>
            <w:r w:rsidRPr="00E723F3">
              <w:rPr>
                <w:rFonts w:ascii="Times New Roman" w:hAnsi="Times New Roman" w:cs="Times New Roman"/>
              </w:rPr>
              <w:t>Neatsižvelgta</w:t>
            </w:r>
            <w:r w:rsidR="00673CAE" w:rsidRPr="00E723F3">
              <w:rPr>
                <w:rFonts w:ascii="Times New Roman" w:hAnsi="Times New Roman" w:cs="Times New Roman"/>
              </w:rPr>
              <w:t>.</w:t>
            </w:r>
          </w:p>
          <w:p w14:paraId="63E08E89" w14:textId="77777777" w:rsidR="002605CC" w:rsidRPr="00E723F3" w:rsidRDefault="002605CC" w:rsidP="00E91B65">
            <w:pPr>
              <w:jc w:val="both"/>
              <w:rPr>
                <w:rFonts w:ascii="Times New Roman" w:hAnsi="Times New Roman" w:cs="Times New Roman"/>
              </w:rPr>
            </w:pPr>
          </w:p>
          <w:p w14:paraId="14E08015" w14:textId="30012885" w:rsidR="007445D5" w:rsidRPr="00E723F3" w:rsidRDefault="00BD10FF" w:rsidP="00673CAE">
            <w:pPr>
              <w:jc w:val="both"/>
              <w:rPr>
                <w:rFonts w:ascii="Times New Roman" w:hAnsi="Times New Roman" w:cs="Times New Roman"/>
              </w:rPr>
            </w:pPr>
            <w:r w:rsidRPr="00E723F3">
              <w:rPr>
                <w:rFonts w:ascii="Times New Roman" w:hAnsi="Times New Roman" w:cs="Times New Roman"/>
              </w:rPr>
              <w:t xml:space="preserve">Pažymoje </w:t>
            </w:r>
            <w:r w:rsidR="00673CAE" w:rsidRPr="00E723F3">
              <w:rPr>
                <w:rFonts w:ascii="Times New Roman" w:hAnsi="Times New Roman" w:cs="Times New Roman"/>
              </w:rPr>
              <w:t>nurodant</w:t>
            </w:r>
            <w:r w:rsidRPr="00E723F3">
              <w:rPr>
                <w:rFonts w:ascii="Times New Roman" w:hAnsi="Times New Roman" w:cs="Times New Roman"/>
              </w:rPr>
              <w:t xml:space="preserve"> pilną pareigų  pavadinimą („antikorupcinį vertinimą atliekantis asmuo“) pažymos nuostat</w:t>
            </w:r>
            <w:r w:rsidR="00F96BAB" w:rsidRPr="00E723F3">
              <w:rPr>
                <w:rFonts w:ascii="Times New Roman" w:hAnsi="Times New Roman" w:cs="Times New Roman"/>
              </w:rPr>
              <w:t>a</w:t>
            </w:r>
            <w:r w:rsidRPr="00E723F3">
              <w:rPr>
                <w:rFonts w:ascii="Times New Roman" w:hAnsi="Times New Roman" w:cs="Times New Roman"/>
              </w:rPr>
              <w:t xml:space="preserve"> yra aiškesnės, </w:t>
            </w:r>
            <w:r w:rsidR="005044BB" w:rsidRPr="00E723F3">
              <w:rPr>
                <w:rFonts w:ascii="Times New Roman" w:hAnsi="Times New Roman" w:cs="Times New Roman"/>
              </w:rPr>
              <w:t xml:space="preserve">nekyla </w:t>
            </w:r>
            <w:r w:rsidR="00F96BAB" w:rsidRPr="00E723F3">
              <w:rPr>
                <w:rFonts w:ascii="Times New Roman" w:hAnsi="Times New Roman" w:cs="Times New Roman"/>
              </w:rPr>
              <w:t>dėl jos</w:t>
            </w:r>
            <w:r w:rsidR="00BC55E1" w:rsidRPr="00E723F3">
              <w:rPr>
                <w:rFonts w:ascii="Times New Roman" w:hAnsi="Times New Roman" w:cs="Times New Roman"/>
              </w:rPr>
              <w:t xml:space="preserve"> </w:t>
            </w:r>
            <w:r w:rsidR="005044BB" w:rsidRPr="00E723F3">
              <w:rPr>
                <w:rFonts w:ascii="Times New Roman" w:hAnsi="Times New Roman" w:cs="Times New Roman"/>
              </w:rPr>
              <w:t>a</w:t>
            </w:r>
            <w:r w:rsidRPr="00E723F3">
              <w:rPr>
                <w:rFonts w:ascii="Times New Roman" w:hAnsi="Times New Roman" w:cs="Times New Roman"/>
              </w:rPr>
              <w:t>bejonių</w:t>
            </w:r>
            <w:r w:rsidR="00673CAE" w:rsidRPr="00E723F3">
              <w:rPr>
                <w:rFonts w:ascii="Times New Roman" w:hAnsi="Times New Roman" w:cs="Times New Roman"/>
              </w:rPr>
              <w:t>.</w:t>
            </w:r>
            <w:r w:rsidR="00697131" w:rsidRPr="00E723F3">
              <w:rPr>
                <w:rFonts w:ascii="Times New Roman" w:hAnsi="Times New Roman" w:cs="Times New Roman"/>
              </w:rPr>
              <w:t xml:space="preserve"> </w:t>
            </w:r>
            <w:r w:rsidR="00673CAE" w:rsidRPr="00E723F3">
              <w:rPr>
                <w:rFonts w:ascii="Times New Roman" w:hAnsi="Times New Roman" w:cs="Times New Roman"/>
              </w:rPr>
              <w:t>Pastebėtina, kad p</w:t>
            </w:r>
            <w:r w:rsidR="00697131" w:rsidRPr="00E723F3">
              <w:rPr>
                <w:rFonts w:ascii="Times New Roman" w:hAnsi="Times New Roman" w:cs="Times New Roman"/>
              </w:rPr>
              <w:t>ažymos įkeliamos į T</w:t>
            </w:r>
            <w:r w:rsidR="00673CAE" w:rsidRPr="00E723F3">
              <w:rPr>
                <w:rFonts w:ascii="Times New Roman" w:hAnsi="Times New Roman" w:cs="Times New Roman"/>
              </w:rPr>
              <w:t xml:space="preserve">eisės aktų informacinę sistemą, </w:t>
            </w:r>
            <w:r w:rsidR="00673CAE" w:rsidRPr="00E723F3">
              <w:rPr>
                <w:rFonts w:ascii="Times New Roman" w:hAnsi="Times New Roman" w:cs="Times New Roman"/>
              </w:rPr>
              <w:lastRenderedPageBreak/>
              <w:t>teikiamos kitiems subjektams, o vertintojo pareigų sutrumpinimo paaiškinimas būtų pateiktas tik Taisyklėse.</w:t>
            </w:r>
            <w:r w:rsidR="00697131" w:rsidRPr="00E723F3">
              <w:rPr>
                <w:rFonts w:ascii="Times New Roman" w:hAnsi="Times New Roman" w:cs="Times New Roman"/>
              </w:rPr>
              <w:t xml:space="preserve"> </w:t>
            </w:r>
          </w:p>
        </w:tc>
      </w:tr>
      <w:tr w:rsidR="00574FCB" w:rsidRPr="00E723F3" w14:paraId="5E95E627" w14:textId="77777777" w:rsidTr="00E723F3">
        <w:tc>
          <w:tcPr>
            <w:tcW w:w="14911" w:type="dxa"/>
            <w:gridSpan w:val="3"/>
            <w:shd w:val="pct10" w:color="auto" w:fill="auto"/>
          </w:tcPr>
          <w:p w14:paraId="7D2D896B" w14:textId="5CF820D3" w:rsidR="00574FCB" w:rsidRPr="00E723F3" w:rsidRDefault="00574FCB" w:rsidP="00E91B65">
            <w:pPr>
              <w:jc w:val="both"/>
              <w:rPr>
                <w:rFonts w:ascii="Times New Roman" w:hAnsi="Times New Roman" w:cs="Times New Roman"/>
                <w:b/>
                <w:bCs/>
              </w:rPr>
            </w:pPr>
            <w:bookmarkStart w:id="2" w:name="_Hlk87556663"/>
            <w:r w:rsidRPr="00E723F3">
              <w:rPr>
                <w:rFonts w:ascii="Times New Roman" w:hAnsi="Times New Roman" w:cs="Times New Roman"/>
                <w:b/>
                <w:bCs/>
              </w:rPr>
              <w:lastRenderedPageBreak/>
              <w:t xml:space="preserve">Lietuvos Respublikos </w:t>
            </w:r>
            <w:r w:rsidR="00F93738" w:rsidRPr="00E723F3">
              <w:rPr>
                <w:rFonts w:ascii="Times New Roman" w:hAnsi="Times New Roman" w:cs="Times New Roman"/>
                <w:b/>
                <w:bCs/>
              </w:rPr>
              <w:t>susisiekimo</w:t>
            </w:r>
            <w:r w:rsidRPr="00E723F3">
              <w:rPr>
                <w:rFonts w:ascii="Times New Roman" w:hAnsi="Times New Roman" w:cs="Times New Roman"/>
                <w:b/>
                <w:bCs/>
              </w:rPr>
              <w:t xml:space="preserve"> ministerija</w:t>
            </w:r>
          </w:p>
          <w:p w14:paraId="56FDB858" w14:textId="6DD713DA" w:rsidR="00574FCB" w:rsidRPr="00E723F3" w:rsidRDefault="00574FCB" w:rsidP="00E91B65">
            <w:pPr>
              <w:jc w:val="both"/>
              <w:rPr>
                <w:rFonts w:ascii="Times New Roman" w:hAnsi="Times New Roman" w:cs="Times New Roman"/>
              </w:rPr>
            </w:pPr>
            <w:r w:rsidRPr="00E723F3">
              <w:rPr>
                <w:rFonts w:ascii="Times New Roman" w:hAnsi="Times New Roman" w:cs="Times New Roman"/>
                <w:b/>
                <w:bCs/>
              </w:rPr>
              <w:t xml:space="preserve">Raštas </w:t>
            </w:r>
            <w:r w:rsidR="00F93738" w:rsidRPr="00E723F3">
              <w:rPr>
                <w:rFonts w:ascii="Times New Roman" w:hAnsi="Times New Roman" w:cs="Times New Roman"/>
                <w:b/>
                <w:bCs/>
              </w:rPr>
              <w:t>2021-11-23</w:t>
            </w:r>
            <w:r w:rsidRPr="00E723F3">
              <w:rPr>
                <w:rFonts w:ascii="Times New Roman" w:hAnsi="Times New Roman" w:cs="Times New Roman"/>
                <w:b/>
                <w:bCs/>
              </w:rPr>
              <w:t xml:space="preserve"> Nr. </w:t>
            </w:r>
            <w:r w:rsidR="00EF3822" w:rsidRPr="00E723F3">
              <w:rPr>
                <w:rFonts w:ascii="Times New Roman" w:hAnsi="Times New Roman" w:cs="Times New Roman"/>
                <w:b/>
                <w:bCs/>
              </w:rPr>
              <w:t>2-4971</w:t>
            </w:r>
          </w:p>
        </w:tc>
      </w:tr>
      <w:tr w:rsidR="00523C4E" w:rsidRPr="00E723F3" w14:paraId="2FEFAD71" w14:textId="77777777" w:rsidTr="00E723F3">
        <w:tc>
          <w:tcPr>
            <w:tcW w:w="1020" w:type="dxa"/>
          </w:tcPr>
          <w:p w14:paraId="2727025A" w14:textId="778C6D3A" w:rsidR="00523C4E" w:rsidRPr="00E723F3" w:rsidRDefault="00020BC8" w:rsidP="00844082">
            <w:pPr>
              <w:jc w:val="both"/>
              <w:rPr>
                <w:rFonts w:ascii="Times New Roman" w:hAnsi="Times New Roman" w:cs="Times New Roman"/>
              </w:rPr>
            </w:pPr>
            <w:bookmarkStart w:id="3" w:name="_Hlk87556944"/>
            <w:r w:rsidRPr="00E723F3">
              <w:rPr>
                <w:rFonts w:ascii="Times New Roman" w:hAnsi="Times New Roman" w:cs="Times New Roman"/>
              </w:rPr>
              <w:t>1</w:t>
            </w:r>
            <w:r w:rsidR="00C04FFA" w:rsidRPr="00E723F3">
              <w:rPr>
                <w:rFonts w:ascii="Times New Roman" w:hAnsi="Times New Roman" w:cs="Times New Roman"/>
              </w:rPr>
              <w:t xml:space="preserve">. </w:t>
            </w:r>
          </w:p>
        </w:tc>
        <w:tc>
          <w:tcPr>
            <w:tcW w:w="6662" w:type="dxa"/>
          </w:tcPr>
          <w:p w14:paraId="1E921089" w14:textId="7642DDDA" w:rsidR="00523C4E" w:rsidRPr="00E723F3" w:rsidRDefault="00EF3822" w:rsidP="00EF3822">
            <w:pPr>
              <w:jc w:val="both"/>
              <w:rPr>
                <w:rFonts w:ascii="Times New Roman" w:hAnsi="Times New Roman" w:cs="Times New Roman"/>
              </w:rPr>
            </w:pPr>
            <w:r w:rsidRPr="00E723F3">
              <w:rPr>
                <w:rFonts w:ascii="Times New Roman" w:hAnsi="Times New Roman" w:cs="Times New Roman"/>
              </w:rPr>
              <w:t>Manome, kad tikslinga papildyti taisykles nuostatomis, kurios reglamentuotų, kaip viešojo administravimo įgaliojimus turintys subjektai turi atlikti ir skelbti savo rengiamų teisės akto projektų (kurie nėra teikiami Lietuvos Respublikos Seimui, Lietuvos Respublikos Vyriausybei, ar ministerijoms) antikorupcinį vertinimą, nes ne  visi viešojo sektoriaus subjektai pagal Korupcijos prevencijos įstatymą turi atlikti rengiamų teisės aktų antikorupcinį vertinimą.</w:t>
            </w:r>
          </w:p>
        </w:tc>
        <w:tc>
          <w:tcPr>
            <w:tcW w:w="7229" w:type="dxa"/>
          </w:tcPr>
          <w:p w14:paraId="44CF8097" w14:textId="539727FE" w:rsidR="00C56AF2" w:rsidRPr="00E723F3" w:rsidRDefault="00C56AF2" w:rsidP="0054484B">
            <w:pPr>
              <w:jc w:val="both"/>
              <w:rPr>
                <w:rFonts w:ascii="Times New Roman" w:hAnsi="Times New Roman" w:cs="Times New Roman"/>
              </w:rPr>
            </w:pPr>
            <w:r w:rsidRPr="00E723F3">
              <w:rPr>
                <w:rFonts w:ascii="Times New Roman" w:hAnsi="Times New Roman" w:cs="Times New Roman"/>
              </w:rPr>
              <w:t>Neatsižvelgta.</w:t>
            </w:r>
          </w:p>
          <w:p w14:paraId="2E84E59C" w14:textId="7ED3D3A2" w:rsidR="00C56AF2" w:rsidRPr="00E723F3" w:rsidRDefault="00C56AF2" w:rsidP="0054484B">
            <w:pPr>
              <w:jc w:val="both"/>
              <w:rPr>
                <w:rFonts w:ascii="Times New Roman" w:hAnsi="Times New Roman" w:cs="Times New Roman"/>
                <w:highlight w:val="yellow"/>
              </w:rPr>
            </w:pPr>
          </w:p>
          <w:p w14:paraId="1F6AF925" w14:textId="148F78E5" w:rsidR="00C56AF2" w:rsidRPr="00E723F3" w:rsidRDefault="00D05B1D" w:rsidP="0054484B">
            <w:pPr>
              <w:jc w:val="both"/>
              <w:rPr>
                <w:rFonts w:ascii="Times New Roman" w:hAnsi="Times New Roman" w:cs="Times New Roman"/>
                <w:color w:val="000000"/>
              </w:rPr>
            </w:pPr>
            <w:r w:rsidRPr="00E723F3">
              <w:rPr>
                <w:rFonts w:ascii="Times New Roman" w:hAnsi="Times New Roman" w:cs="Times New Roman"/>
                <w:color w:val="000000"/>
              </w:rPr>
              <w:t xml:space="preserve">Naujos redakcijos </w:t>
            </w:r>
            <w:r w:rsidR="00C56AF2" w:rsidRPr="00E723F3">
              <w:rPr>
                <w:rFonts w:ascii="Times New Roman" w:hAnsi="Times New Roman" w:cs="Times New Roman"/>
                <w:color w:val="000000"/>
              </w:rPr>
              <w:t>Korupcijos prevencijos įstatymo 8 str. 3 d. nustatyta:</w:t>
            </w:r>
          </w:p>
          <w:p w14:paraId="360FCE9D" w14:textId="77777777" w:rsidR="00C56AF2" w:rsidRPr="00E723F3" w:rsidRDefault="00C56AF2" w:rsidP="0054484B">
            <w:pPr>
              <w:jc w:val="both"/>
              <w:rPr>
                <w:rFonts w:ascii="Times New Roman" w:hAnsi="Times New Roman" w:cs="Times New Roman"/>
                <w:highlight w:val="yellow"/>
              </w:rPr>
            </w:pPr>
          </w:p>
          <w:p w14:paraId="0FD4D6BE" w14:textId="733EF0A4" w:rsidR="00BC55E1" w:rsidRPr="00E723F3" w:rsidRDefault="00C56AF2" w:rsidP="0054484B">
            <w:pPr>
              <w:jc w:val="both"/>
              <w:rPr>
                <w:rFonts w:ascii="Times New Roman" w:hAnsi="Times New Roman" w:cs="Times New Roman"/>
                <w:color w:val="000000"/>
              </w:rPr>
            </w:pPr>
            <w:r w:rsidRPr="00E723F3">
              <w:rPr>
                <w:rFonts w:ascii="Times New Roman" w:hAnsi="Times New Roman" w:cs="Times New Roman"/>
                <w:color w:val="000000"/>
              </w:rPr>
              <w:t>„Viešojo administravimo subjekto rengiamo teisės akto projekto antikorupcinį vertinimą atlieka viešojo administravimo subjekto darbuotojas, kuriam viešojo administravimo subjekto vadovo ar jo įgalioto asmens yra pavesta atlikti teisės aktų projektų antikorupcinius vertinimus. Atlikdamas antikorupcinį vertinimą, viešojo administravimo subjekto darbuotojas parengia teisės akto projekto antikorupcinio vertinimo pažymą; ši pažyma pateikiama teisės akto projekto rengėjui ir skelbiama Lietuvos Respublikos Seimo teisės aktų informacinėje sistemoje.“</w:t>
            </w:r>
          </w:p>
          <w:p w14:paraId="50A2AFC6" w14:textId="78152021" w:rsidR="00020BC8" w:rsidRPr="00E723F3" w:rsidRDefault="00020BC8" w:rsidP="0054484B">
            <w:pPr>
              <w:jc w:val="both"/>
              <w:rPr>
                <w:rFonts w:ascii="Times New Roman" w:hAnsi="Times New Roman" w:cs="Times New Roman"/>
                <w:color w:val="000000"/>
              </w:rPr>
            </w:pPr>
          </w:p>
          <w:p w14:paraId="64912971" w14:textId="26CE6A4A" w:rsidR="00BC55E1" w:rsidRPr="00E723F3" w:rsidRDefault="00020BC8" w:rsidP="00020BC8">
            <w:pPr>
              <w:jc w:val="both"/>
              <w:rPr>
                <w:rFonts w:ascii="Times New Roman" w:hAnsi="Times New Roman" w:cs="Times New Roman"/>
              </w:rPr>
            </w:pPr>
            <w:r w:rsidRPr="00E723F3">
              <w:rPr>
                <w:rFonts w:ascii="Times New Roman" w:hAnsi="Times New Roman" w:cs="Times New Roman"/>
              </w:rPr>
              <w:t>Pagal Taisyklių projekto 15 punktą, pažyma pridedama kaip lydimasis teisės akto projekto dokumentas ir paskelbiama Lietuvos Respublikos Seimo teisės aktų informacinėje sistemoje</w:t>
            </w:r>
            <w:bookmarkStart w:id="4" w:name="part_429c8be36783456889512dcdf5d29dd6"/>
            <w:bookmarkEnd w:id="4"/>
            <w:r w:rsidRPr="00E723F3">
              <w:rPr>
                <w:rFonts w:ascii="Times New Roman" w:hAnsi="Times New Roman" w:cs="Times New Roman"/>
              </w:rPr>
              <w:t>.</w:t>
            </w:r>
          </w:p>
        </w:tc>
      </w:tr>
      <w:tr w:rsidR="00404292" w:rsidRPr="00E723F3" w14:paraId="2F0685E2" w14:textId="77777777" w:rsidTr="00E723F3">
        <w:tc>
          <w:tcPr>
            <w:tcW w:w="14911" w:type="dxa"/>
            <w:gridSpan w:val="3"/>
            <w:shd w:val="pct10" w:color="auto" w:fill="auto"/>
          </w:tcPr>
          <w:p w14:paraId="7619DB32" w14:textId="579C2F7E" w:rsidR="00404292" w:rsidRPr="00E723F3" w:rsidRDefault="00425107" w:rsidP="00E91B65">
            <w:pPr>
              <w:jc w:val="both"/>
              <w:rPr>
                <w:rFonts w:ascii="Times New Roman" w:hAnsi="Times New Roman" w:cs="Times New Roman"/>
                <w:b/>
                <w:bCs/>
              </w:rPr>
            </w:pPr>
            <w:bookmarkStart w:id="5" w:name="_Hlk87556605"/>
            <w:bookmarkEnd w:id="2"/>
            <w:bookmarkEnd w:id="3"/>
            <w:r w:rsidRPr="00E723F3">
              <w:rPr>
                <w:rFonts w:ascii="Times New Roman" w:hAnsi="Times New Roman" w:cs="Times New Roman"/>
                <w:b/>
                <w:bCs/>
              </w:rPr>
              <w:t>Lietuvos nusikaltimų aukų rėmimo asociacija</w:t>
            </w:r>
          </w:p>
          <w:p w14:paraId="58FAF7F0" w14:textId="062D3829" w:rsidR="00404292" w:rsidRPr="00E723F3" w:rsidRDefault="00404292" w:rsidP="00E91B65">
            <w:pPr>
              <w:jc w:val="both"/>
              <w:rPr>
                <w:rFonts w:ascii="Times New Roman" w:hAnsi="Times New Roman" w:cs="Times New Roman"/>
              </w:rPr>
            </w:pPr>
            <w:r w:rsidRPr="00E723F3">
              <w:rPr>
                <w:rFonts w:ascii="Times New Roman" w:hAnsi="Times New Roman" w:cs="Times New Roman"/>
                <w:b/>
                <w:bCs/>
              </w:rPr>
              <w:t xml:space="preserve">Raštas 2021-11-08 Nr. </w:t>
            </w:r>
            <w:r w:rsidR="00B05D18" w:rsidRPr="00E723F3">
              <w:rPr>
                <w:rFonts w:ascii="Times New Roman" w:hAnsi="Times New Roman" w:cs="Times New Roman"/>
                <w:b/>
                <w:bCs/>
              </w:rPr>
              <w:t>(S1.1.)-19</w:t>
            </w:r>
          </w:p>
        </w:tc>
      </w:tr>
      <w:tr w:rsidR="00425107" w:rsidRPr="00E723F3" w14:paraId="56312D85" w14:textId="77777777" w:rsidTr="00E723F3">
        <w:tc>
          <w:tcPr>
            <w:tcW w:w="1020" w:type="dxa"/>
          </w:tcPr>
          <w:p w14:paraId="48AF4252" w14:textId="7EAA7685" w:rsidR="00425107" w:rsidRPr="00E723F3" w:rsidRDefault="004373A3" w:rsidP="00F91F2B">
            <w:pPr>
              <w:jc w:val="both"/>
              <w:rPr>
                <w:rFonts w:ascii="Times New Roman" w:hAnsi="Times New Roman" w:cs="Times New Roman"/>
              </w:rPr>
            </w:pPr>
            <w:r w:rsidRPr="00E723F3">
              <w:rPr>
                <w:rFonts w:ascii="Times New Roman" w:hAnsi="Times New Roman" w:cs="Times New Roman"/>
              </w:rPr>
              <w:t>1</w:t>
            </w:r>
            <w:r w:rsidR="00425107" w:rsidRPr="00E723F3">
              <w:rPr>
                <w:rFonts w:ascii="Times New Roman" w:hAnsi="Times New Roman" w:cs="Times New Roman"/>
              </w:rPr>
              <w:t>.</w:t>
            </w:r>
            <w:r w:rsidR="000E09FF" w:rsidRPr="00E723F3">
              <w:rPr>
                <w:rFonts w:ascii="Times New Roman" w:hAnsi="Times New Roman" w:cs="Times New Roman"/>
              </w:rPr>
              <w:t xml:space="preserve"> </w:t>
            </w:r>
          </w:p>
        </w:tc>
        <w:tc>
          <w:tcPr>
            <w:tcW w:w="6662" w:type="dxa"/>
          </w:tcPr>
          <w:p w14:paraId="4383F980" w14:textId="574E9B26" w:rsidR="004E3B4C" w:rsidRPr="00E723F3" w:rsidRDefault="004E3B4C" w:rsidP="004E3B4C">
            <w:pPr>
              <w:jc w:val="both"/>
              <w:rPr>
                <w:rFonts w:ascii="Times New Roman" w:hAnsi="Times New Roman" w:cs="Times New Roman"/>
              </w:rPr>
            </w:pPr>
            <w:r w:rsidRPr="00E723F3">
              <w:rPr>
                <w:rFonts w:ascii="Times New Roman" w:hAnsi="Times New Roman" w:cs="Times New Roman"/>
              </w:rPr>
              <w:t xml:space="preserve">Teisės aktų projektų antikorupcinio vertinimo taisyklių priedą Teisės aktų projektų antikorupcinio vertinimo pažymos lentelę (toliau – Projekto pažymos lentelė) papildyti: Projekto pažymos lentelė papildyti 1. punktu atitinkamai pakeisti punktų numeraciją žemiau: 1. </w:t>
            </w:r>
            <w:r w:rsidRPr="00E723F3">
              <w:rPr>
                <w:rFonts w:ascii="Times New Roman" w:hAnsi="Times New Roman" w:cs="Times New Roman"/>
              </w:rPr>
              <w:tab/>
              <w:t xml:space="preserve">Kokių visuomeninių santykių subjektų reguliavimui skirtas teisės akto projektas? (pažymėti) </w:t>
            </w:r>
            <w:r w:rsidRPr="00E723F3">
              <w:rPr>
                <w:rFonts w:ascii="Times New Roman" w:hAnsi="Times New Roman" w:cs="Times New Roman"/>
              </w:rPr>
              <w:tab/>
              <w:t xml:space="preserve">□ fizinių asmenų </w:t>
            </w:r>
          </w:p>
          <w:p w14:paraId="39078CB3" w14:textId="77777777" w:rsidR="004E3B4C" w:rsidRPr="00E723F3" w:rsidRDefault="004E3B4C" w:rsidP="004E3B4C">
            <w:pPr>
              <w:jc w:val="both"/>
              <w:rPr>
                <w:rFonts w:ascii="Times New Roman" w:hAnsi="Times New Roman" w:cs="Times New Roman"/>
              </w:rPr>
            </w:pPr>
            <w:r w:rsidRPr="00E723F3">
              <w:rPr>
                <w:rFonts w:ascii="Times New Roman" w:hAnsi="Times New Roman" w:cs="Times New Roman"/>
              </w:rPr>
              <w:t xml:space="preserve">□ juridinių asmenų </w:t>
            </w:r>
          </w:p>
          <w:p w14:paraId="71AD89C3" w14:textId="77777777" w:rsidR="004E3B4C" w:rsidRPr="00E723F3" w:rsidRDefault="004E3B4C" w:rsidP="004E3B4C">
            <w:pPr>
              <w:jc w:val="both"/>
              <w:rPr>
                <w:rFonts w:ascii="Times New Roman" w:hAnsi="Times New Roman" w:cs="Times New Roman"/>
              </w:rPr>
            </w:pPr>
            <w:r w:rsidRPr="00E723F3">
              <w:rPr>
                <w:rFonts w:ascii="Times New Roman" w:hAnsi="Times New Roman" w:cs="Times New Roman"/>
              </w:rPr>
              <w:t xml:space="preserve">□ verslo subjektų </w:t>
            </w:r>
          </w:p>
          <w:p w14:paraId="298AFCC5" w14:textId="77777777" w:rsidR="004E3B4C" w:rsidRPr="00E723F3" w:rsidRDefault="004E3B4C" w:rsidP="004E3B4C">
            <w:pPr>
              <w:jc w:val="both"/>
              <w:rPr>
                <w:rFonts w:ascii="Times New Roman" w:hAnsi="Times New Roman" w:cs="Times New Roman"/>
              </w:rPr>
            </w:pPr>
            <w:r w:rsidRPr="00E723F3">
              <w:rPr>
                <w:rFonts w:ascii="Times New Roman" w:hAnsi="Times New Roman" w:cs="Times New Roman"/>
              </w:rPr>
              <w:t xml:space="preserve">□ viešojo administravimo subjektų </w:t>
            </w:r>
          </w:p>
          <w:p w14:paraId="540FE004" w14:textId="77777777" w:rsidR="004E3B4C" w:rsidRPr="00E723F3" w:rsidRDefault="004E3B4C" w:rsidP="004E3B4C">
            <w:pPr>
              <w:jc w:val="both"/>
              <w:rPr>
                <w:rFonts w:ascii="Times New Roman" w:hAnsi="Times New Roman" w:cs="Times New Roman"/>
              </w:rPr>
            </w:pPr>
            <w:r w:rsidRPr="00E723F3">
              <w:rPr>
                <w:rFonts w:ascii="Times New Roman" w:hAnsi="Times New Roman" w:cs="Times New Roman"/>
              </w:rPr>
              <w:t xml:space="preserve">□ viešojo paslaugų sektoriaus subjektų </w:t>
            </w:r>
          </w:p>
          <w:p w14:paraId="0011DA1D" w14:textId="77777777" w:rsidR="004E3B4C" w:rsidRPr="00E723F3" w:rsidRDefault="004E3B4C" w:rsidP="004E3B4C">
            <w:pPr>
              <w:jc w:val="both"/>
              <w:rPr>
                <w:rFonts w:ascii="Times New Roman" w:hAnsi="Times New Roman" w:cs="Times New Roman"/>
              </w:rPr>
            </w:pPr>
            <w:r w:rsidRPr="00E723F3">
              <w:rPr>
                <w:rFonts w:ascii="Times New Roman" w:hAnsi="Times New Roman" w:cs="Times New Roman"/>
              </w:rPr>
              <w:t xml:space="preserve">□ kita________________ _______________________ </w:t>
            </w:r>
            <w:r w:rsidRPr="00E723F3">
              <w:rPr>
                <w:rFonts w:ascii="Times New Roman" w:hAnsi="Times New Roman" w:cs="Times New Roman"/>
              </w:rPr>
              <w:tab/>
              <w:t xml:space="preserve">□ sutinka </w:t>
            </w:r>
          </w:p>
          <w:p w14:paraId="3013B8C5" w14:textId="47E94A26" w:rsidR="00425107" w:rsidRPr="00E723F3" w:rsidRDefault="004E3B4C" w:rsidP="004E3B4C">
            <w:pPr>
              <w:jc w:val="both"/>
              <w:rPr>
                <w:rFonts w:ascii="Times New Roman" w:hAnsi="Times New Roman" w:cs="Times New Roman"/>
              </w:rPr>
            </w:pPr>
            <w:r w:rsidRPr="00E723F3">
              <w:rPr>
                <w:rFonts w:ascii="Times New Roman" w:hAnsi="Times New Roman" w:cs="Times New Roman"/>
              </w:rPr>
              <w:t>□ nesutinka</w:t>
            </w:r>
          </w:p>
        </w:tc>
        <w:tc>
          <w:tcPr>
            <w:tcW w:w="7229" w:type="dxa"/>
          </w:tcPr>
          <w:p w14:paraId="54C6E934" w14:textId="760B7FC7" w:rsidR="00425107" w:rsidRPr="00E723F3" w:rsidRDefault="00F57EFE" w:rsidP="00E91B65">
            <w:pPr>
              <w:jc w:val="both"/>
              <w:rPr>
                <w:rFonts w:ascii="Times New Roman" w:hAnsi="Times New Roman" w:cs="Times New Roman"/>
              </w:rPr>
            </w:pPr>
            <w:r w:rsidRPr="00E723F3">
              <w:rPr>
                <w:rFonts w:ascii="Times New Roman" w:hAnsi="Times New Roman" w:cs="Times New Roman"/>
              </w:rPr>
              <w:t>N</w:t>
            </w:r>
            <w:r w:rsidR="00255713" w:rsidRPr="00E723F3">
              <w:rPr>
                <w:rFonts w:ascii="Times New Roman" w:hAnsi="Times New Roman" w:cs="Times New Roman"/>
              </w:rPr>
              <w:t>eatsižvelgt</w:t>
            </w:r>
            <w:r w:rsidRPr="00E723F3">
              <w:rPr>
                <w:rFonts w:ascii="Times New Roman" w:hAnsi="Times New Roman" w:cs="Times New Roman"/>
              </w:rPr>
              <w:t>a</w:t>
            </w:r>
            <w:r w:rsidR="00255713" w:rsidRPr="00E723F3">
              <w:rPr>
                <w:rFonts w:ascii="Times New Roman" w:hAnsi="Times New Roman" w:cs="Times New Roman"/>
              </w:rPr>
              <w:t>.</w:t>
            </w:r>
          </w:p>
          <w:p w14:paraId="1855FDD8" w14:textId="77777777" w:rsidR="00255713" w:rsidRPr="00E723F3" w:rsidRDefault="00255713" w:rsidP="00E91B65">
            <w:pPr>
              <w:jc w:val="both"/>
              <w:rPr>
                <w:rFonts w:ascii="Times New Roman" w:hAnsi="Times New Roman" w:cs="Times New Roman"/>
              </w:rPr>
            </w:pPr>
          </w:p>
          <w:p w14:paraId="7FA41E73" w14:textId="3D201879" w:rsidR="00255713" w:rsidRPr="00E723F3" w:rsidRDefault="004373A3" w:rsidP="00674FDA">
            <w:pPr>
              <w:jc w:val="both"/>
              <w:rPr>
                <w:rFonts w:ascii="Times New Roman" w:hAnsi="Times New Roman" w:cs="Times New Roman"/>
              </w:rPr>
            </w:pPr>
            <w:r w:rsidRPr="00E723F3">
              <w:rPr>
                <w:rFonts w:ascii="Times New Roman" w:hAnsi="Times New Roman" w:cs="Times New Roman"/>
              </w:rPr>
              <w:t>S</w:t>
            </w:r>
            <w:r w:rsidR="006D2306" w:rsidRPr="00E723F3">
              <w:rPr>
                <w:rFonts w:ascii="Times New Roman" w:hAnsi="Times New Roman" w:cs="Times New Roman"/>
              </w:rPr>
              <w:t>iūlom</w:t>
            </w:r>
            <w:r w:rsidR="00674FDA" w:rsidRPr="00E723F3">
              <w:rPr>
                <w:rFonts w:ascii="Times New Roman" w:hAnsi="Times New Roman" w:cs="Times New Roman"/>
              </w:rPr>
              <w:t>as kriterijus</w:t>
            </w:r>
            <w:r w:rsidR="00255713" w:rsidRPr="00E723F3">
              <w:rPr>
                <w:rFonts w:ascii="Times New Roman" w:hAnsi="Times New Roman" w:cs="Times New Roman"/>
              </w:rPr>
              <w:t xml:space="preserve"> </w:t>
            </w:r>
            <w:r w:rsidRPr="00E723F3">
              <w:rPr>
                <w:rFonts w:ascii="Times New Roman" w:hAnsi="Times New Roman" w:cs="Times New Roman"/>
              </w:rPr>
              <w:t xml:space="preserve">nėra </w:t>
            </w:r>
            <w:r w:rsidR="00255713" w:rsidRPr="00E723F3">
              <w:rPr>
                <w:rFonts w:ascii="Times New Roman" w:hAnsi="Times New Roman" w:cs="Times New Roman"/>
              </w:rPr>
              <w:t>susiję su korupc</w:t>
            </w:r>
            <w:r w:rsidR="006D2306" w:rsidRPr="00E723F3">
              <w:rPr>
                <w:rFonts w:ascii="Times New Roman" w:hAnsi="Times New Roman" w:cs="Times New Roman"/>
              </w:rPr>
              <w:t>ijos rizika</w:t>
            </w:r>
            <w:r w:rsidR="00255713" w:rsidRPr="00E723F3">
              <w:rPr>
                <w:rFonts w:ascii="Times New Roman" w:hAnsi="Times New Roman" w:cs="Times New Roman"/>
              </w:rPr>
              <w:t>.</w:t>
            </w:r>
          </w:p>
        </w:tc>
      </w:tr>
      <w:tr w:rsidR="004E3B4C" w:rsidRPr="00E723F3" w14:paraId="7989D8E4" w14:textId="77777777" w:rsidTr="00E723F3">
        <w:tc>
          <w:tcPr>
            <w:tcW w:w="1020" w:type="dxa"/>
          </w:tcPr>
          <w:p w14:paraId="2C1F7ADE" w14:textId="034C8901" w:rsidR="004E3B4C" w:rsidRPr="00E723F3" w:rsidRDefault="004373A3" w:rsidP="00F91F2B">
            <w:pPr>
              <w:jc w:val="both"/>
              <w:rPr>
                <w:rFonts w:ascii="Times New Roman" w:hAnsi="Times New Roman" w:cs="Times New Roman"/>
              </w:rPr>
            </w:pPr>
            <w:r w:rsidRPr="00E723F3">
              <w:rPr>
                <w:rFonts w:ascii="Times New Roman" w:hAnsi="Times New Roman" w:cs="Times New Roman"/>
              </w:rPr>
              <w:t>2</w:t>
            </w:r>
            <w:r w:rsidR="00020BC8" w:rsidRPr="00E723F3">
              <w:rPr>
                <w:rFonts w:ascii="Times New Roman" w:hAnsi="Times New Roman" w:cs="Times New Roman"/>
              </w:rPr>
              <w:t>.</w:t>
            </w:r>
            <w:r w:rsidR="000E09FF" w:rsidRPr="00E723F3">
              <w:rPr>
                <w:rFonts w:ascii="Times New Roman" w:hAnsi="Times New Roman" w:cs="Times New Roman"/>
              </w:rPr>
              <w:t xml:space="preserve"> </w:t>
            </w:r>
          </w:p>
        </w:tc>
        <w:tc>
          <w:tcPr>
            <w:tcW w:w="6662" w:type="dxa"/>
          </w:tcPr>
          <w:p w14:paraId="4EB96FE3" w14:textId="278E806F" w:rsidR="004E3B4C" w:rsidRPr="00E723F3" w:rsidRDefault="00B05D18" w:rsidP="00E91B65">
            <w:pPr>
              <w:jc w:val="both"/>
              <w:rPr>
                <w:rFonts w:ascii="Times New Roman" w:hAnsi="Times New Roman" w:cs="Times New Roman"/>
              </w:rPr>
            </w:pPr>
            <w:r w:rsidRPr="00E723F3">
              <w:rPr>
                <w:rFonts w:ascii="Times New Roman" w:hAnsi="Times New Roman" w:cs="Times New Roman"/>
              </w:rPr>
              <w:t>Papildyti Projekto pažymos lentelės 7 p. ir išdėstyti taip: „Teisės akto projekte nustatyta sprendimų priėmimo, įforminimo ir viešinimo tvarka ir būdai“.</w:t>
            </w:r>
          </w:p>
        </w:tc>
        <w:tc>
          <w:tcPr>
            <w:tcW w:w="7229" w:type="dxa"/>
          </w:tcPr>
          <w:p w14:paraId="5F9D6C80" w14:textId="16B3C5EE" w:rsidR="006D2306" w:rsidRPr="00E723F3" w:rsidRDefault="00F57EFE" w:rsidP="006D2306">
            <w:pPr>
              <w:jc w:val="both"/>
              <w:rPr>
                <w:rFonts w:ascii="Times New Roman" w:hAnsi="Times New Roman" w:cs="Times New Roman"/>
              </w:rPr>
            </w:pPr>
            <w:r w:rsidRPr="00E723F3">
              <w:rPr>
                <w:rFonts w:ascii="Times New Roman" w:hAnsi="Times New Roman" w:cs="Times New Roman"/>
              </w:rPr>
              <w:t>Nea</w:t>
            </w:r>
            <w:r w:rsidR="006D2306" w:rsidRPr="00E723F3">
              <w:rPr>
                <w:rFonts w:ascii="Times New Roman" w:hAnsi="Times New Roman" w:cs="Times New Roman"/>
              </w:rPr>
              <w:t>tsižvelgt</w:t>
            </w:r>
            <w:r w:rsidRPr="00E723F3">
              <w:rPr>
                <w:rFonts w:ascii="Times New Roman" w:hAnsi="Times New Roman" w:cs="Times New Roman"/>
              </w:rPr>
              <w:t>a.</w:t>
            </w:r>
          </w:p>
          <w:p w14:paraId="09BCF409" w14:textId="77777777" w:rsidR="00F57EFE" w:rsidRPr="00E723F3" w:rsidRDefault="00F57EFE" w:rsidP="006D2306">
            <w:pPr>
              <w:jc w:val="both"/>
              <w:rPr>
                <w:rFonts w:ascii="Times New Roman" w:hAnsi="Times New Roman" w:cs="Times New Roman"/>
              </w:rPr>
            </w:pPr>
          </w:p>
          <w:p w14:paraId="3B063E1E" w14:textId="20779CA2" w:rsidR="004E3B4C" w:rsidRPr="00E723F3" w:rsidRDefault="006D2306" w:rsidP="00F57EFE">
            <w:pPr>
              <w:jc w:val="both"/>
              <w:rPr>
                <w:rFonts w:ascii="Times New Roman" w:hAnsi="Times New Roman" w:cs="Times New Roman"/>
                <w:color w:val="000000"/>
              </w:rPr>
            </w:pPr>
            <w:r w:rsidRPr="00E723F3">
              <w:rPr>
                <w:rFonts w:ascii="Times New Roman" w:hAnsi="Times New Roman" w:cs="Times New Roman"/>
                <w:color w:val="000000"/>
              </w:rPr>
              <w:t xml:space="preserve">Kadangi </w:t>
            </w:r>
            <w:r w:rsidR="00F57EFE" w:rsidRPr="00E723F3">
              <w:rPr>
                <w:rFonts w:ascii="Times New Roman" w:hAnsi="Times New Roman" w:cs="Times New Roman"/>
              </w:rPr>
              <w:t>sprendimų viešinimo tvarka apima</w:t>
            </w:r>
            <w:r w:rsidRPr="00E723F3">
              <w:rPr>
                <w:rFonts w:ascii="Times New Roman" w:hAnsi="Times New Roman" w:cs="Times New Roman"/>
              </w:rPr>
              <w:t xml:space="preserve"> ir </w:t>
            </w:r>
            <w:r w:rsidR="00F57EFE" w:rsidRPr="00E723F3">
              <w:rPr>
                <w:rFonts w:ascii="Times New Roman" w:hAnsi="Times New Roman" w:cs="Times New Roman"/>
              </w:rPr>
              <w:t xml:space="preserve">sprendimų </w:t>
            </w:r>
            <w:r w:rsidRPr="00E723F3">
              <w:rPr>
                <w:rFonts w:ascii="Times New Roman" w:hAnsi="Times New Roman" w:cs="Times New Roman"/>
              </w:rPr>
              <w:t>viešinimo būdus.</w:t>
            </w:r>
          </w:p>
        </w:tc>
      </w:tr>
      <w:tr w:rsidR="00B05D18" w:rsidRPr="00E723F3" w14:paraId="1FFA5E45" w14:textId="77777777" w:rsidTr="00E723F3">
        <w:tc>
          <w:tcPr>
            <w:tcW w:w="1020" w:type="dxa"/>
          </w:tcPr>
          <w:p w14:paraId="03CEFA45" w14:textId="59231385" w:rsidR="00B05D18" w:rsidRPr="00E723F3" w:rsidRDefault="004373A3" w:rsidP="00F91F2B">
            <w:pPr>
              <w:jc w:val="both"/>
              <w:rPr>
                <w:rFonts w:ascii="Times New Roman" w:hAnsi="Times New Roman" w:cs="Times New Roman"/>
              </w:rPr>
            </w:pPr>
            <w:r w:rsidRPr="00E723F3">
              <w:rPr>
                <w:rFonts w:ascii="Times New Roman" w:hAnsi="Times New Roman" w:cs="Times New Roman"/>
              </w:rPr>
              <w:lastRenderedPageBreak/>
              <w:t>3</w:t>
            </w:r>
            <w:r w:rsidR="00B05D18" w:rsidRPr="00E723F3">
              <w:rPr>
                <w:rFonts w:ascii="Times New Roman" w:hAnsi="Times New Roman" w:cs="Times New Roman"/>
              </w:rPr>
              <w:t>.</w:t>
            </w:r>
            <w:r w:rsidR="000E09FF" w:rsidRPr="00E723F3">
              <w:rPr>
                <w:rFonts w:ascii="Times New Roman" w:hAnsi="Times New Roman" w:cs="Times New Roman"/>
              </w:rPr>
              <w:t xml:space="preserve"> </w:t>
            </w:r>
          </w:p>
        </w:tc>
        <w:tc>
          <w:tcPr>
            <w:tcW w:w="6662" w:type="dxa"/>
          </w:tcPr>
          <w:p w14:paraId="3663EC21" w14:textId="6F4FED6C" w:rsidR="00B05D18" w:rsidRPr="00E723F3" w:rsidRDefault="00B05D18" w:rsidP="00E91B65">
            <w:pPr>
              <w:jc w:val="both"/>
              <w:rPr>
                <w:rFonts w:ascii="Times New Roman" w:hAnsi="Times New Roman" w:cs="Times New Roman"/>
              </w:rPr>
            </w:pPr>
            <w:r w:rsidRPr="00E723F3">
              <w:rPr>
                <w:rFonts w:ascii="Times New Roman" w:hAnsi="Times New Roman" w:cs="Times New Roman"/>
              </w:rPr>
              <w:t>Papildyti Projekto pažymos lentelės 9 punktą 9.2.1 papunkčiu ir išdėstyti taip: „9.2</w:t>
            </w:r>
            <w:r w:rsidR="006D2306" w:rsidRPr="00E723F3">
              <w:rPr>
                <w:rFonts w:ascii="Times New Roman" w:hAnsi="Times New Roman" w:cs="Times New Roman"/>
              </w:rPr>
              <w:t>.</w:t>
            </w:r>
            <w:r w:rsidRPr="00E723F3">
              <w:rPr>
                <w:rFonts w:ascii="Times New Roman" w:hAnsi="Times New Roman" w:cs="Times New Roman"/>
              </w:rPr>
              <w:t>1. visuomenės ar vietinės bendruo</w:t>
            </w:r>
            <w:r w:rsidR="004373A3" w:rsidRPr="00E723F3">
              <w:rPr>
                <w:rFonts w:ascii="Times New Roman" w:hAnsi="Times New Roman" w:cs="Times New Roman"/>
              </w:rPr>
              <w:t>menės atstovavimo užtikrinimas</w:t>
            </w:r>
            <w:r w:rsidR="00E723F3">
              <w:rPr>
                <w:rFonts w:ascii="Times New Roman" w:hAnsi="Times New Roman" w:cs="Times New Roman"/>
              </w:rPr>
              <w:t>“.</w:t>
            </w:r>
          </w:p>
        </w:tc>
        <w:tc>
          <w:tcPr>
            <w:tcW w:w="7229" w:type="dxa"/>
          </w:tcPr>
          <w:p w14:paraId="66E1D682" w14:textId="61AEC105" w:rsidR="006D2306" w:rsidRPr="00E723F3" w:rsidRDefault="00F57EFE" w:rsidP="006D2306">
            <w:pPr>
              <w:jc w:val="both"/>
              <w:rPr>
                <w:rFonts w:ascii="Times New Roman" w:hAnsi="Times New Roman" w:cs="Times New Roman"/>
              </w:rPr>
            </w:pPr>
            <w:r w:rsidRPr="00E723F3">
              <w:rPr>
                <w:rFonts w:ascii="Times New Roman" w:hAnsi="Times New Roman" w:cs="Times New Roman"/>
              </w:rPr>
              <w:t>N</w:t>
            </w:r>
            <w:r w:rsidR="006D2306" w:rsidRPr="00E723F3">
              <w:rPr>
                <w:rFonts w:ascii="Times New Roman" w:hAnsi="Times New Roman" w:cs="Times New Roman"/>
              </w:rPr>
              <w:t>eatsižvelgt</w:t>
            </w:r>
            <w:r w:rsidRPr="00E723F3">
              <w:rPr>
                <w:rFonts w:ascii="Times New Roman" w:hAnsi="Times New Roman" w:cs="Times New Roman"/>
              </w:rPr>
              <w:t>a.</w:t>
            </w:r>
          </w:p>
          <w:p w14:paraId="082FD574" w14:textId="77777777" w:rsidR="00F57EFE" w:rsidRPr="00E723F3" w:rsidRDefault="00F57EFE" w:rsidP="006D2306">
            <w:pPr>
              <w:jc w:val="both"/>
              <w:rPr>
                <w:rFonts w:ascii="Times New Roman" w:hAnsi="Times New Roman" w:cs="Times New Roman"/>
              </w:rPr>
            </w:pPr>
          </w:p>
          <w:p w14:paraId="02BBB5E2" w14:textId="1C4D5E14" w:rsidR="006D2306" w:rsidRPr="00E723F3" w:rsidRDefault="00076D77" w:rsidP="006D2306">
            <w:pPr>
              <w:jc w:val="both"/>
              <w:rPr>
                <w:rFonts w:ascii="Times New Roman" w:hAnsi="Times New Roman" w:cs="Times New Roman"/>
              </w:rPr>
            </w:pPr>
            <w:r w:rsidRPr="00E723F3">
              <w:rPr>
                <w:rFonts w:ascii="Times New Roman" w:hAnsi="Times New Roman" w:cs="Times New Roman"/>
              </w:rPr>
              <w:t xml:space="preserve">Siūlomas kriterijus (visuomenės ar vietinės bendruomenės atstovavimo užtikrinimas) daugeliu atveju </w:t>
            </w:r>
            <w:r w:rsidR="00F57EFE" w:rsidRPr="00E723F3">
              <w:rPr>
                <w:rFonts w:ascii="Times New Roman" w:hAnsi="Times New Roman" w:cs="Times New Roman"/>
              </w:rPr>
              <w:t>būtų</w:t>
            </w:r>
            <w:r w:rsidRPr="00E723F3">
              <w:rPr>
                <w:rFonts w:ascii="Times New Roman" w:hAnsi="Times New Roman" w:cs="Times New Roman"/>
              </w:rPr>
              <w:t xml:space="preserve"> neaktualus.</w:t>
            </w:r>
          </w:p>
          <w:p w14:paraId="4093CBBA" w14:textId="77777777" w:rsidR="003C2BCE" w:rsidRPr="00E723F3" w:rsidRDefault="003C2BCE" w:rsidP="003C2BCE">
            <w:pPr>
              <w:jc w:val="both"/>
              <w:rPr>
                <w:rFonts w:ascii="Times New Roman" w:hAnsi="Times New Roman" w:cs="Times New Roman"/>
                <w:color w:val="000000"/>
              </w:rPr>
            </w:pPr>
          </w:p>
          <w:p w14:paraId="32667745" w14:textId="79545FD2" w:rsidR="00996235" w:rsidRPr="00E723F3" w:rsidRDefault="003C2BCE" w:rsidP="00996235">
            <w:pPr>
              <w:jc w:val="both"/>
              <w:rPr>
                <w:rFonts w:ascii="Times New Roman" w:hAnsi="Times New Roman" w:cs="Times New Roman"/>
              </w:rPr>
            </w:pPr>
            <w:r w:rsidRPr="00E723F3">
              <w:rPr>
                <w:rFonts w:ascii="Times New Roman" w:hAnsi="Times New Roman" w:cs="Times New Roman"/>
                <w:color w:val="000000"/>
              </w:rPr>
              <w:t>Paminėtina, kad pagal pažymos 19 punktą „kiti svarbūs kriterijai“ sudaromos galimybes tam tikrose specifinėse situacijose fiksuoti korupcijos riziką, kuriai neaktualūs pažymos 1-18 punktuose nustatyti kriterijai.</w:t>
            </w:r>
          </w:p>
        </w:tc>
      </w:tr>
    </w:tbl>
    <w:p w14:paraId="2AC00FC4" w14:textId="77777777" w:rsidR="00B436E7" w:rsidRPr="00B05D18" w:rsidRDefault="00B436E7" w:rsidP="00B436E7">
      <w:pPr>
        <w:spacing w:after="0" w:line="240" w:lineRule="auto"/>
        <w:jc w:val="both"/>
        <w:rPr>
          <w:rFonts w:ascii="Times New Roman" w:hAnsi="Times New Roman" w:cs="Times New Roman"/>
        </w:rPr>
      </w:pPr>
    </w:p>
    <w:p w14:paraId="0B6A304F" w14:textId="77777777" w:rsidR="00574FCB" w:rsidRPr="00B05D18" w:rsidRDefault="00574FCB" w:rsidP="00574FCB">
      <w:pPr>
        <w:spacing w:after="0" w:line="240" w:lineRule="auto"/>
        <w:jc w:val="both"/>
        <w:rPr>
          <w:rFonts w:ascii="Times New Roman" w:hAnsi="Times New Roman" w:cs="Times New Roman"/>
        </w:rPr>
      </w:pPr>
    </w:p>
    <w:p w14:paraId="35467844" w14:textId="77777777" w:rsidR="0007636D" w:rsidRPr="00E81374" w:rsidRDefault="0007636D" w:rsidP="00E81374">
      <w:pPr>
        <w:spacing w:after="0" w:line="240" w:lineRule="auto"/>
        <w:jc w:val="both"/>
        <w:rPr>
          <w:rFonts w:ascii="Times New Roman" w:hAnsi="Times New Roman" w:cs="Times New Roman"/>
        </w:rPr>
      </w:pPr>
    </w:p>
    <w:bookmarkEnd w:id="5"/>
    <w:p w14:paraId="22BDBC9F" w14:textId="77777777" w:rsidR="00E81374" w:rsidRPr="00E81374" w:rsidRDefault="00E81374" w:rsidP="00E81374">
      <w:pPr>
        <w:spacing w:after="0" w:line="240" w:lineRule="auto"/>
        <w:jc w:val="both"/>
        <w:rPr>
          <w:rFonts w:ascii="Times New Roman" w:hAnsi="Times New Roman" w:cs="Times New Roman"/>
        </w:rPr>
      </w:pPr>
    </w:p>
    <w:sectPr w:rsidR="00E81374" w:rsidRPr="00E81374" w:rsidSect="00EE04ED">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117F" w14:textId="77777777" w:rsidR="00045DA5" w:rsidRDefault="00045DA5" w:rsidP="00EE04ED">
      <w:pPr>
        <w:spacing w:after="0" w:line="240" w:lineRule="auto"/>
      </w:pPr>
      <w:r>
        <w:separator/>
      </w:r>
    </w:p>
  </w:endnote>
  <w:endnote w:type="continuationSeparator" w:id="0">
    <w:p w14:paraId="27ACC305" w14:textId="77777777" w:rsidR="00045DA5" w:rsidRDefault="00045DA5" w:rsidP="00EE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CDD5" w14:textId="77777777" w:rsidR="00045DA5" w:rsidRDefault="00045DA5" w:rsidP="00EE04ED">
      <w:pPr>
        <w:spacing w:after="0" w:line="240" w:lineRule="auto"/>
      </w:pPr>
      <w:r>
        <w:separator/>
      </w:r>
    </w:p>
  </w:footnote>
  <w:footnote w:type="continuationSeparator" w:id="0">
    <w:p w14:paraId="4FCE9293" w14:textId="77777777" w:rsidR="00045DA5" w:rsidRDefault="00045DA5" w:rsidP="00EE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60843607"/>
      <w:docPartObj>
        <w:docPartGallery w:val="Page Numbers (Top of Page)"/>
        <w:docPartUnique/>
      </w:docPartObj>
    </w:sdtPr>
    <w:sdtEndPr/>
    <w:sdtContent>
      <w:p w14:paraId="54C497D8" w14:textId="564254FE" w:rsidR="00D31098" w:rsidRPr="00EE04ED" w:rsidRDefault="00D31098">
        <w:pPr>
          <w:pStyle w:val="Antrats"/>
          <w:jc w:val="center"/>
          <w:rPr>
            <w:rFonts w:ascii="Times New Roman" w:hAnsi="Times New Roman" w:cs="Times New Roman"/>
          </w:rPr>
        </w:pPr>
        <w:r w:rsidRPr="00EE04ED">
          <w:rPr>
            <w:rFonts w:ascii="Times New Roman" w:hAnsi="Times New Roman" w:cs="Times New Roman"/>
          </w:rPr>
          <w:fldChar w:fldCharType="begin"/>
        </w:r>
        <w:r w:rsidRPr="00EE04ED">
          <w:rPr>
            <w:rFonts w:ascii="Times New Roman" w:hAnsi="Times New Roman" w:cs="Times New Roman"/>
          </w:rPr>
          <w:instrText>PAGE   \* MERGEFORMAT</w:instrText>
        </w:r>
        <w:r w:rsidRPr="00EE04ED">
          <w:rPr>
            <w:rFonts w:ascii="Times New Roman" w:hAnsi="Times New Roman" w:cs="Times New Roman"/>
          </w:rPr>
          <w:fldChar w:fldCharType="separate"/>
        </w:r>
        <w:r w:rsidR="00674FDA">
          <w:rPr>
            <w:rFonts w:ascii="Times New Roman" w:hAnsi="Times New Roman" w:cs="Times New Roman"/>
            <w:noProof/>
          </w:rPr>
          <w:t>4</w:t>
        </w:r>
        <w:r w:rsidRPr="00EE04ED">
          <w:rPr>
            <w:rFonts w:ascii="Times New Roman" w:hAnsi="Times New Roman" w:cs="Times New Roman"/>
          </w:rPr>
          <w:fldChar w:fldCharType="end"/>
        </w:r>
      </w:p>
    </w:sdtContent>
  </w:sdt>
  <w:p w14:paraId="2B90B665" w14:textId="77777777" w:rsidR="00D31098" w:rsidRDefault="00D310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30408"/>
    <w:multiLevelType w:val="multilevel"/>
    <w:tmpl w:val="DB04C586"/>
    <w:lvl w:ilvl="0">
      <w:start w:val="1"/>
      <w:numFmt w:val="decimal"/>
      <w:lvlText w:val="%1."/>
      <w:lvlJc w:val="left"/>
      <w:pPr>
        <w:ind w:left="720" w:hanging="360"/>
      </w:pPr>
      <w:rP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B4C5E42"/>
    <w:multiLevelType w:val="hybridMultilevel"/>
    <w:tmpl w:val="40E8609C"/>
    <w:lvl w:ilvl="0" w:tplc="5606A7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FB"/>
    <w:rsid w:val="00003BBF"/>
    <w:rsid w:val="00012F69"/>
    <w:rsid w:val="00020BC8"/>
    <w:rsid w:val="00024139"/>
    <w:rsid w:val="000251FE"/>
    <w:rsid w:val="00027AB0"/>
    <w:rsid w:val="0004464C"/>
    <w:rsid w:val="00045DA5"/>
    <w:rsid w:val="00054C49"/>
    <w:rsid w:val="00056B12"/>
    <w:rsid w:val="000603C5"/>
    <w:rsid w:val="00065C0F"/>
    <w:rsid w:val="00067318"/>
    <w:rsid w:val="000746C6"/>
    <w:rsid w:val="00075B9A"/>
    <w:rsid w:val="00075DBF"/>
    <w:rsid w:val="0007636D"/>
    <w:rsid w:val="00076D77"/>
    <w:rsid w:val="00086C00"/>
    <w:rsid w:val="00087D4D"/>
    <w:rsid w:val="000907E0"/>
    <w:rsid w:val="00092FA6"/>
    <w:rsid w:val="00097310"/>
    <w:rsid w:val="000973EF"/>
    <w:rsid w:val="000A0230"/>
    <w:rsid w:val="000A2147"/>
    <w:rsid w:val="000A4C8E"/>
    <w:rsid w:val="000B53E5"/>
    <w:rsid w:val="000B55B3"/>
    <w:rsid w:val="000C1A51"/>
    <w:rsid w:val="000D0AA4"/>
    <w:rsid w:val="000E09FF"/>
    <w:rsid w:val="000E270D"/>
    <w:rsid w:val="000F0991"/>
    <w:rsid w:val="000F5EFC"/>
    <w:rsid w:val="000F69A0"/>
    <w:rsid w:val="001052AD"/>
    <w:rsid w:val="001057D2"/>
    <w:rsid w:val="001067D2"/>
    <w:rsid w:val="00111CBC"/>
    <w:rsid w:val="00121CE9"/>
    <w:rsid w:val="001221EA"/>
    <w:rsid w:val="00124BA0"/>
    <w:rsid w:val="00125F95"/>
    <w:rsid w:val="00135D24"/>
    <w:rsid w:val="00141487"/>
    <w:rsid w:val="001429D4"/>
    <w:rsid w:val="00145933"/>
    <w:rsid w:val="00152104"/>
    <w:rsid w:val="00153C4A"/>
    <w:rsid w:val="00156FF4"/>
    <w:rsid w:val="00161306"/>
    <w:rsid w:val="00174D39"/>
    <w:rsid w:val="00183E92"/>
    <w:rsid w:val="00197D80"/>
    <w:rsid w:val="001A6CE4"/>
    <w:rsid w:val="001B7601"/>
    <w:rsid w:val="001C7DF0"/>
    <w:rsid w:val="001D456A"/>
    <w:rsid w:val="001D6789"/>
    <w:rsid w:val="001E3098"/>
    <w:rsid w:val="001E3912"/>
    <w:rsid w:val="001E4FEE"/>
    <w:rsid w:val="001E73BD"/>
    <w:rsid w:val="001F4C50"/>
    <w:rsid w:val="00201D85"/>
    <w:rsid w:val="00206C67"/>
    <w:rsid w:val="002117E3"/>
    <w:rsid w:val="00214BFA"/>
    <w:rsid w:val="00216443"/>
    <w:rsid w:val="0024109A"/>
    <w:rsid w:val="002502FE"/>
    <w:rsid w:val="00255713"/>
    <w:rsid w:val="002605CC"/>
    <w:rsid w:val="0027777C"/>
    <w:rsid w:val="002911E2"/>
    <w:rsid w:val="00296428"/>
    <w:rsid w:val="002C2BD3"/>
    <w:rsid w:val="002D001A"/>
    <w:rsid w:val="002D21A7"/>
    <w:rsid w:val="002D4F71"/>
    <w:rsid w:val="002E2B0F"/>
    <w:rsid w:val="002F2C1D"/>
    <w:rsid w:val="003071DB"/>
    <w:rsid w:val="00311AD7"/>
    <w:rsid w:val="003211A9"/>
    <w:rsid w:val="00325FA3"/>
    <w:rsid w:val="00327E9F"/>
    <w:rsid w:val="00330F13"/>
    <w:rsid w:val="00331AD3"/>
    <w:rsid w:val="00334D53"/>
    <w:rsid w:val="00342C5D"/>
    <w:rsid w:val="00357142"/>
    <w:rsid w:val="00363089"/>
    <w:rsid w:val="003663BC"/>
    <w:rsid w:val="003701FE"/>
    <w:rsid w:val="003724AD"/>
    <w:rsid w:val="00383584"/>
    <w:rsid w:val="00383B1A"/>
    <w:rsid w:val="00385EF0"/>
    <w:rsid w:val="0039205A"/>
    <w:rsid w:val="00392DF9"/>
    <w:rsid w:val="003942A4"/>
    <w:rsid w:val="0039436B"/>
    <w:rsid w:val="003A0366"/>
    <w:rsid w:val="003A1B8C"/>
    <w:rsid w:val="003A2832"/>
    <w:rsid w:val="003A29C2"/>
    <w:rsid w:val="003B135D"/>
    <w:rsid w:val="003C2BCE"/>
    <w:rsid w:val="003C32B8"/>
    <w:rsid w:val="003C6F05"/>
    <w:rsid w:val="003D343C"/>
    <w:rsid w:val="003E3CFA"/>
    <w:rsid w:val="003E508A"/>
    <w:rsid w:val="003E7AF0"/>
    <w:rsid w:val="003F3F42"/>
    <w:rsid w:val="00404292"/>
    <w:rsid w:val="004072C0"/>
    <w:rsid w:val="00416723"/>
    <w:rsid w:val="0042207F"/>
    <w:rsid w:val="00425107"/>
    <w:rsid w:val="00434407"/>
    <w:rsid w:val="004373A3"/>
    <w:rsid w:val="00440389"/>
    <w:rsid w:val="004503D4"/>
    <w:rsid w:val="004508BF"/>
    <w:rsid w:val="00464BC9"/>
    <w:rsid w:val="00467714"/>
    <w:rsid w:val="004679D8"/>
    <w:rsid w:val="0047034D"/>
    <w:rsid w:val="004722FF"/>
    <w:rsid w:val="004813BE"/>
    <w:rsid w:val="0048172F"/>
    <w:rsid w:val="0048453A"/>
    <w:rsid w:val="00487EE5"/>
    <w:rsid w:val="00491429"/>
    <w:rsid w:val="004A0B1D"/>
    <w:rsid w:val="004A2991"/>
    <w:rsid w:val="004A654A"/>
    <w:rsid w:val="004B664C"/>
    <w:rsid w:val="004D5E52"/>
    <w:rsid w:val="004E12B7"/>
    <w:rsid w:val="004E3B4C"/>
    <w:rsid w:val="004F6D2E"/>
    <w:rsid w:val="005044BB"/>
    <w:rsid w:val="00511D2A"/>
    <w:rsid w:val="005169A2"/>
    <w:rsid w:val="0052205C"/>
    <w:rsid w:val="00522B8F"/>
    <w:rsid w:val="00523C4E"/>
    <w:rsid w:val="00527077"/>
    <w:rsid w:val="00530FD4"/>
    <w:rsid w:val="0054484B"/>
    <w:rsid w:val="0055031D"/>
    <w:rsid w:val="00551809"/>
    <w:rsid w:val="00551F5A"/>
    <w:rsid w:val="0055323A"/>
    <w:rsid w:val="00555049"/>
    <w:rsid w:val="00572F4F"/>
    <w:rsid w:val="00574FCB"/>
    <w:rsid w:val="005870B1"/>
    <w:rsid w:val="00590CD9"/>
    <w:rsid w:val="00592AA4"/>
    <w:rsid w:val="005963B1"/>
    <w:rsid w:val="005B033E"/>
    <w:rsid w:val="005B1BC5"/>
    <w:rsid w:val="005C70D5"/>
    <w:rsid w:val="005F5C48"/>
    <w:rsid w:val="00602818"/>
    <w:rsid w:val="006101A6"/>
    <w:rsid w:val="00615640"/>
    <w:rsid w:val="00616D29"/>
    <w:rsid w:val="00617828"/>
    <w:rsid w:val="00625BE8"/>
    <w:rsid w:val="00625E33"/>
    <w:rsid w:val="00640AD0"/>
    <w:rsid w:val="006558FE"/>
    <w:rsid w:val="006575E6"/>
    <w:rsid w:val="00660245"/>
    <w:rsid w:val="00671F35"/>
    <w:rsid w:val="0067304B"/>
    <w:rsid w:val="00673CAE"/>
    <w:rsid w:val="00674FDA"/>
    <w:rsid w:val="00676F30"/>
    <w:rsid w:val="00677F9C"/>
    <w:rsid w:val="00697131"/>
    <w:rsid w:val="00697C62"/>
    <w:rsid w:val="006A2CAE"/>
    <w:rsid w:val="006A5E83"/>
    <w:rsid w:val="006B27D1"/>
    <w:rsid w:val="006B2C7F"/>
    <w:rsid w:val="006D2306"/>
    <w:rsid w:val="006D3847"/>
    <w:rsid w:val="006D44E7"/>
    <w:rsid w:val="006D58B7"/>
    <w:rsid w:val="006E54CA"/>
    <w:rsid w:val="006E5E7D"/>
    <w:rsid w:val="006F315B"/>
    <w:rsid w:val="007004B2"/>
    <w:rsid w:val="0070190A"/>
    <w:rsid w:val="00714308"/>
    <w:rsid w:val="0071494D"/>
    <w:rsid w:val="00722A69"/>
    <w:rsid w:val="00724530"/>
    <w:rsid w:val="0072613D"/>
    <w:rsid w:val="00736D9A"/>
    <w:rsid w:val="00737062"/>
    <w:rsid w:val="00742078"/>
    <w:rsid w:val="00743BFB"/>
    <w:rsid w:val="007445D5"/>
    <w:rsid w:val="00750B48"/>
    <w:rsid w:val="00750DE6"/>
    <w:rsid w:val="007620CF"/>
    <w:rsid w:val="007630EE"/>
    <w:rsid w:val="00766D87"/>
    <w:rsid w:val="0077505E"/>
    <w:rsid w:val="00781793"/>
    <w:rsid w:val="007932A8"/>
    <w:rsid w:val="00794A01"/>
    <w:rsid w:val="00795B3B"/>
    <w:rsid w:val="007B071A"/>
    <w:rsid w:val="007B3F29"/>
    <w:rsid w:val="007B60D7"/>
    <w:rsid w:val="007C2E90"/>
    <w:rsid w:val="007C3B11"/>
    <w:rsid w:val="007C5065"/>
    <w:rsid w:val="007C519E"/>
    <w:rsid w:val="007D277F"/>
    <w:rsid w:val="007D35AC"/>
    <w:rsid w:val="007D3FE2"/>
    <w:rsid w:val="007D5875"/>
    <w:rsid w:val="007D63BE"/>
    <w:rsid w:val="007D6C8A"/>
    <w:rsid w:val="007E2EB9"/>
    <w:rsid w:val="007E7255"/>
    <w:rsid w:val="007F17FF"/>
    <w:rsid w:val="007F6356"/>
    <w:rsid w:val="0080053A"/>
    <w:rsid w:val="0081303B"/>
    <w:rsid w:val="008131A4"/>
    <w:rsid w:val="00817EFA"/>
    <w:rsid w:val="00826757"/>
    <w:rsid w:val="008422C0"/>
    <w:rsid w:val="00844082"/>
    <w:rsid w:val="00846011"/>
    <w:rsid w:val="00847FE5"/>
    <w:rsid w:val="00872BC1"/>
    <w:rsid w:val="008852A4"/>
    <w:rsid w:val="0088624C"/>
    <w:rsid w:val="008A23C7"/>
    <w:rsid w:val="008A3CFB"/>
    <w:rsid w:val="008B49E5"/>
    <w:rsid w:val="008B7217"/>
    <w:rsid w:val="008C4C69"/>
    <w:rsid w:val="008D2D9D"/>
    <w:rsid w:val="008E0D14"/>
    <w:rsid w:val="008E3D98"/>
    <w:rsid w:val="008E774A"/>
    <w:rsid w:val="008F1AF5"/>
    <w:rsid w:val="008F2B17"/>
    <w:rsid w:val="008F6BC4"/>
    <w:rsid w:val="00900A52"/>
    <w:rsid w:val="009039A3"/>
    <w:rsid w:val="00907223"/>
    <w:rsid w:val="009077CC"/>
    <w:rsid w:val="0092220D"/>
    <w:rsid w:val="00923D67"/>
    <w:rsid w:val="00925F60"/>
    <w:rsid w:val="00927ECD"/>
    <w:rsid w:val="00941E80"/>
    <w:rsid w:val="009478AB"/>
    <w:rsid w:val="00962E1A"/>
    <w:rsid w:val="00975C5F"/>
    <w:rsid w:val="00990A45"/>
    <w:rsid w:val="0099316F"/>
    <w:rsid w:val="00996235"/>
    <w:rsid w:val="00996C83"/>
    <w:rsid w:val="009D5A26"/>
    <w:rsid w:val="009D5E6A"/>
    <w:rsid w:val="009D6B9B"/>
    <w:rsid w:val="009D720C"/>
    <w:rsid w:val="009E27B4"/>
    <w:rsid w:val="009E4B49"/>
    <w:rsid w:val="009F15DB"/>
    <w:rsid w:val="00A01064"/>
    <w:rsid w:val="00A0519D"/>
    <w:rsid w:val="00A11993"/>
    <w:rsid w:val="00A120CA"/>
    <w:rsid w:val="00A17843"/>
    <w:rsid w:val="00A2082D"/>
    <w:rsid w:val="00A231EC"/>
    <w:rsid w:val="00A23ABB"/>
    <w:rsid w:val="00A247EE"/>
    <w:rsid w:val="00A261A1"/>
    <w:rsid w:val="00A36C31"/>
    <w:rsid w:val="00A4107F"/>
    <w:rsid w:val="00A503A5"/>
    <w:rsid w:val="00A50F10"/>
    <w:rsid w:val="00A675D0"/>
    <w:rsid w:val="00A7024F"/>
    <w:rsid w:val="00A7614E"/>
    <w:rsid w:val="00A77B42"/>
    <w:rsid w:val="00A918C1"/>
    <w:rsid w:val="00AA7117"/>
    <w:rsid w:val="00AB13BF"/>
    <w:rsid w:val="00AB3049"/>
    <w:rsid w:val="00AC37B0"/>
    <w:rsid w:val="00AC45B8"/>
    <w:rsid w:val="00AE34EC"/>
    <w:rsid w:val="00AE6D85"/>
    <w:rsid w:val="00AE71EB"/>
    <w:rsid w:val="00B047C8"/>
    <w:rsid w:val="00B05D18"/>
    <w:rsid w:val="00B06FF7"/>
    <w:rsid w:val="00B11F38"/>
    <w:rsid w:val="00B16FB4"/>
    <w:rsid w:val="00B20584"/>
    <w:rsid w:val="00B2079E"/>
    <w:rsid w:val="00B23CFB"/>
    <w:rsid w:val="00B23F3A"/>
    <w:rsid w:val="00B26A56"/>
    <w:rsid w:val="00B343DA"/>
    <w:rsid w:val="00B415ED"/>
    <w:rsid w:val="00B436E7"/>
    <w:rsid w:val="00B508A6"/>
    <w:rsid w:val="00B575C3"/>
    <w:rsid w:val="00B57B10"/>
    <w:rsid w:val="00B721D2"/>
    <w:rsid w:val="00B73FE7"/>
    <w:rsid w:val="00B776D6"/>
    <w:rsid w:val="00B80644"/>
    <w:rsid w:val="00B84BBE"/>
    <w:rsid w:val="00B9147E"/>
    <w:rsid w:val="00B92A40"/>
    <w:rsid w:val="00B93BCA"/>
    <w:rsid w:val="00BA2DD8"/>
    <w:rsid w:val="00BA4B64"/>
    <w:rsid w:val="00BC3255"/>
    <w:rsid w:val="00BC4F54"/>
    <w:rsid w:val="00BC55E1"/>
    <w:rsid w:val="00BD10FF"/>
    <w:rsid w:val="00BD21B5"/>
    <w:rsid w:val="00BD2F3B"/>
    <w:rsid w:val="00BD4645"/>
    <w:rsid w:val="00BD4A85"/>
    <w:rsid w:val="00BE187D"/>
    <w:rsid w:val="00BE4FCE"/>
    <w:rsid w:val="00BE7810"/>
    <w:rsid w:val="00BF1531"/>
    <w:rsid w:val="00BF1C9F"/>
    <w:rsid w:val="00BF1FAA"/>
    <w:rsid w:val="00C04FFA"/>
    <w:rsid w:val="00C13F75"/>
    <w:rsid w:val="00C14215"/>
    <w:rsid w:val="00C2128B"/>
    <w:rsid w:val="00C25A14"/>
    <w:rsid w:val="00C267A9"/>
    <w:rsid w:val="00C31D1E"/>
    <w:rsid w:val="00C3499C"/>
    <w:rsid w:val="00C509C6"/>
    <w:rsid w:val="00C55E87"/>
    <w:rsid w:val="00C56AF2"/>
    <w:rsid w:val="00C63FB2"/>
    <w:rsid w:val="00C66CE8"/>
    <w:rsid w:val="00C74A1E"/>
    <w:rsid w:val="00C93830"/>
    <w:rsid w:val="00CA57D2"/>
    <w:rsid w:val="00CA73AF"/>
    <w:rsid w:val="00CB555C"/>
    <w:rsid w:val="00CB6EDC"/>
    <w:rsid w:val="00CB7990"/>
    <w:rsid w:val="00CD19B0"/>
    <w:rsid w:val="00CE370E"/>
    <w:rsid w:val="00CE3CB0"/>
    <w:rsid w:val="00D05908"/>
    <w:rsid w:val="00D05B1D"/>
    <w:rsid w:val="00D14A1D"/>
    <w:rsid w:val="00D2154E"/>
    <w:rsid w:val="00D26334"/>
    <w:rsid w:val="00D31098"/>
    <w:rsid w:val="00D357E3"/>
    <w:rsid w:val="00D374FE"/>
    <w:rsid w:val="00D47785"/>
    <w:rsid w:val="00D664FC"/>
    <w:rsid w:val="00D7041F"/>
    <w:rsid w:val="00D70FBD"/>
    <w:rsid w:val="00D735DB"/>
    <w:rsid w:val="00D74788"/>
    <w:rsid w:val="00D7617B"/>
    <w:rsid w:val="00D87E7D"/>
    <w:rsid w:val="00D92CE2"/>
    <w:rsid w:val="00D94BBC"/>
    <w:rsid w:val="00D97243"/>
    <w:rsid w:val="00DA1437"/>
    <w:rsid w:val="00DA14C8"/>
    <w:rsid w:val="00DA2AAB"/>
    <w:rsid w:val="00DA3288"/>
    <w:rsid w:val="00DC7E77"/>
    <w:rsid w:val="00DD395E"/>
    <w:rsid w:val="00DE00DD"/>
    <w:rsid w:val="00DE5CFB"/>
    <w:rsid w:val="00DE7550"/>
    <w:rsid w:val="00E025D6"/>
    <w:rsid w:val="00E05519"/>
    <w:rsid w:val="00E1592B"/>
    <w:rsid w:val="00E205D0"/>
    <w:rsid w:val="00E3787A"/>
    <w:rsid w:val="00E410D7"/>
    <w:rsid w:val="00E42023"/>
    <w:rsid w:val="00E438F0"/>
    <w:rsid w:val="00E51F34"/>
    <w:rsid w:val="00E54523"/>
    <w:rsid w:val="00E55649"/>
    <w:rsid w:val="00E67FB7"/>
    <w:rsid w:val="00E723F3"/>
    <w:rsid w:val="00E72838"/>
    <w:rsid w:val="00E74B81"/>
    <w:rsid w:val="00E81374"/>
    <w:rsid w:val="00E81A06"/>
    <w:rsid w:val="00E9114F"/>
    <w:rsid w:val="00E91B65"/>
    <w:rsid w:val="00E93F8D"/>
    <w:rsid w:val="00EC5BFF"/>
    <w:rsid w:val="00EE04ED"/>
    <w:rsid w:val="00EE1F74"/>
    <w:rsid w:val="00EF202C"/>
    <w:rsid w:val="00EF2134"/>
    <w:rsid w:val="00EF3822"/>
    <w:rsid w:val="00F0121C"/>
    <w:rsid w:val="00F07215"/>
    <w:rsid w:val="00F243E1"/>
    <w:rsid w:val="00F24A85"/>
    <w:rsid w:val="00F27728"/>
    <w:rsid w:val="00F27CCD"/>
    <w:rsid w:val="00F40699"/>
    <w:rsid w:val="00F57EFE"/>
    <w:rsid w:val="00F61F57"/>
    <w:rsid w:val="00F62FB6"/>
    <w:rsid w:val="00F679DE"/>
    <w:rsid w:val="00F704C2"/>
    <w:rsid w:val="00F73F19"/>
    <w:rsid w:val="00F76C53"/>
    <w:rsid w:val="00F76D49"/>
    <w:rsid w:val="00F87029"/>
    <w:rsid w:val="00F91F2B"/>
    <w:rsid w:val="00F93738"/>
    <w:rsid w:val="00F96BAB"/>
    <w:rsid w:val="00FA1608"/>
    <w:rsid w:val="00FB6135"/>
    <w:rsid w:val="00FD05B6"/>
    <w:rsid w:val="00FD29FB"/>
    <w:rsid w:val="00FD6364"/>
    <w:rsid w:val="00FE50CD"/>
    <w:rsid w:val="00FE6444"/>
    <w:rsid w:val="00FF089B"/>
    <w:rsid w:val="00FF7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6528"/>
  <w15:chartTrackingRefBased/>
  <w15:docId w15:val="{B9139E1D-2BBE-4D10-A4E8-F5621C19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B3B"/>
  </w:style>
  <w:style w:type="paragraph" w:styleId="Antrat2">
    <w:name w:val="heading 2"/>
    <w:basedOn w:val="prastasis"/>
    <w:next w:val="prastasis"/>
    <w:link w:val="Antrat2Diagrama"/>
    <w:unhideWhenUsed/>
    <w:qFormat/>
    <w:rsid w:val="00846011"/>
    <w:pPr>
      <w:keepNext/>
      <w:spacing w:after="0" w:line="240" w:lineRule="auto"/>
      <w:jc w:val="center"/>
      <w:outlineLvl w:val="1"/>
    </w:pPr>
    <w:rPr>
      <w:rFonts w:ascii="Times New Roman" w:eastAsia="Times New Roman" w:hAnsi="Times New Roman" w:cs="Times New Roman"/>
      <w:b/>
      <w:caps/>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FD29FB"/>
    <w:pPr>
      <w:widowControl w:val="0"/>
      <w:suppressLineNumbers/>
      <w:suppressAutoHyphens/>
      <w:spacing w:after="0" w:line="240" w:lineRule="auto"/>
    </w:pPr>
    <w:rPr>
      <w:rFonts w:ascii="Times New Roman" w:eastAsia="Andale Sans UI" w:hAnsi="Times New Roman" w:cs="Tahoma"/>
      <w:sz w:val="24"/>
      <w:szCs w:val="24"/>
      <w:lang w:bidi="en-US"/>
    </w:rPr>
  </w:style>
  <w:style w:type="character" w:styleId="Hipersaitas">
    <w:name w:val="Hyperlink"/>
    <w:basedOn w:val="Numatytasispastraiposriftas"/>
    <w:rsid w:val="00FD29FB"/>
    <w:rPr>
      <w:color w:val="0000FF"/>
      <w:u w:val="single"/>
    </w:rPr>
  </w:style>
  <w:style w:type="paragraph" w:styleId="Sraopastraipa">
    <w:name w:val="List Paragraph"/>
    <w:basedOn w:val="prastasis"/>
    <w:qFormat/>
    <w:rsid w:val="00FD29FB"/>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Antrat2Diagrama">
    <w:name w:val="Antraštė 2 Diagrama"/>
    <w:basedOn w:val="Numatytasispastraiposriftas"/>
    <w:link w:val="Antrat2"/>
    <w:rsid w:val="00846011"/>
    <w:rPr>
      <w:rFonts w:ascii="Times New Roman" w:eastAsia="Times New Roman" w:hAnsi="Times New Roman" w:cs="Times New Roman"/>
      <w:b/>
      <w:caps/>
      <w:sz w:val="24"/>
      <w:szCs w:val="20"/>
      <w:lang w:eastAsia="lt-LT"/>
    </w:rPr>
  </w:style>
  <w:style w:type="paragraph" w:styleId="Komentarotekstas">
    <w:name w:val="annotation text"/>
    <w:basedOn w:val="prastasis"/>
    <w:link w:val="KomentarotekstasDiagrama"/>
    <w:uiPriority w:val="99"/>
    <w:unhideWhenUsed/>
    <w:rsid w:val="00135D24"/>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135D2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E81374"/>
    <w:rPr>
      <w:sz w:val="16"/>
      <w:szCs w:val="16"/>
    </w:rPr>
  </w:style>
  <w:style w:type="paragraph" w:styleId="Komentarotema">
    <w:name w:val="annotation subject"/>
    <w:basedOn w:val="Komentarotekstas"/>
    <w:next w:val="Komentarotekstas"/>
    <w:link w:val="KomentarotemaDiagrama"/>
    <w:uiPriority w:val="99"/>
    <w:semiHidden/>
    <w:unhideWhenUsed/>
    <w:rsid w:val="00E81374"/>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E81374"/>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EE0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4ED"/>
  </w:style>
  <w:style w:type="paragraph" w:styleId="Porat">
    <w:name w:val="footer"/>
    <w:basedOn w:val="prastasis"/>
    <w:link w:val="PoratDiagrama"/>
    <w:uiPriority w:val="99"/>
    <w:unhideWhenUsed/>
    <w:rsid w:val="00EE0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4ED"/>
  </w:style>
  <w:style w:type="paragraph" w:styleId="Puslapioinaostekstas">
    <w:name w:val="footnote text"/>
    <w:basedOn w:val="prastasis"/>
    <w:link w:val="PuslapioinaostekstasDiagrama"/>
    <w:uiPriority w:val="99"/>
    <w:semiHidden/>
    <w:unhideWhenUsed/>
    <w:rsid w:val="00AB30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B3049"/>
    <w:rPr>
      <w:sz w:val="20"/>
      <w:szCs w:val="20"/>
    </w:rPr>
  </w:style>
  <w:style w:type="character" w:styleId="Puslapioinaosnuoroda">
    <w:name w:val="footnote reference"/>
    <w:basedOn w:val="Numatytasispastraiposriftas"/>
    <w:uiPriority w:val="99"/>
    <w:semiHidden/>
    <w:unhideWhenUsed/>
    <w:rsid w:val="00AB3049"/>
    <w:rPr>
      <w:vertAlign w:val="superscript"/>
    </w:rPr>
  </w:style>
  <w:style w:type="paragraph" w:customStyle="1" w:styleId="Default">
    <w:name w:val="Default"/>
    <w:rsid w:val="00B05D18"/>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54484B"/>
    <w:rPr>
      <w:color w:val="954F72" w:themeColor="followedHyperlink"/>
      <w:u w:val="single"/>
    </w:rPr>
  </w:style>
  <w:style w:type="paragraph" w:styleId="Debesliotekstas">
    <w:name w:val="Balloon Text"/>
    <w:basedOn w:val="prastasis"/>
    <w:link w:val="DebesliotekstasDiagrama"/>
    <w:uiPriority w:val="99"/>
    <w:semiHidden/>
    <w:unhideWhenUsed/>
    <w:rsid w:val="003A03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366"/>
    <w:rPr>
      <w:rFonts w:ascii="Segoe UI" w:hAnsi="Segoe UI" w:cs="Segoe UI"/>
      <w:sz w:val="18"/>
      <w:szCs w:val="18"/>
    </w:rPr>
  </w:style>
  <w:style w:type="paragraph" w:styleId="Pataisymai">
    <w:name w:val="Revision"/>
    <w:hidden/>
    <w:uiPriority w:val="99"/>
    <w:semiHidden/>
    <w:rsid w:val="00325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97738">
      <w:bodyDiv w:val="1"/>
      <w:marLeft w:val="0"/>
      <w:marRight w:val="0"/>
      <w:marTop w:val="0"/>
      <w:marBottom w:val="0"/>
      <w:divBdr>
        <w:top w:val="none" w:sz="0" w:space="0" w:color="auto"/>
        <w:left w:val="none" w:sz="0" w:space="0" w:color="auto"/>
        <w:bottom w:val="none" w:sz="0" w:space="0" w:color="auto"/>
        <w:right w:val="none" w:sz="0" w:space="0" w:color="auto"/>
      </w:divBdr>
    </w:div>
    <w:div w:id="638002872">
      <w:bodyDiv w:val="1"/>
      <w:marLeft w:val="0"/>
      <w:marRight w:val="0"/>
      <w:marTop w:val="0"/>
      <w:marBottom w:val="0"/>
      <w:divBdr>
        <w:top w:val="none" w:sz="0" w:space="0" w:color="auto"/>
        <w:left w:val="none" w:sz="0" w:space="0" w:color="auto"/>
        <w:bottom w:val="none" w:sz="0" w:space="0" w:color="auto"/>
        <w:right w:val="none" w:sz="0" w:space="0" w:color="auto"/>
      </w:divBdr>
    </w:div>
    <w:div w:id="1145852093">
      <w:bodyDiv w:val="1"/>
      <w:marLeft w:val="0"/>
      <w:marRight w:val="0"/>
      <w:marTop w:val="0"/>
      <w:marBottom w:val="0"/>
      <w:divBdr>
        <w:top w:val="none" w:sz="0" w:space="0" w:color="auto"/>
        <w:left w:val="none" w:sz="0" w:space="0" w:color="auto"/>
        <w:bottom w:val="none" w:sz="0" w:space="0" w:color="auto"/>
        <w:right w:val="none" w:sz="0" w:space="0" w:color="auto"/>
      </w:divBdr>
      <w:divsChild>
        <w:div w:id="387530227">
          <w:marLeft w:val="0"/>
          <w:marRight w:val="0"/>
          <w:marTop w:val="0"/>
          <w:marBottom w:val="0"/>
          <w:divBdr>
            <w:top w:val="none" w:sz="0" w:space="0" w:color="auto"/>
            <w:left w:val="none" w:sz="0" w:space="0" w:color="auto"/>
            <w:bottom w:val="none" w:sz="0" w:space="0" w:color="auto"/>
            <w:right w:val="none" w:sz="0" w:space="0" w:color="auto"/>
          </w:divBdr>
        </w:div>
        <w:div w:id="810099951">
          <w:marLeft w:val="0"/>
          <w:marRight w:val="0"/>
          <w:marTop w:val="0"/>
          <w:marBottom w:val="0"/>
          <w:divBdr>
            <w:top w:val="none" w:sz="0" w:space="0" w:color="auto"/>
            <w:left w:val="none" w:sz="0" w:space="0" w:color="auto"/>
            <w:bottom w:val="none" w:sz="0" w:space="0" w:color="auto"/>
            <w:right w:val="none" w:sz="0" w:space="0" w:color="auto"/>
          </w:divBdr>
        </w:div>
        <w:div w:id="176965866">
          <w:marLeft w:val="0"/>
          <w:marRight w:val="0"/>
          <w:marTop w:val="0"/>
          <w:marBottom w:val="0"/>
          <w:divBdr>
            <w:top w:val="none" w:sz="0" w:space="0" w:color="auto"/>
            <w:left w:val="none" w:sz="0" w:space="0" w:color="auto"/>
            <w:bottom w:val="none" w:sz="0" w:space="0" w:color="auto"/>
            <w:right w:val="none" w:sz="0" w:space="0" w:color="auto"/>
          </w:divBdr>
        </w:div>
        <w:div w:id="1686054599">
          <w:marLeft w:val="0"/>
          <w:marRight w:val="0"/>
          <w:marTop w:val="0"/>
          <w:marBottom w:val="0"/>
          <w:divBdr>
            <w:top w:val="none" w:sz="0" w:space="0" w:color="auto"/>
            <w:left w:val="none" w:sz="0" w:space="0" w:color="auto"/>
            <w:bottom w:val="none" w:sz="0" w:space="0" w:color="auto"/>
            <w:right w:val="none" w:sz="0" w:space="0" w:color="auto"/>
          </w:divBdr>
        </w:div>
      </w:divsChild>
    </w:div>
    <w:div w:id="1425809491">
      <w:bodyDiv w:val="1"/>
      <w:marLeft w:val="0"/>
      <w:marRight w:val="0"/>
      <w:marTop w:val="0"/>
      <w:marBottom w:val="0"/>
      <w:divBdr>
        <w:top w:val="none" w:sz="0" w:space="0" w:color="auto"/>
        <w:left w:val="none" w:sz="0" w:space="0" w:color="auto"/>
        <w:bottom w:val="none" w:sz="0" w:space="0" w:color="auto"/>
        <w:right w:val="none" w:sz="0" w:space="0" w:color="auto"/>
      </w:divBdr>
      <w:divsChild>
        <w:div w:id="1725908515">
          <w:marLeft w:val="0"/>
          <w:marRight w:val="0"/>
          <w:marTop w:val="0"/>
          <w:marBottom w:val="0"/>
          <w:divBdr>
            <w:top w:val="none" w:sz="0" w:space="0" w:color="auto"/>
            <w:left w:val="none" w:sz="0" w:space="0" w:color="auto"/>
            <w:bottom w:val="none" w:sz="0" w:space="0" w:color="auto"/>
            <w:right w:val="none" w:sz="0" w:space="0" w:color="auto"/>
          </w:divBdr>
        </w:div>
      </w:divsChild>
    </w:div>
    <w:div w:id="166411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63CF-90E1-4ADC-8766-774D1AC6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5227</Words>
  <Characters>2980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2021-12-15T09:09:00Z</dcterms:created>
  <dc:creator>Dovilė Baroli</dc:creator>
  <cp:lastModifiedBy>Agnė Goborovienė</cp:lastModifiedBy>
  <dcterms:modified xsi:type="dcterms:W3CDTF">2021-12-15T09:09:00Z</dcterms:modified>
  <cp:revision>2</cp:revision>
</cp:coreProperties>
</file>