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6008" w14:textId="77777777" w:rsidR="007B73F7" w:rsidRDefault="00561777">
      <w:pPr>
        <w:pStyle w:val="Antrats"/>
        <w:spacing w:line="360" w:lineRule="auto"/>
        <w:jc w:val="center"/>
      </w:pPr>
      <w:r>
        <w:object w:dxaOrig="762" w:dyaOrig="784" w14:anchorId="67146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38.1pt;height:39.2pt;visibility:visible;mso-wrap-style:square" o:ole="">
            <v:imagedata r:id="rId7" o:title=""/>
          </v:shape>
          <o:OLEObject Type="Embed" ProgID="Word.Picture.8" ShapeID="Objektas1" DrawAspect="Content" ObjectID="_1677658552" r:id="rId8"/>
        </w:object>
      </w:r>
    </w:p>
    <w:p w14:paraId="67146009" w14:textId="77777777" w:rsidR="007B73F7" w:rsidRDefault="00561777">
      <w:pPr>
        <w:pStyle w:val="Standard"/>
        <w:tabs>
          <w:tab w:val="left" w:pos="8222"/>
        </w:tabs>
        <w:jc w:val="center"/>
        <w:rPr>
          <w:b/>
          <w:spacing w:val="14"/>
        </w:rPr>
      </w:pPr>
      <w:r>
        <w:rPr>
          <w:b/>
          <w:spacing w:val="14"/>
        </w:rPr>
        <w:t>LIETUVOS RESPUBLIKOS</w:t>
      </w:r>
    </w:p>
    <w:p w14:paraId="6714600A" w14:textId="77777777" w:rsidR="007B73F7" w:rsidRDefault="00561777">
      <w:pPr>
        <w:pStyle w:val="Antrats"/>
        <w:jc w:val="center"/>
        <w:rPr>
          <w:b/>
          <w:spacing w:val="14"/>
        </w:rPr>
      </w:pPr>
      <w:r>
        <w:rPr>
          <w:b/>
          <w:spacing w:val="14"/>
        </w:rPr>
        <w:t>GENERALINĖ PROKURATŪRA</w:t>
      </w:r>
    </w:p>
    <w:p w14:paraId="6714600B" w14:textId="77777777" w:rsidR="007B73F7" w:rsidRDefault="007B73F7">
      <w:pPr>
        <w:pStyle w:val="Footnoteuser"/>
        <w:jc w:val="center"/>
        <w:rPr>
          <w:szCs w:val="18"/>
          <w:lang w:val="en-US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3F7" w14:paraId="67146011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96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600C" w14:textId="77777777" w:rsidR="007B73F7" w:rsidRDefault="00561777">
            <w:pPr>
              <w:pStyle w:val="Footnote"/>
              <w:ind w:left="57"/>
              <w:jc w:val="center"/>
              <w:rPr>
                <w:szCs w:val="18"/>
              </w:rPr>
            </w:pPr>
            <w:r>
              <w:rPr>
                <w:szCs w:val="18"/>
              </w:rPr>
              <w:t>Biudžetinė įstaiga, Rinktinės g. 5A, LT-01515 Vilnius, tel. (8 5) 266 2304, faks. (8 5) 266 2317,</w:t>
            </w:r>
          </w:p>
          <w:p w14:paraId="6714600D" w14:textId="77777777" w:rsidR="007B73F7" w:rsidRDefault="00561777">
            <w:pPr>
              <w:pStyle w:val="Footnoteuser"/>
              <w:ind w:left="57"/>
              <w:jc w:val="center"/>
            </w:pPr>
            <w:r>
              <w:rPr>
                <w:szCs w:val="18"/>
              </w:rPr>
              <w:t xml:space="preserve">el. p. </w:t>
            </w:r>
            <w:proofErr w:type="spellStart"/>
            <w:r>
              <w:rPr>
                <w:szCs w:val="18"/>
              </w:rPr>
              <w:t>generaline.prokuratura</w:t>
            </w:r>
            <w:proofErr w:type="spellEnd"/>
            <w:r>
              <w:rPr>
                <w:szCs w:val="18"/>
                <w:lang w:val="en-US"/>
              </w:rPr>
              <w:t>@prokuraturos.lt.</w:t>
            </w:r>
          </w:p>
          <w:p w14:paraId="6714600E" w14:textId="77777777" w:rsidR="007B73F7" w:rsidRDefault="00561777">
            <w:pPr>
              <w:pStyle w:val="Footnoteuser"/>
              <w:ind w:left="57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Duomenys </w:t>
            </w:r>
            <w:r>
              <w:rPr>
                <w:szCs w:val="18"/>
              </w:rPr>
              <w:t>kaupiami ir saugomi Juridinių asmenų registre, kodas 288603320</w:t>
            </w:r>
          </w:p>
          <w:p w14:paraId="6714600F" w14:textId="77777777" w:rsidR="007B73F7" w:rsidRDefault="007B73F7">
            <w:pPr>
              <w:pStyle w:val="Footnote"/>
              <w:rPr>
                <w:szCs w:val="18"/>
              </w:rPr>
            </w:pPr>
          </w:p>
          <w:p w14:paraId="67146010" w14:textId="77777777" w:rsidR="007B73F7" w:rsidRDefault="007B73F7">
            <w:pPr>
              <w:pStyle w:val="Footnote"/>
              <w:ind w:left="57"/>
              <w:jc w:val="center"/>
              <w:rPr>
                <w:szCs w:val="18"/>
              </w:rPr>
            </w:pPr>
          </w:p>
        </w:tc>
      </w:tr>
    </w:tbl>
    <w:p w14:paraId="67146013" w14:textId="77777777" w:rsidR="007B73F7" w:rsidRDefault="007B73F7">
      <w:pPr>
        <w:pStyle w:val="Antrats"/>
        <w:tabs>
          <w:tab w:val="clear" w:pos="4320"/>
          <w:tab w:val="clear" w:pos="8640"/>
        </w:tabs>
      </w:pPr>
    </w:p>
    <w:tbl>
      <w:tblPr>
        <w:tblW w:w="973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3"/>
        <w:gridCol w:w="1414"/>
        <w:gridCol w:w="514"/>
        <w:gridCol w:w="2811"/>
      </w:tblGrid>
      <w:tr w:rsidR="007B73F7" w14:paraId="67146019" w14:textId="77777777">
        <w:tblPrEx>
          <w:tblCellMar>
            <w:top w:w="0" w:type="dxa"/>
            <w:bottom w:w="0" w:type="dxa"/>
          </w:tblCellMar>
        </w:tblPrEx>
        <w:tc>
          <w:tcPr>
            <w:tcW w:w="4993" w:type="dxa"/>
            <w:vMerge w:val="restart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4" w14:textId="77777777" w:rsidR="007B73F7" w:rsidRDefault="00561777">
            <w:pPr>
              <w:pStyle w:val="Antrats"/>
              <w:tabs>
                <w:tab w:val="clear" w:pos="4320"/>
                <w:tab w:val="clear" w:pos="8640"/>
              </w:tabs>
            </w:pPr>
            <w:r>
              <w:t>Lietuvos Respublikos teisingumo ministerijai</w:t>
            </w:r>
          </w:p>
          <w:p w14:paraId="67146015" w14:textId="77777777" w:rsidR="007B73F7" w:rsidRDefault="007B73F7">
            <w:pPr>
              <w:pStyle w:val="Antrats"/>
              <w:tabs>
                <w:tab w:val="clear" w:pos="4320"/>
                <w:tab w:val="clear" w:pos="8640"/>
              </w:tabs>
            </w:pPr>
          </w:p>
        </w:tc>
        <w:tc>
          <w:tcPr>
            <w:tcW w:w="1414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6" w14:textId="77777777" w:rsidR="007B73F7" w:rsidRDefault="00561777">
            <w:pPr>
              <w:pStyle w:val="Standard"/>
            </w:pPr>
            <w:r>
              <w:t>2021-03-</w:t>
            </w:r>
          </w:p>
        </w:tc>
        <w:tc>
          <w:tcPr>
            <w:tcW w:w="514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7" w14:textId="77777777" w:rsidR="007B73F7" w:rsidRDefault="00561777">
            <w:pPr>
              <w:pStyle w:val="Standard"/>
            </w:pPr>
            <w:r>
              <w:t>Nr.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8" w14:textId="77777777" w:rsidR="007B73F7" w:rsidRDefault="007B73F7">
            <w:pPr>
              <w:pStyle w:val="Standard"/>
            </w:pPr>
          </w:p>
        </w:tc>
      </w:tr>
      <w:tr w:rsidR="007B73F7" w14:paraId="6714601E" w14:textId="77777777">
        <w:tblPrEx>
          <w:tblCellMar>
            <w:top w:w="0" w:type="dxa"/>
            <w:bottom w:w="0" w:type="dxa"/>
          </w:tblCellMar>
        </w:tblPrEx>
        <w:tc>
          <w:tcPr>
            <w:tcW w:w="4993" w:type="dxa"/>
            <w:vMerge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A" w14:textId="77777777" w:rsidR="007B73F7" w:rsidRDefault="007B73F7">
            <w:pPr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B" w14:textId="77777777" w:rsidR="007B73F7" w:rsidRDefault="007B73F7">
            <w:pPr>
              <w:pStyle w:val="Standard"/>
            </w:pPr>
          </w:p>
        </w:tc>
        <w:tc>
          <w:tcPr>
            <w:tcW w:w="514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C" w14:textId="77777777" w:rsidR="007B73F7" w:rsidRDefault="007B73F7">
            <w:pPr>
              <w:pStyle w:val="Standard"/>
            </w:pPr>
          </w:p>
        </w:tc>
        <w:tc>
          <w:tcPr>
            <w:tcW w:w="2811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14601D" w14:textId="77777777" w:rsidR="007B73F7" w:rsidRDefault="007B73F7">
            <w:pPr>
              <w:pStyle w:val="Standard"/>
            </w:pPr>
          </w:p>
        </w:tc>
      </w:tr>
    </w:tbl>
    <w:p w14:paraId="6714601F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tbl>
      <w:tblPr>
        <w:tblW w:w="9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4"/>
      </w:tblGrid>
      <w:tr w:rsidR="007B73F7" w14:paraId="67146021" w14:textId="77777777">
        <w:tblPrEx>
          <w:tblCellMar>
            <w:top w:w="0" w:type="dxa"/>
            <w:bottom w:w="0" w:type="dxa"/>
          </w:tblCellMar>
        </w:tblPrEx>
        <w:tc>
          <w:tcPr>
            <w:tcW w:w="97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6020" w14:textId="77777777" w:rsidR="007B73F7" w:rsidRDefault="00561777">
            <w:pPr>
              <w:pStyle w:val="Antrats"/>
              <w:tabs>
                <w:tab w:val="clear" w:pos="4320"/>
                <w:tab w:val="clear" w:pos="8640"/>
                <w:tab w:val="left" w:pos="4260"/>
              </w:tabs>
            </w:pPr>
            <w:r>
              <w:rPr>
                <w:b/>
                <w:caps/>
              </w:rPr>
              <w:t>DėL TEISĖS AKTO PROJEKTO Nr.</w:t>
            </w:r>
            <w:r>
              <w:rPr>
                <w:b/>
                <w:bCs/>
              </w:rPr>
              <w:t xml:space="preserve"> 21-20749</w:t>
            </w:r>
          </w:p>
        </w:tc>
      </w:tr>
    </w:tbl>
    <w:p w14:paraId="67146022" w14:textId="77777777" w:rsidR="007B73F7" w:rsidRDefault="007B73F7">
      <w:pPr>
        <w:pStyle w:val="Standard"/>
        <w:tabs>
          <w:tab w:val="left" w:pos="8245"/>
        </w:tabs>
        <w:overflowPunct w:val="0"/>
        <w:autoSpaceDE w:val="0"/>
        <w:ind w:firstLine="720"/>
        <w:jc w:val="both"/>
        <w:rPr>
          <w:szCs w:val="24"/>
        </w:rPr>
      </w:pPr>
    </w:p>
    <w:p w14:paraId="67146023" w14:textId="77777777" w:rsidR="007B73F7" w:rsidRDefault="00561777">
      <w:pPr>
        <w:pStyle w:val="Standard"/>
        <w:tabs>
          <w:tab w:val="left" w:pos="8245"/>
        </w:tabs>
        <w:overflowPunct w:val="0"/>
        <w:autoSpaceDE w:val="0"/>
        <w:ind w:firstLine="720"/>
        <w:jc w:val="both"/>
      </w:pPr>
      <w:r>
        <w:rPr>
          <w:color w:val="212121"/>
          <w:szCs w:val="24"/>
          <w:lang w:eastAsia="en-US"/>
        </w:rPr>
        <w:t xml:space="preserve">Lietuvos Respublikos generalinė prokuratūra, susipažinusi su pateiktu </w:t>
      </w:r>
      <w:r>
        <w:rPr>
          <w:color w:val="212121"/>
          <w:szCs w:val="24"/>
          <w:lang w:eastAsia="en-US"/>
        </w:rPr>
        <w:t>derinti Lietuvos Respublikos Vyriausybės nutarimo „Dėl Lietuvos Respublikos baudžiamojo kodekso papildymo 147</w:t>
      </w:r>
      <w:r>
        <w:rPr>
          <w:color w:val="212121"/>
          <w:szCs w:val="24"/>
          <w:vertAlign w:val="superscript"/>
          <w:lang w:eastAsia="en-US"/>
        </w:rPr>
        <w:t>3</w:t>
      </w:r>
      <w:r>
        <w:rPr>
          <w:color w:val="212121"/>
          <w:szCs w:val="24"/>
          <w:lang w:eastAsia="en-US"/>
        </w:rPr>
        <w:t xml:space="preserve"> straipsniu įstatymo projekto Nr. XIIIP-4099 ir Lietuvos Respublikos administracinių nusižengimų kodekso 487 straipsnio pripažinimo netekusiu gali</w:t>
      </w:r>
      <w:r>
        <w:rPr>
          <w:color w:val="212121"/>
          <w:szCs w:val="24"/>
          <w:lang w:eastAsia="en-US"/>
        </w:rPr>
        <w:t>os įstatymo projekto Nr. XIIIP-4100  projektu N</w:t>
      </w:r>
      <w:r>
        <w:rPr>
          <w:lang w:eastAsia="en-US"/>
        </w:rPr>
        <w:t>r. 21-20749 (tolia</w:t>
      </w:r>
      <w:r>
        <w:rPr>
          <w:color w:val="212121"/>
          <w:szCs w:val="24"/>
          <w:lang w:eastAsia="en-US"/>
        </w:rPr>
        <w:t>u – Nutarimo projektas), lieka prie savo 2019 m. gruodžio 18 d. raštu Nr. 17.2.-5482 Teisingumo ministerijai teiktos pozicijos.</w:t>
      </w:r>
    </w:p>
    <w:p w14:paraId="67146024" w14:textId="77777777" w:rsidR="007B73F7" w:rsidRDefault="00561777">
      <w:pPr>
        <w:pStyle w:val="Standard"/>
        <w:tabs>
          <w:tab w:val="left" w:pos="8245"/>
        </w:tabs>
        <w:overflowPunct w:val="0"/>
        <w:autoSpaceDE w:val="0"/>
        <w:ind w:firstLine="720"/>
        <w:jc w:val="both"/>
      </w:pPr>
      <w:r>
        <w:rPr>
          <w:color w:val="212121"/>
          <w:szCs w:val="24"/>
          <w:lang w:eastAsia="en-US"/>
        </w:rPr>
        <w:t>Prokuratūra pritaria Nutarimo projekte išdėstytai pozicijai nep</w:t>
      </w:r>
      <w:r>
        <w:rPr>
          <w:color w:val="212121"/>
          <w:szCs w:val="24"/>
          <w:lang w:eastAsia="en-US"/>
        </w:rPr>
        <w:t>ritarti Lietuvos Respublikos baudžiamojo kodekso papildymo 147</w:t>
      </w:r>
      <w:r>
        <w:rPr>
          <w:color w:val="212121"/>
          <w:szCs w:val="24"/>
          <w:vertAlign w:val="superscript"/>
          <w:lang w:eastAsia="en-US"/>
        </w:rPr>
        <w:t>3</w:t>
      </w:r>
      <w:r>
        <w:rPr>
          <w:color w:val="212121"/>
          <w:szCs w:val="24"/>
          <w:lang w:eastAsia="en-US"/>
        </w:rPr>
        <w:t xml:space="preserve"> straipsniu įstatymo projektui Nr. XIIIP-4099, taip pat iš dalies </w:t>
      </w:r>
      <w:r>
        <w:rPr>
          <w:szCs w:val="24"/>
        </w:rPr>
        <w:t xml:space="preserve">sutinka su </w:t>
      </w:r>
      <w:r>
        <w:rPr>
          <w:color w:val="212121"/>
          <w:szCs w:val="24"/>
          <w:lang w:eastAsia="en-US"/>
        </w:rPr>
        <w:t>Nutarimo projekte išdėstyta pozicija nepritarti Lietuvos Respublikos administracinių nusižengimų kodekso 487 straips</w:t>
      </w:r>
      <w:r>
        <w:rPr>
          <w:color w:val="212121"/>
          <w:szCs w:val="24"/>
          <w:lang w:eastAsia="en-US"/>
        </w:rPr>
        <w:t xml:space="preserve">nio pripažinimo netekusiu galios įstatymo projekto Nr. XIIIP-4100 (toliau – ANK projektas) siūlydama jį tobulinti. Prokuratūra </w:t>
      </w:r>
      <w:r>
        <w:rPr>
          <w:bCs/>
          <w:color w:val="000000"/>
          <w:szCs w:val="24"/>
        </w:rPr>
        <w:t xml:space="preserve">pritaria </w:t>
      </w:r>
      <w:r>
        <w:rPr>
          <w:color w:val="212121"/>
          <w:szCs w:val="24"/>
          <w:lang w:eastAsia="en-US"/>
        </w:rPr>
        <w:t>ANK projekte</w:t>
      </w:r>
      <w:r>
        <w:rPr>
          <w:bCs/>
          <w:color w:val="000000"/>
          <w:szCs w:val="24"/>
        </w:rPr>
        <w:t xml:space="preserve"> pateiktam pasiūlymui panaikinti administracinę atsakomybę už vertimąsi prostitucija, tačiau siūlo palikti a</w:t>
      </w:r>
      <w:r>
        <w:rPr>
          <w:bCs/>
          <w:color w:val="000000"/>
          <w:szCs w:val="24"/>
        </w:rPr>
        <w:t>dministracinę atsakomybę seksualinių paslaugų pirkėjams (gali būti svarstomas sankcijos sugriežtinimo klausimas). Manytina, kad toks reguliavimas neleistų visuomenėje formuotis klaidingam požiūriui, kad prostitucija pripažįstama legalia ir visuotinai priim</w:t>
      </w:r>
      <w:r>
        <w:rPr>
          <w:bCs/>
          <w:color w:val="000000"/>
          <w:szCs w:val="24"/>
        </w:rPr>
        <w:t>tina elgesio norma.</w:t>
      </w:r>
    </w:p>
    <w:p w14:paraId="67146025" w14:textId="77777777" w:rsidR="007B73F7" w:rsidRDefault="007B73F7">
      <w:pPr>
        <w:pStyle w:val="Standard"/>
        <w:tabs>
          <w:tab w:val="left" w:pos="8245"/>
        </w:tabs>
        <w:overflowPunct w:val="0"/>
        <w:autoSpaceDE w:val="0"/>
        <w:ind w:firstLine="720"/>
        <w:jc w:val="both"/>
      </w:pPr>
    </w:p>
    <w:p w14:paraId="67146026" w14:textId="77777777" w:rsidR="007B73F7" w:rsidRDefault="007B73F7">
      <w:pPr>
        <w:pStyle w:val="Standard"/>
        <w:tabs>
          <w:tab w:val="left" w:pos="8245"/>
        </w:tabs>
        <w:overflowPunct w:val="0"/>
        <w:autoSpaceDE w:val="0"/>
        <w:ind w:firstLine="720"/>
        <w:jc w:val="both"/>
        <w:rPr>
          <w:szCs w:val="24"/>
        </w:rPr>
      </w:pPr>
    </w:p>
    <w:p w14:paraId="67146027" w14:textId="77777777" w:rsidR="007B73F7" w:rsidRDefault="007B73F7">
      <w:pPr>
        <w:pStyle w:val="Standard"/>
        <w:tabs>
          <w:tab w:val="left" w:pos="8245"/>
        </w:tabs>
        <w:overflowPunct w:val="0"/>
        <w:autoSpaceDE w:val="0"/>
        <w:ind w:firstLine="720"/>
        <w:jc w:val="both"/>
        <w:rPr>
          <w:szCs w:val="24"/>
        </w:rPr>
      </w:pPr>
    </w:p>
    <w:p w14:paraId="67146028" w14:textId="77777777" w:rsidR="007B73F7" w:rsidRDefault="00561777">
      <w:pPr>
        <w:pStyle w:val="Antrats"/>
        <w:tabs>
          <w:tab w:val="clear" w:pos="4320"/>
          <w:tab w:val="clear" w:pos="8640"/>
        </w:tabs>
        <w:jc w:val="both"/>
      </w:pPr>
      <w:r>
        <w:t>Generalinė prokurorė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Nida </w:t>
      </w:r>
      <w:proofErr w:type="spellStart"/>
      <w:r>
        <w:t>Grunskienė</w:t>
      </w:r>
      <w:proofErr w:type="spellEnd"/>
    </w:p>
    <w:p w14:paraId="67146029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2A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2B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2C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2D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2E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2F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0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1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2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3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4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5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6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7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8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9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A" w14:textId="77777777" w:rsidR="007B73F7" w:rsidRDefault="007B73F7">
      <w:pPr>
        <w:pStyle w:val="Antrats"/>
        <w:tabs>
          <w:tab w:val="clear" w:pos="4320"/>
          <w:tab w:val="clear" w:pos="8640"/>
        </w:tabs>
        <w:jc w:val="both"/>
      </w:pPr>
    </w:p>
    <w:p w14:paraId="6714603B" w14:textId="77777777" w:rsidR="007B73F7" w:rsidRDefault="00561777">
      <w:pPr>
        <w:pStyle w:val="Antrats"/>
        <w:tabs>
          <w:tab w:val="clear" w:pos="4320"/>
          <w:tab w:val="clear" w:pos="8640"/>
        </w:tabs>
        <w:jc w:val="both"/>
      </w:pPr>
      <w:hyperlink r:id="rId9" w:history="1">
        <w:r>
          <w:t>G</w:t>
        </w:r>
      </w:hyperlink>
      <w:r>
        <w:t xml:space="preserve">reta </w:t>
      </w:r>
      <w:proofErr w:type="spellStart"/>
      <w:r>
        <w:t>Bruzgienė</w:t>
      </w:r>
      <w:proofErr w:type="spellEnd"/>
      <w:r>
        <w:t>, tel. (8 5) 266 23 10, el. p. greta.bruzgiene@prokuraturos.lt</w:t>
      </w:r>
    </w:p>
    <w:sectPr w:rsidR="007B73F7">
      <w:headerReference w:type="default" r:id="rId10"/>
      <w:footerReference w:type="even" r:id="rId11"/>
      <w:footerReference w:type="default" r:id="rId12"/>
      <w:pgSz w:w="11906" w:h="16838"/>
      <w:pgMar w:top="904" w:right="567" w:bottom="196" w:left="1701" w:header="45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4600D" w14:textId="77777777" w:rsidR="00000000" w:rsidRDefault="00561777">
      <w:pPr>
        <w:rPr>
          <w:rFonts w:hint="eastAsia"/>
        </w:rPr>
      </w:pPr>
      <w:r>
        <w:separator/>
      </w:r>
    </w:p>
  </w:endnote>
  <w:endnote w:type="continuationSeparator" w:id="0">
    <w:p w14:paraId="6714600F" w14:textId="77777777" w:rsidR="00000000" w:rsidRDefault="00561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6019" w14:textId="77777777" w:rsidR="00E56ED3" w:rsidRDefault="005617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601B" w14:textId="77777777" w:rsidR="00E56ED3" w:rsidRDefault="00561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46009" w14:textId="77777777" w:rsidR="00000000" w:rsidRDefault="00561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14600B" w14:textId="77777777" w:rsidR="00000000" w:rsidRDefault="005617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46017" w14:textId="77777777" w:rsidR="00E56ED3" w:rsidRDefault="00561777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14600B" wp14:editId="6714600C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20317"/>
              <wp:effectExtent l="0" t="0" r="0" b="0"/>
              <wp:wrapSquare wrapText="bothSides"/>
              <wp:docPr id="2" name="Kadras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714600F" w14:textId="77777777" w:rsidR="00E56ED3" w:rsidRDefault="0056177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4600B" id="_x0000_t202" coordsize="21600,21600" o:spt="202" path="m,l,21600r21600,l21600,xe">
              <v:stroke joinstyle="miter"/>
              <v:path gradientshapeok="t" o:connecttype="rect"/>
            </v:shapetype>
            <v:shape id="Kadras2" o:spid="_x0000_s1026" type="#_x0000_t202" style="position:absolute;margin-left:0;margin-top:.05pt;width:1.15pt;height:1.6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" stroked="f">
              <v:fill opacity="0"/>
              <v:textbox style="mso-fit-shape-to-text:t" inset="0,0,0,0">
                <w:txbxContent>
                  <w:p w14:paraId="6714600F" w14:textId="77777777" w:rsidR="00E56ED3" w:rsidRDefault="0056177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424C1"/>
    <w:multiLevelType w:val="multilevel"/>
    <w:tmpl w:val="7C66B434"/>
    <w:styleLink w:val="WW8Num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85F7240"/>
    <w:multiLevelType w:val="multilevel"/>
    <w:tmpl w:val="9C74765A"/>
    <w:styleLink w:val="WW8Num2"/>
    <w:lvl w:ilvl="0">
      <w:start w:val="1"/>
      <w:numFmt w:val="decimal"/>
      <w:lvlText w:val="%1."/>
      <w:lvlJc w:val="left"/>
      <w:pPr>
        <w:ind w:left="148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73F7"/>
    <w:rsid w:val="00561777"/>
    <w:rsid w:val="007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46008"/>
  <w15:docId w15:val="{90779B4D-5723-4522-BF82-5AD1AA9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Standard"/>
    <w:pPr>
      <w:tabs>
        <w:tab w:val="center" w:pos="4320"/>
        <w:tab w:val="right" w:pos="8640"/>
      </w:tabs>
    </w:pPr>
  </w:style>
  <w:style w:type="paragraph" w:styleId="Porat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Footnote">
    <w:name w:val="Footnote"/>
    <w:basedOn w:val="Standard"/>
    <w:rPr>
      <w:sz w:val="20"/>
    </w:rPr>
  </w:style>
  <w:style w:type="paragraph" w:customStyle="1" w:styleId="Footnoteuser">
    <w:name w:val="Footnote (user)"/>
    <w:basedOn w:val="Footnote"/>
    <w:rPr>
      <w:sz w:val="18"/>
    </w:rPr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prastasiniatinklio">
    <w:name w:val="Normal (Web)"/>
    <w:basedOn w:val="prastasis"/>
    <w:pPr>
      <w:spacing w:before="100" w:after="100"/>
    </w:pPr>
    <w:rPr>
      <w:rFonts w:ascii="Times New Roman" w:eastAsia="Times New Roman" w:hAnsi="Times New Roman" w:cs="Times New Roman"/>
      <w:lang w:eastAsia="lt-LT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styleId="Puslapionumeris">
    <w:name w:val="page number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ga.nebracnaja@prokuraturos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4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Loreta</dc:creator>
  <cp:lastModifiedBy>Jurgita Bžozovska</cp:lastModifiedBy>
  <cp:revision>2</cp:revision>
  <cp:lastPrinted>2019-12-13T11:28:00Z</cp:lastPrinted>
  <dcterms:created xsi:type="dcterms:W3CDTF">2021-03-19T09:29:00Z</dcterms:created>
  <dcterms:modified xsi:type="dcterms:W3CDTF">2021-03-19T09:29:00Z</dcterms:modified>
</cp:coreProperties>
</file>