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89BC7" w14:textId="0C177C39" w:rsidR="00BC095F" w:rsidRPr="009F7701" w:rsidRDefault="00BC095F" w:rsidP="00BC095F">
      <w:pPr>
        <w:ind w:firstLine="0"/>
        <w:jc w:val="center"/>
        <w:rPr>
          <w:color w:val="auto"/>
          <w:sz w:val="22"/>
          <w:szCs w:val="22"/>
        </w:rPr>
      </w:pPr>
      <w:bookmarkStart w:id="0" w:name="_Hlk25337171"/>
      <w:r w:rsidRPr="009F7701">
        <w:rPr>
          <w:b/>
          <w:color w:val="auto"/>
          <w:sz w:val="22"/>
          <w:szCs w:val="22"/>
        </w:rPr>
        <w:t>LIETUVOS RESPUBLIKOS NESĄŽININGOS PREKYBOS PRAKTIKOS ŽEMĖS ŪKIO IR MAISTO PRODUKTŲ TIEKIMO GRANDINĖJE DRAUDIMO ĮSTATYMO, LIETUVOS RESPUBLIKOS MAŽMENINĖS PREKYBOS ĮMONIŲ NESĄŽININGŲ VEIKSMŲ DRAUDIMO ĮSTATYMO NR. XI-626 1, 2, 3, 4, 5, 6, 8, 9, 9</w:t>
      </w:r>
      <w:r w:rsidRPr="009F7701">
        <w:rPr>
          <w:b/>
          <w:color w:val="auto"/>
          <w:sz w:val="22"/>
          <w:szCs w:val="22"/>
          <w:vertAlign w:val="superscript"/>
        </w:rPr>
        <w:t>1</w:t>
      </w:r>
      <w:r w:rsidRPr="009F7701">
        <w:rPr>
          <w:b/>
          <w:color w:val="auto"/>
          <w:sz w:val="22"/>
          <w:szCs w:val="22"/>
        </w:rPr>
        <w:t>, 11, 12, 14, 15 STRAIPSNIŲ PAKEITIMO IR ĮSTATYMO PAPILDYMO 9</w:t>
      </w:r>
      <w:r w:rsidRPr="009F7701">
        <w:rPr>
          <w:b/>
          <w:color w:val="auto"/>
          <w:sz w:val="22"/>
          <w:szCs w:val="22"/>
          <w:vertAlign w:val="superscript"/>
        </w:rPr>
        <w:t>3</w:t>
      </w:r>
      <w:r w:rsidRPr="009F7701">
        <w:rPr>
          <w:b/>
          <w:color w:val="auto"/>
          <w:sz w:val="22"/>
          <w:szCs w:val="22"/>
        </w:rPr>
        <w:t>, 9</w:t>
      </w:r>
      <w:r w:rsidRPr="009F7701">
        <w:rPr>
          <w:b/>
          <w:color w:val="auto"/>
          <w:sz w:val="22"/>
          <w:szCs w:val="22"/>
          <w:vertAlign w:val="superscript"/>
        </w:rPr>
        <w:t xml:space="preserve">4 </w:t>
      </w:r>
      <w:r w:rsidRPr="009F7701">
        <w:rPr>
          <w:b/>
          <w:color w:val="auto"/>
          <w:sz w:val="22"/>
          <w:szCs w:val="22"/>
        </w:rPr>
        <w:t>STRAIPSNIAIS IR PRIEDU ĮSTATYMO, LIETUVOS RESPUBLIKOS ATSISKAITYMO UŽ ŽEMĖS ŪKIO PRODUKCIJĄ ĮSTATYMO NR. VIII-1422</w:t>
      </w:r>
      <w:r w:rsidRPr="009F7701">
        <w:rPr>
          <w:color w:val="auto"/>
          <w:sz w:val="22"/>
          <w:szCs w:val="22"/>
        </w:rPr>
        <w:t xml:space="preserve"> </w:t>
      </w:r>
      <w:r w:rsidRPr="009F7701">
        <w:rPr>
          <w:b/>
          <w:color w:val="auto"/>
          <w:sz w:val="22"/>
          <w:szCs w:val="22"/>
        </w:rPr>
        <w:t>2, 4, 5, 6, 7, 8, 11, 12, 13 IR 14 STRAIPSNIŲ PAKEITIMO ĮSTATYMO IR LIETUVOS RESPUBLIKOS ADMINISTRACINIŲ NUSIŽENGIMŲ KODEKSO 17</w:t>
      </w:r>
      <w:r w:rsidR="00207559">
        <w:rPr>
          <w:b/>
          <w:color w:val="auto"/>
          <w:sz w:val="22"/>
          <w:szCs w:val="22"/>
        </w:rPr>
        <w:t>8,</w:t>
      </w:r>
      <w:r w:rsidRPr="009F7701">
        <w:rPr>
          <w:b/>
          <w:color w:val="auto"/>
          <w:sz w:val="22"/>
          <w:szCs w:val="22"/>
        </w:rPr>
        <w:t xml:space="preserve"> 589 STRAIPSNIŲ PAKEITIMO</w:t>
      </w:r>
      <w:r w:rsidR="00207559">
        <w:rPr>
          <w:b/>
          <w:color w:val="auto"/>
          <w:sz w:val="22"/>
          <w:szCs w:val="22"/>
        </w:rPr>
        <w:t xml:space="preserve"> IR 179 PRIPAŽINIMO NETEKUSIU GALIOS</w:t>
      </w:r>
      <w:r w:rsidRPr="009F7701">
        <w:rPr>
          <w:b/>
          <w:color w:val="auto"/>
          <w:sz w:val="22"/>
          <w:szCs w:val="22"/>
        </w:rPr>
        <w:t xml:space="preserve"> ĮSTATYMO PROJEKTŲ</w:t>
      </w:r>
    </w:p>
    <w:bookmarkEnd w:id="0"/>
    <w:p w14:paraId="3F2D0BC4" w14:textId="77777777" w:rsidR="00BC095F" w:rsidRPr="009F7701" w:rsidRDefault="00BC095F" w:rsidP="00BC095F">
      <w:pPr>
        <w:spacing w:after="120"/>
        <w:ind w:right="-57" w:firstLine="0"/>
        <w:jc w:val="center"/>
        <w:rPr>
          <w:b/>
          <w:color w:val="auto"/>
          <w:sz w:val="22"/>
          <w:szCs w:val="22"/>
        </w:rPr>
      </w:pPr>
      <w:r w:rsidRPr="009F7701">
        <w:rPr>
          <w:b/>
          <w:color w:val="auto"/>
          <w:sz w:val="22"/>
          <w:szCs w:val="22"/>
        </w:rPr>
        <w:t xml:space="preserve">DERINIMO PAŽYMA </w:t>
      </w:r>
    </w:p>
    <w:tbl>
      <w:tblPr>
        <w:tblStyle w:val="Lentelstinklelis"/>
        <w:tblW w:w="15168" w:type="dxa"/>
        <w:tblInd w:w="-176" w:type="dxa"/>
        <w:tblLayout w:type="fixed"/>
        <w:tblLook w:val="04A0" w:firstRow="1" w:lastRow="0" w:firstColumn="1" w:lastColumn="0" w:noHBand="0" w:noVBand="1"/>
      </w:tblPr>
      <w:tblGrid>
        <w:gridCol w:w="568"/>
        <w:gridCol w:w="2693"/>
        <w:gridCol w:w="5123"/>
        <w:gridCol w:w="6784"/>
      </w:tblGrid>
      <w:tr w:rsidR="00BC095F" w:rsidRPr="00BC095F" w14:paraId="04B83A34" w14:textId="77777777" w:rsidTr="001A2F90">
        <w:tc>
          <w:tcPr>
            <w:tcW w:w="568" w:type="dxa"/>
          </w:tcPr>
          <w:p w14:paraId="3E293C50" w14:textId="77777777" w:rsidR="00BC095F" w:rsidRPr="006300FE" w:rsidRDefault="00BC095F" w:rsidP="005B032F">
            <w:pPr>
              <w:spacing w:before="40"/>
              <w:ind w:firstLine="0"/>
              <w:jc w:val="center"/>
              <w:rPr>
                <w:color w:val="auto"/>
              </w:rPr>
            </w:pPr>
            <w:r w:rsidRPr="006300FE">
              <w:rPr>
                <w:b/>
                <w:color w:val="auto"/>
              </w:rPr>
              <w:t>Eil.</w:t>
            </w:r>
          </w:p>
          <w:p w14:paraId="4EFBA84C" w14:textId="77777777" w:rsidR="00BC095F" w:rsidRPr="006300FE" w:rsidRDefault="00BC095F" w:rsidP="005B032F">
            <w:pPr>
              <w:spacing w:after="40"/>
              <w:ind w:firstLine="0"/>
              <w:jc w:val="center"/>
              <w:rPr>
                <w:b/>
                <w:color w:val="auto"/>
              </w:rPr>
            </w:pPr>
            <w:r w:rsidRPr="006300FE">
              <w:rPr>
                <w:b/>
                <w:color w:val="auto"/>
              </w:rPr>
              <w:t>Nr.</w:t>
            </w:r>
          </w:p>
        </w:tc>
        <w:tc>
          <w:tcPr>
            <w:tcW w:w="2693" w:type="dxa"/>
          </w:tcPr>
          <w:p w14:paraId="27744048" w14:textId="77777777" w:rsidR="00BC095F" w:rsidRPr="006300FE" w:rsidRDefault="00BC095F" w:rsidP="005B032F">
            <w:pPr>
              <w:spacing w:before="40" w:after="40"/>
              <w:ind w:firstLine="0"/>
              <w:jc w:val="center"/>
              <w:rPr>
                <w:b/>
                <w:color w:val="auto"/>
              </w:rPr>
            </w:pPr>
            <w:r w:rsidRPr="006300FE">
              <w:rPr>
                <w:b/>
                <w:color w:val="auto"/>
              </w:rPr>
              <w:t>Institucijos pavadinimas, rašto data ir numeris</w:t>
            </w:r>
          </w:p>
        </w:tc>
        <w:tc>
          <w:tcPr>
            <w:tcW w:w="5123" w:type="dxa"/>
          </w:tcPr>
          <w:p w14:paraId="31D2C760" w14:textId="77777777" w:rsidR="00BC095F" w:rsidRPr="006300FE" w:rsidRDefault="00BC095F" w:rsidP="005B032F">
            <w:pPr>
              <w:spacing w:before="40" w:after="40"/>
              <w:ind w:firstLine="33"/>
              <w:jc w:val="center"/>
              <w:rPr>
                <w:b/>
                <w:color w:val="auto"/>
              </w:rPr>
            </w:pPr>
            <w:r w:rsidRPr="006300FE">
              <w:rPr>
                <w:b/>
                <w:color w:val="auto"/>
              </w:rPr>
              <w:t>Pastabos ir pasiūlymai</w:t>
            </w:r>
          </w:p>
        </w:tc>
        <w:tc>
          <w:tcPr>
            <w:tcW w:w="6784" w:type="dxa"/>
          </w:tcPr>
          <w:p w14:paraId="7E3770B5" w14:textId="77777777" w:rsidR="00BC095F" w:rsidRPr="00954F85" w:rsidRDefault="00BC095F" w:rsidP="005B032F">
            <w:pPr>
              <w:spacing w:before="40"/>
              <w:ind w:firstLine="23"/>
              <w:jc w:val="center"/>
              <w:rPr>
                <w:color w:val="auto"/>
              </w:rPr>
            </w:pPr>
            <w:r w:rsidRPr="006300FE">
              <w:rPr>
                <w:b/>
                <w:color w:val="auto"/>
              </w:rPr>
              <w:t>Pastabų ir pasiūlymų</w:t>
            </w:r>
          </w:p>
          <w:p w14:paraId="2FEBD0DB" w14:textId="77777777" w:rsidR="00BC095F" w:rsidRPr="006300FE" w:rsidRDefault="00BC095F" w:rsidP="005B032F">
            <w:pPr>
              <w:spacing w:after="40"/>
              <w:ind w:firstLine="23"/>
              <w:jc w:val="center"/>
              <w:rPr>
                <w:b/>
                <w:color w:val="auto"/>
              </w:rPr>
            </w:pPr>
            <w:r w:rsidRPr="006300FE">
              <w:rPr>
                <w:b/>
                <w:color w:val="auto"/>
              </w:rPr>
              <w:t>įvertinimas</w:t>
            </w:r>
          </w:p>
        </w:tc>
      </w:tr>
      <w:tr w:rsidR="003F6E4B" w:rsidRPr="00BC095F" w14:paraId="5541EA22" w14:textId="77777777" w:rsidTr="001A2F90">
        <w:tc>
          <w:tcPr>
            <w:tcW w:w="568" w:type="dxa"/>
          </w:tcPr>
          <w:p w14:paraId="2A9D8BCC" w14:textId="77777777" w:rsidR="003F6E4B" w:rsidRPr="00BC095F" w:rsidRDefault="003F6E4B" w:rsidP="003F6E4B">
            <w:pPr>
              <w:spacing w:before="40"/>
              <w:ind w:firstLine="0"/>
              <w:jc w:val="center"/>
              <w:rPr>
                <w:color w:val="auto"/>
              </w:rPr>
            </w:pPr>
            <w:r>
              <w:rPr>
                <w:color w:val="auto"/>
              </w:rPr>
              <w:t>1.</w:t>
            </w:r>
          </w:p>
        </w:tc>
        <w:tc>
          <w:tcPr>
            <w:tcW w:w="2693" w:type="dxa"/>
          </w:tcPr>
          <w:p w14:paraId="647B1159" w14:textId="6D7B08BF" w:rsidR="003F6E4B" w:rsidRPr="00BC095F" w:rsidRDefault="003F6E4B" w:rsidP="00CB25E8">
            <w:pPr>
              <w:spacing w:before="40"/>
              <w:ind w:firstLine="0"/>
              <w:jc w:val="left"/>
              <w:rPr>
                <w:color w:val="auto"/>
              </w:rPr>
            </w:pPr>
            <w:r w:rsidRPr="00954F85">
              <w:rPr>
                <w:color w:val="auto"/>
              </w:rPr>
              <w:t xml:space="preserve">Lietuvos Respublikos Vyriausybės </w:t>
            </w:r>
            <w:r w:rsidR="00DC3BBD">
              <w:rPr>
                <w:color w:val="auto"/>
              </w:rPr>
              <w:t xml:space="preserve">kanceliarijos </w:t>
            </w:r>
            <w:r>
              <w:rPr>
                <w:color w:val="auto"/>
              </w:rPr>
              <w:t>Teisės grupė</w:t>
            </w:r>
            <w:r w:rsidR="00CB25E8">
              <w:rPr>
                <w:color w:val="auto"/>
              </w:rPr>
              <w:t xml:space="preserve"> (</w:t>
            </w:r>
            <w:r w:rsidRPr="00954F85">
              <w:rPr>
                <w:color w:val="auto"/>
              </w:rPr>
              <w:t xml:space="preserve">2020 m. spalio 19 d. išvada Nr. </w:t>
            </w:r>
            <w:r w:rsidR="00CB25E8">
              <w:rPr>
                <w:color w:val="auto"/>
              </w:rPr>
              <w:br/>
            </w:r>
            <w:r w:rsidRPr="00954F85">
              <w:rPr>
                <w:color w:val="auto"/>
              </w:rPr>
              <w:t>NV 2845</w:t>
            </w:r>
            <w:r w:rsidR="00CB25E8">
              <w:rPr>
                <w:color w:val="auto"/>
              </w:rPr>
              <w:t>)</w:t>
            </w:r>
          </w:p>
        </w:tc>
        <w:tc>
          <w:tcPr>
            <w:tcW w:w="5123" w:type="dxa"/>
          </w:tcPr>
          <w:p w14:paraId="4679ABEE" w14:textId="63C0EBA6" w:rsidR="003F6E4B" w:rsidRPr="00954F85" w:rsidRDefault="003F6E4B"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before="40"/>
              <w:ind w:firstLine="202"/>
              <w:rPr>
                <w:color w:val="auto"/>
              </w:rPr>
            </w:pPr>
            <w:r w:rsidRPr="00954F85">
              <w:rPr>
                <w:color w:val="auto"/>
              </w:rPr>
              <w:t>26. NPPDĮ projekto 6 straipsnio 1 dalimi šio įstatymo nuostatų laikymosi priežiūrą siūloma pavesti VšĮ Kaimo verslo ir rinkų plėtros agentūrai (toliau – Agentūra). Atkreiptinas dėmesys, kad šiai viešajai įstaigai NPPDĮ projektu siūloma suteikti ne bet kokias viešojo administravimo funkcijas, bet ūkio subjektų veiklos priežiūros. Be to, ši įstaiga galėtų nagrinėti NPPDĮ projekte aptartus pažeidimus, taikyti už juos ekonomines sankcijas, taip pat – jos darbuotojai turėtų valdingus įgaliojimus nepavaldžių asmenų atžvilgiu, galėtų duoti jiems privalomus vykdyti nurodymus, surašyti administracinių nusižengimų protokolus, taigi, iš esmės atitiktų valstybės pareigūnų statusą, apibrėžtą Lietuvos Respublikos viešojo administravimo įstatyme, tačiau jiems nebūtų taikomos Lietuvos Respublikos valstybės tarnybos įstatymo nuostatos. Manytina, kad tokie viešojo administravimo įgaliojimai turėtų būti suteikiami valstybės biudžetinei, o ne viešajai įstaigai. Pažymėtina, kad siūlomas teisinis reguliavimas neatitinka Viešojo sektoriaus įstaigų sistemos tobulinimo gairių, patvirtintų Lietuvos Respublikos Vyriausybės 2018 m. gegužės 16 d. nutarimu Nr. 495 (toliau – Gairės), 6, 14.1 (galimai ir 14.2), 32, 42 punktų reikalavimų.</w:t>
            </w:r>
            <w:r w:rsidR="00886D16">
              <w:rPr>
                <w:color w:val="auto"/>
              </w:rPr>
              <w:t xml:space="preserve"> </w:t>
            </w:r>
            <w:r w:rsidRPr="00954F85">
              <w:rPr>
                <w:color w:val="auto"/>
              </w:rPr>
              <w:t>Be to, vadovaujantis Lietuvos Respublikos Vyriausybės 2010 m. kovo 24 d. nutarimo Nr. 330 1.13.2 papunkčiu ir Gairių 44 punktu bei Gairių įgyvendinimo veiksmų plano 1.5 papunkčiu, siūlytina šiuo aspektu NPPDĮ projektą suderinti su Vidaus reikalų ministerija.</w:t>
            </w:r>
          </w:p>
        </w:tc>
        <w:tc>
          <w:tcPr>
            <w:tcW w:w="6784" w:type="dxa"/>
          </w:tcPr>
          <w:p w14:paraId="57F73C41" w14:textId="77777777" w:rsidR="003F6E4B" w:rsidRPr="003F6E4B" w:rsidRDefault="003F6E4B" w:rsidP="003F6E4B">
            <w:pPr>
              <w:tabs>
                <w:tab w:val="center" w:pos="4819"/>
                <w:tab w:val="right" w:pos="9638"/>
              </w:tabs>
              <w:spacing w:before="40"/>
              <w:ind w:firstLine="227"/>
              <w:rPr>
                <w:color w:val="auto"/>
              </w:rPr>
            </w:pPr>
            <w:r w:rsidRPr="003F6E4B">
              <w:rPr>
                <w:b/>
                <w:color w:val="auto"/>
              </w:rPr>
              <w:t>Atsižvelgta iš dalies</w:t>
            </w:r>
          </w:p>
          <w:p w14:paraId="42CF74FC" w14:textId="0922E70D" w:rsidR="003F6E4B" w:rsidRPr="003F6E4B" w:rsidRDefault="00B0069C" w:rsidP="003F6E4B">
            <w:pPr>
              <w:widowControl w:val="0"/>
              <w:spacing w:before="20"/>
              <w:ind w:firstLine="227"/>
              <w:rPr>
                <w:color w:val="auto"/>
              </w:rPr>
            </w:pPr>
            <w:r>
              <w:rPr>
                <w:color w:val="auto"/>
              </w:rPr>
              <w:t>Įstatymo projekto 6 straipsnyje nurodoma, kad  š</w:t>
            </w:r>
            <w:r w:rsidR="003F6E4B" w:rsidRPr="003F6E4B">
              <w:rPr>
                <w:vanish/>
                <w:color w:val="auto"/>
              </w:rPr>
              <w:t>Įstatymo projekto 6 straipsnyje nurodoma, kad š</w:t>
            </w:r>
            <w:r w:rsidR="003F6E4B" w:rsidRPr="003F6E4B">
              <w:rPr>
                <w:color w:val="auto"/>
              </w:rPr>
              <w:t xml:space="preserve">io įstatymo nuostatų laikymosi priežiūrą, taikytiną tiekėjams ir pirkėjams, išskyrus </w:t>
            </w:r>
            <w:r w:rsidR="003F6E4B" w:rsidRPr="003F6E4B">
              <w:rPr>
                <w:bCs/>
                <w:color w:val="auto"/>
              </w:rPr>
              <w:t xml:space="preserve">didelę rinkos galią turinčias mažmenines prekybos įmones, </w:t>
            </w:r>
            <w:r w:rsidR="003F6E4B" w:rsidRPr="003F6E4B">
              <w:rPr>
                <w:color w:val="auto"/>
              </w:rPr>
              <w:t xml:space="preserve">atliks priežiūros institucija – viešoji įstaiga </w:t>
            </w:r>
            <w:r w:rsidR="003F6E4B" w:rsidRPr="003F6E4B">
              <w:rPr>
                <w:bCs/>
                <w:color w:val="auto"/>
              </w:rPr>
              <w:t xml:space="preserve">Kaimo verslo ir rinkų plėtros agentūra (toliau – </w:t>
            </w:r>
            <w:r w:rsidR="003F6E4B" w:rsidRPr="003F6E4B">
              <w:rPr>
                <w:color w:val="auto"/>
              </w:rPr>
              <w:t>Agentūra</w:t>
            </w:r>
            <w:r w:rsidR="003F6E4B" w:rsidRPr="003F6E4B">
              <w:rPr>
                <w:bCs/>
                <w:color w:val="auto"/>
              </w:rPr>
              <w:t xml:space="preserve">). </w:t>
            </w:r>
          </w:p>
          <w:p w14:paraId="2BC7CC8D" w14:textId="77777777" w:rsidR="003F6E4B" w:rsidRPr="003F6E4B" w:rsidRDefault="003F6E4B" w:rsidP="003F6E4B">
            <w:pPr>
              <w:widowControl w:val="0"/>
              <w:ind w:firstLine="227"/>
              <w:rPr>
                <w:color w:val="auto"/>
              </w:rPr>
            </w:pPr>
            <w:r w:rsidRPr="003F6E4B">
              <w:rPr>
                <w:bCs/>
                <w:color w:val="auto"/>
              </w:rPr>
              <w:t xml:space="preserve">Pažymėtina, kad Agentūros teisinė forma – „viešoji įstaiga“, jos savininkė yra valstybė, o savininko teises ir pareigas įgyvendina Lietuvos Respublikos žemės ūkio ministerija. </w:t>
            </w:r>
            <w:r w:rsidRPr="003F6E4B">
              <w:rPr>
                <w:iCs/>
                <w:color w:val="auto"/>
              </w:rPr>
              <w:t>Agentūra yra pelno nesiekiantis ribotos civilinės atsakomybės viešasis juridinis asmuo, veikiantis žemės ūkio ir maisto produktų rinkos reguliavimo, užsienio prekybos ir metodinės pagalbos ūkio subjektams teikimo srityse.</w:t>
            </w:r>
            <w:r w:rsidRPr="003F6E4B">
              <w:rPr>
                <w:bCs/>
                <w:color w:val="auto"/>
              </w:rPr>
              <w:t xml:space="preserve"> Nepaisant to, kad Agentūra yra viešoji įstaiga, ji veikia ir atsiskaito kaip biudžetinė įstaiga ir jos veikla finansuojama iš valstybės biudžeto lėšų. </w:t>
            </w:r>
          </w:p>
          <w:p w14:paraId="2AFF115E" w14:textId="57308268" w:rsidR="003F6E4B" w:rsidRPr="003F6E4B" w:rsidRDefault="003F6E4B" w:rsidP="003F6E4B">
            <w:pPr>
              <w:tabs>
                <w:tab w:val="center" w:pos="4819"/>
                <w:tab w:val="right" w:pos="9638"/>
              </w:tabs>
              <w:ind w:firstLine="227"/>
              <w:rPr>
                <w:color w:val="auto"/>
              </w:rPr>
            </w:pPr>
            <w:r w:rsidRPr="003F6E4B">
              <w:rPr>
                <w:bCs/>
                <w:color w:val="auto"/>
              </w:rPr>
              <w:t xml:space="preserve">Pagal Lietuvos Respublikos viešojo administravimo įstatymo </w:t>
            </w:r>
            <w:r>
              <w:rPr>
                <w:bCs/>
                <w:color w:val="auto"/>
              </w:rPr>
              <w:br/>
            </w:r>
            <w:r w:rsidRPr="003F6E4B">
              <w:rPr>
                <w:bCs/>
                <w:color w:val="auto"/>
              </w:rPr>
              <w:t xml:space="preserve">31 straipsnio 2 dalį, </w:t>
            </w:r>
            <w:r w:rsidRPr="003F6E4B">
              <w:rPr>
                <w:color w:val="auto"/>
                <w:u w:val="single"/>
              </w:rPr>
              <w:t>Agentūra yra priskiriama prie viešojo administravimo subjektų</w:t>
            </w:r>
            <w:r w:rsidRPr="003F6E4B">
              <w:rPr>
                <w:color w:val="auto"/>
              </w:rPr>
              <w:t>, nes</w:t>
            </w:r>
            <w:r w:rsidRPr="003F6E4B">
              <w:rPr>
                <w:bCs/>
                <w:color w:val="auto"/>
              </w:rPr>
              <w:t xml:space="preserve"> „&lt;...&gt; </w:t>
            </w:r>
            <w:r w:rsidRPr="003F6E4B">
              <w:rPr>
                <w:color w:val="auto"/>
              </w:rPr>
              <w:t xml:space="preserve">vykdo ūkio subjekto veiklos priežiūrą ir </w:t>
            </w:r>
            <w:r w:rsidRPr="003F6E4B">
              <w:rPr>
                <w:bCs/>
                <w:color w:val="auto"/>
              </w:rPr>
              <w:t>&lt;...&gt;</w:t>
            </w:r>
            <w:r w:rsidRPr="003F6E4B">
              <w:rPr>
                <w:color w:val="auto"/>
              </w:rPr>
              <w:t xml:space="preserve"> atlieka ūkio subjekto veiklos patikrinimus, </w:t>
            </w:r>
            <w:r w:rsidRPr="003F6E4B">
              <w:rPr>
                <w:bCs/>
                <w:color w:val="auto"/>
              </w:rPr>
              <w:t>&lt;...&gt;</w:t>
            </w:r>
            <w:r w:rsidRPr="003F6E4B">
              <w:rPr>
                <w:color w:val="auto"/>
              </w:rPr>
              <w:t xml:space="preserve"> vadovaudamasi Vyriausybės patvirtintu Gairių dėl ūkio subjektų veiklos priežiūros funkcijų atlikimo aprašu.“ Taip pat p</w:t>
            </w:r>
            <w:r w:rsidRPr="003F6E4B">
              <w:rPr>
                <w:bCs/>
                <w:color w:val="auto"/>
              </w:rPr>
              <w:t xml:space="preserve">agal Lietuvos Respublikos viešojo sektoriaus atskaitomybės įstatymo 2 straipsnio 23 dalį, </w:t>
            </w:r>
            <w:r w:rsidRPr="003F6E4B">
              <w:rPr>
                <w:color w:val="auto"/>
                <w:u w:val="single"/>
              </w:rPr>
              <w:t>Agentūra taip pat yra priskiriama prie viešojo sektoriaus subjektų</w:t>
            </w:r>
            <w:r w:rsidRPr="003F6E4B">
              <w:rPr>
                <w:bCs/>
                <w:color w:val="auto"/>
                <w:u w:val="single"/>
              </w:rPr>
              <w:t>,</w:t>
            </w:r>
            <w:r w:rsidRPr="003F6E4B">
              <w:rPr>
                <w:color w:val="auto"/>
                <w:u w:val="single"/>
              </w:rPr>
              <w:t xml:space="preserve"> nes atlieka įstatymų nustatytas viešojo administravimo funkcijas</w:t>
            </w:r>
            <w:r w:rsidRPr="003F6E4B">
              <w:rPr>
                <w:bCs/>
                <w:color w:val="auto"/>
              </w:rPr>
              <w:t>.</w:t>
            </w:r>
          </w:p>
          <w:p w14:paraId="164A1C51" w14:textId="77777777" w:rsidR="003F6E4B" w:rsidRPr="003F6E4B" w:rsidRDefault="003F6E4B" w:rsidP="003F6E4B">
            <w:pPr>
              <w:ind w:firstLine="227"/>
              <w:rPr>
                <w:iCs/>
                <w:color w:val="auto"/>
              </w:rPr>
            </w:pPr>
            <w:r w:rsidRPr="003F6E4B">
              <w:rPr>
                <w:iCs/>
                <w:color w:val="auto"/>
              </w:rPr>
              <w:t xml:space="preserve">Siūlant NPPD įstatymo projekto priežiūros institucija paskirti </w:t>
            </w:r>
            <w:r w:rsidRPr="003F6E4B">
              <w:rPr>
                <w:bCs/>
                <w:iCs/>
                <w:color w:val="auto"/>
              </w:rPr>
              <w:t>Agentūrą</w:t>
            </w:r>
            <w:r w:rsidRPr="003F6E4B">
              <w:rPr>
                <w:iCs/>
                <w:color w:val="auto"/>
              </w:rPr>
              <w:t xml:space="preserve">, </w:t>
            </w:r>
            <w:r w:rsidRPr="003F6E4B">
              <w:rPr>
                <w:iCs/>
                <w:color w:val="auto"/>
                <w:u w:val="single"/>
              </w:rPr>
              <w:t>tarpinstitucinėje darbo grupėje</w:t>
            </w:r>
            <w:r w:rsidRPr="003F6E4B">
              <w:rPr>
                <w:color w:val="auto"/>
              </w:rPr>
              <w:t xml:space="preserve"> </w:t>
            </w:r>
            <w:r w:rsidRPr="003F6E4B">
              <w:rPr>
                <w:iCs/>
                <w:color w:val="auto"/>
              </w:rPr>
              <w:t xml:space="preserve">buvo įvertintos Lietuvos Respublikos viešojo administravimo įstatyme nurodytos esminės sąlygos dėl viešojo administravimo įgaliojimų suteikimo viešajai įstaigai, </w:t>
            </w:r>
            <w:r w:rsidRPr="003F6E4B">
              <w:rPr>
                <w:iCs/>
                <w:color w:val="auto"/>
                <w:u w:val="single"/>
              </w:rPr>
              <w:t>atsižvelgiant į toliau pateiktas teisės aktų nuostatas ir šio įstatymo projekto rengėjų argumentus:</w:t>
            </w:r>
            <w:r w:rsidRPr="003F6E4B">
              <w:rPr>
                <w:iCs/>
                <w:color w:val="auto"/>
              </w:rPr>
              <w:t xml:space="preserve"> </w:t>
            </w:r>
          </w:p>
          <w:p w14:paraId="342D08BF" w14:textId="7B07ADC5" w:rsidR="003F6E4B" w:rsidRPr="003F6E4B" w:rsidRDefault="003F6E4B" w:rsidP="003F6E4B">
            <w:pPr>
              <w:ind w:firstLine="227"/>
              <w:rPr>
                <w:iCs/>
                <w:color w:val="auto"/>
              </w:rPr>
            </w:pPr>
            <w:r w:rsidRPr="003F6E4B">
              <w:rPr>
                <w:color w:val="auto"/>
              </w:rPr>
              <w:t xml:space="preserve">Viešojo administravimo įstatymo 5 straipsnio 2 dalies 2 punkte </w:t>
            </w:r>
            <w:r w:rsidRPr="003F6E4B">
              <w:rPr>
                <w:color w:val="auto"/>
              </w:rPr>
              <w:lastRenderedPageBreak/>
              <w:t>nustatyta, kad „viešosioms įstaigoms, kurių savininkė ar dalininkė yra valstybė &lt;...&gt;, gali būti suteikiami įgaliojimai atlikti funkcijas tik šio įstatymo 6 straipsnio 2, 3 ir 4 punktuose nustatytose viešojo administravimo srityse (</w:t>
            </w:r>
            <w:r w:rsidRPr="003F6E4B">
              <w:rPr>
                <w:color w:val="auto"/>
                <w:u w:val="single"/>
              </w:rPr>
              <w:t>t. y. administracinių sprendimų priėmimo, administracinių paslaugų teikimo ir teisės aktų bei administracinių sprendimų įgyvendinimo ir laikymosi priežiūros srityse</w:t>
            </w:r>
            <w:r w:rsidRPr="003F6E4B">
              <w:rPr>
                <w:color w:val="auto"/>
              </w:rPr>
              <w:t>), kai tokie įgaliojimai yra tiesiogiai susiję su viešosios įstaigos &lt;...&gt; veiklos tikslais ir kai nėra valstybės &lt;...&gt; institucijų ar įstaigų, kurioms šie įgaliojimai gali būti suteikti;“.</w:t>
            </w:r>
          </w:p>
          <w:p w14:paraId="3EB55F81" w14:textId="77777777" w:rsidR="003F6E4B" w:rsidRPr="003F6E4B" w:rsidRDefault="003F6E4B" w:rsidP="003F6E4B">
            <w:pPr>
              <w:tabs>
                <w:tab w:val="center" w:pos="4819"/>
                <w:tab w:val="right" w:pos="9638"/>
              </w:tabs>
              <w:ind w:firstLine="227"/>
              <w:rPr>
                <w:bCs/>
                <w:color w:val="auto"/>
              </w:rPr>
            </w:pPr>
            <w:r w:rsidRPr="003F6E4B">
              <w:rPr>
                <w:bCs/>
                <w:color w:val="auto"/>
              </w:rPr>
              <w:t xml:space="preserve">Pagal Viešojo administravimo įstatymo 31 straipsnio 2 dalį, </w:t>
            </w:r>
            <w:r w:rsidRPr="003F6E4B">
              <w:rPr>
                <w:color w:val="auto"/>
                <w:u w:val="single"/>
              </w:rPr>
              <w:t>Agentūra yra viešojo administravimo subjektas</w:t>
            </w:r>
            <w:r w:rsidRPr="003F6E4B">
              <w:rPr>
                <w:color w:val="auto"/>
              </w:rPr>
              <w:t>, nes</w:t>
            </w:r>
            <w:r w:rsidRPr="003F6E4B">
              <w:rPr>
                <w:bCs/>
                <w:color w:val="auto"/>
              </w:rPr>
              <w:t xml:space="preserve"> „&lt;...&gt; </w:t>
            </w:r>
            <w:r w:rsidRPr="003F6E4B">
              <w:rPr>
                <w:color w:val="auto"/>
              </w:rPr>
              <w:t xml:space="preserve">vykdo ūkio subjekto veiklos priežiūrą ir </w:t>
            </w:r>
            <w:r w:rsidRPr="003F6E4B">
              <w:rPr>
                <w:bCs/>
                <w:color w:val="auto"/>
              </w:rPr>
              <w:t>&lt;...&gt;</w:t>
            </w:r>
            <w:r w:rsidRPr="003F6E4B">
              <w:rPr>
                <w:color w:val="auto"/>
              </w:rPr>
              <w:t xml:space="preserve"> atlieka ūkio subjekto veiklos patikrinimus, </w:t>
            </w:r>
            <w:r w:rsidRPr="003F6E4B">
              <w:rPr>
                <w:bCs/>
                <w:color w:val="auto"/>
              </w:rPr>
              <w:t>&lt;...&gt;</w:t>
            </w:r>
            <w:r w:rsidRPr="003F6E4B">
              <w:rPr>
                <w:color w:val="auto"/>
              </w:rPr>
              <w:t xml:space="preserve"> vadovaudamasi Vyriausybės patvirtintu Gairių dėl ūkio subjektų veiklos priežiūros funkcijų atlikimo aprašu.“ O p</w:t>
            </w:r>
            <w:r w:rsidRPr="003F6E4B">
              <w:rPr>
                <w:bCs/>
                <w:color w:val="auto"/>
              </w:rPr>
              <w:t xml:space="preserve">agal Lietuvos Respublikos viešojo sektoriaus atskaitomybės įstatymo 2 straipsnio 23 dalį, </w:t>
            </w:r>
            <w:r w:rsidRPr="003F6E4B">
              <w:rPr>
                <w:color w:val="auto"/>
                <w:u w:val="single"/>
              </w:rPr>
              <w:t>Agentūra taip pat priskiriama prie viešojo sektoriaus subjektų</w:t>
            </w:r>
            <w:r w:rsidRPr="003F6E4B">
              <w:rPr>
                <w:bCs/>
                <w:color w:val="auto"/>
              </w:rPr>
              <w:t>,</w:t>
            </w:r>
            <w:r w:rsidRPr="003F6E4B">
              <w:rPr>
                <w:color w:val="auto"/>
              </w:rPr>
              <w:t xml:space="preserve"> nes atlieka įstatymų nustatytas viešojo administravimo funkcijas</w:t>
            </w:r>
            <w:r w:rsidRPr="003F6E4B">
              <w:rPr>
                <w:bCs/>
                <w:color w:val="auto"/>
              </w:rPr>
              <w:t>.</w:t>
            </w:r>
          </w:p>
          <w:p w14:paraId="4F1DA2B7" w14:textId="77777777" w:rsidR="003F6E4B" w:rsidRPr="003F6E4B" w:rsidRDefault="003F6E4B" w:rsidP="003F6E4B">
            <w:pPr>
              <w:tabs>
                <w:tab w:val="center" w:pos="4819"/>
                <w:tab w:val="right" w:pos="9638"/>
              </w:tabs>
              <w:ind w:firstLine="227"/>
              <w:rPr>
                <w:bCs/>
                <w:color w:val="auto"/>
              </w:rPr>
            </w:pPr>
            <w:r w:rsidRPr="003F6E4B">
              <w:rPr>
                <w:bCs/>
                <w:color w:val="auto"/>
              </w:rPr>
              <w:t xml:space="preserve">Lietuvos Respublikos Vyriausybės </w:t>
            </w:r>
            <w:r w:rsidRPr="003F6E4B">
              <w:rPr>
                <w:color w:val="auto"/>
              </w:rPr>
              <w:t>2018 m. gegužės 16 d.</w:t>
            </w:r>
            <w:r w:rsidRPr="003F6E4B">
              <w:rPr>
                <w:bCs/>
                <w:color w:val="auto"/>
              </w:rPr>
              <w:t xml:space="preserve"> nutarimo</w:t>
            </w:r>
            <w:r w:rsidRPr="003F6E4B">
              <w:rPr>
                <w:color w:val="auto"/>
              </w:rPr>
              <w:t xml:space="preserve"> Nr. 495 „D</w:t>
            </w:r>
            <w:r w:rsidRPr="003F6E4B">
              <w:rPr>
                <w:bCs/>
                <w:color w:val="auto"/>
              </w:rPr>
              <w:t>ėl Viešojo sektoriaus įstaigų sistemos tobulinimo gairių ir viešojo sektoriaus įstaigų sistemos tobulinimo gairių įgyvendinimo veiksmų plano patvirtinimo“ (toliau – Nutarimas</w:t>
            </w:r>
            <w:r w:rsidRPr="003F6E4B">
              <w:rPr>
                <w:color w:val="auto"/>
              </w:rPr>
              <w:t xml:space="preserve">) 41 punkte įtvirtinta „&lt;...&gt;, kad viešosioms įstaigoms </w:t>
            </w:r>
            <w:r w:rsidRPr="003F6E4B">
              <w:rPr>
                <w:color w:val="auto"/>
                <w:u w:val="single"/>
              </w:rPr>
              <w:t>gali būti suteikiami viešojo administravimo įgaliojimai priimti administracinius sprendimus, teikti administracines paslaugas, vykdyti įstatymų ir administracinių sprendimų įgyvendinimo kontrolę</w:t>
            </w:r>
            <w:r w:rsidRPr="003F6E4B">
              <w:rPr>
                <w:color w:val="auto"/>
              </w:rPr>
              <w:t xml:space="preserve"> &lt;...&gt;“. </w:t>
            </w:r>
          </w:p>
          <w:p w14:paraId="3EF831EE" w14:textId="77777777" w:rsidR="003F6E4B" w:rsidRPr="003F6E4B" w:rsidRDefault="003F6E4B" w:rsidP="003F6E4B">
            <w:pPr>
              <w:tabs>
                <w:tab w:val="left" w:pos="1134"/>
              </w:tabs>
              <w:ind w:firstLine="227"/>
              <w:rPr>
                <w:iCs/>
                <w:color w:val="auto"/>
              </w:rPr>
            </w:pPr>
            <w:r w:rsidRPr="003F6E4B">
              <w:rPr>
                <w:iCs/>
                <w:color w:val="auto"/>
              </w:rPr>
              <w:t xml:space="preserve">Agentūrai </w:t>
            </w:r>
            <w:r w:rsidRPr="003F6E4B">
              <w:rPr>
                <w:color w:val="auto"/>
              </w:rPr>
              <w:t xml:space="preserve">suteikti viešojo administravimo įgaliojimai yra </w:t>
            </w:r>
            <w:r w:rsidRPr="003F6E4B">
              <w:rPr>
                <w:i/>
                <w:iCs/>
                <w:color w:val="auto"/>
                <w:u w:val="single"/>
              </w:rPr>
              <w:t>tiesiogiai susiję</w:t>
            </w:r>
            <w:r w:rsidRPr="003F6E4B">
              <w:rPr>
                <w:color w:val="auto"/>
              </w:rPr>
              <w:t xml:space="preserve"> su viešosios įstaigos tikslais. </w:t>
            </w:r>
            <w:r w:rsidRPr="003F6E4B">
              <w:rPr>
                <w:bCs/>
                <w:iCs/>
                <w:color w:val="auto"/>
              </w:rPr>
              <w:t xml:space="preserve">Pažymėtina, kad </w:t>
            </w:r>
            <w:r w:rsidRPr="003F6E4B">
              <w:rPr>
                <w:iCs/>
                <w:color w:val="auto"/>
              </w:rPr>
              <w:t xml:space="preserve">Agentūros turima kompetencija žemės ūkio sektoriuje ir patirtis šiuo metu vykdant visų administruojamų rinkos reguliavimo priemonių ir programų kontrolės funkcijas yra susijusi su būsima NPPD įstatymo priežiūra. </w:t>
            </w:r>
          </w:p>
          <w:p w14:paraId="52A03D12" w14:textId="77777777" w:rsidR="003F6E4B" w:rsidRPr="003F6E4B" w:rsidRDefault="003F6E4B" w:rsidP="003F6E4B">
            <w:pPr>
              <w:ind w:firstLine="227"/>
              <w:rPr>
                <w:iCs/>
                <w:color w:val="auto"/>
              </w:rPr>
            </w:pPr>
            <w:r w:rsidRPr="003F6E4B">
              <w:rPr>
                <w:color w:val="auto"/>
              </w:rPr>
              <w:t>Atsižvelgiant į Nutarimo 41 punktą bei vadovaujantis Lietuvos Respublikos ž</w:t>
            </w:r>
            <w:r w:rsidRPr="003F6E4B">
              <w:rPr>
                <w:bCs/>
                <w:color w:val="auto"/>
              </w:rPr>
              <w:t xml:space="preserve">emės ūkio, maisto ūkio ir kaimo plėtros įstatymo, </w:t>
            </w:r>
            <w:r w:rsidRPr="003F6E4B">
              <w:rPr>
                <w:color w:val="auto"/>
              </w:rPr>
              <w:t>Lietuvos Respublikos t</w:t>
            </w:r>
            <w:r w:rsidRPr="003F6E4B">
              <w:rPr>
                <w:bCs/>
                <w:color w:val="auto"/>
              </w:rPr>
              <w:t xml:space="preserve">autinio paveldo įstatymo, </w:t>
            </w:r>
            <w:r w:rsidRPr="003F6E4B">
              <w:rPr>
                <w:color w:val="auto"/>
              </w:rPr>
              <w:t>Lietuvos Respublikos p</w:t>
            </w:r>
            <w:r w:rsidRPr="003F6E4B">
              <w:rPr>
                <w:bCs/>
                <w:color w:val="auto"/>
              </w:rPr>
              <w:t xml:space="preserve">luoštinių kanapių įstatymo ir </w:t>
            </w:r>
            <w:r w:rsidRPr="003F6E4B">
              <w:rPr>
                <w:color w:val="auto"/>
              </w:rPr>
              <w:t>Lietuvos Respublikos ū</w:t>
            </w:r>
            <w:r w:rsidRPr="003F6E4B">
              <w:rPr>
                <w:iCs/>
                <w:color w:val="auto"/>
              </w:rPr>
              <w:t xml:space="preserve">kio subjektų, perkančių–parduodančių žalią pieną ir prekiaujančių pieno gaminiais, nesąžiningų veiksmų draudimo įstatymo (toliau – Pieno sektoriaus nesąžiningų veiksmų draudimo įstatymas) nuostatomis, </w:t>
            </w:r>
            <w:r w:rsidRPr="003F6E4B">
              <w:rPr>
                <w:iCs/>
                <w:color w:val="auto"/>
                <w:u w:val="single"/>
              </w:rPr>
              <w:t>Agentūrai yra suteikti viešojo administravimo įgaliojimai</w:t>
            </w:r>
            <w:r w:rsidRPr="003F6E4B">
              <w:rPr>
                <w:iCs/>
                <w:color w:val="auto"/>
              </w:rPr>
              <w:t xml:space="preserve">. </w:t>
            </w:r>
          </w:p>
          <w:p w14:paraId="6853AB8F" w14:textId="77777777" w:rsidR="003F6E4B" w:rsidRPr="003F6E4B" w:rsidRDefault="003F6E4B" w:rsidP="003F6E4B">
            <w:pPr>
              <w:ind w:firstLine="227"/>
              <w:rPr>
                <w:iCs/>
                <w:color w:val="auto"/>
              </w:rPr>
            </w:pPr>
            <w:r w:rsidRPr="003F6E4B">
              <w:rPr>
                <w:iCs/>
                <w:color w:val="auto"/>
              </w:rPr>
              <w:t xml:space="preserve">Agentūra šiuo metu vykdo </w:t>
            </w:r>
            <w:r w:rsidRPr="003F6E4B">
              <w:rPr>
                <w:iCs/>
                <w:color w:val="auto"/>
                <w:u w:val="single"/>
              </w:rPr>
              <w:t>pieno rinkos priežiūros funkcijas</w:t>
            </w:r>
            <w:r w:rsidRPr="003F6E4B">
              <w:rPr>
                <w:iCs/>
                <w:color w:val="auto"/>
              </w:rPr>
              <w:t xml:space="preserve">, </w:t>
            </w:r>
            <w:r w:rsidRPr="003F6E4B">
              <w:rPr>
                <w:iCs/>
                <w:color w:val="auto"/>
              </w:rPr>
              <w:lastRenderedPageBreak/>
              <w:t xml:space="preserve">vadovaudamasi Pieno sektoriaus nesąžiningų veiksmų draudimo įstatymu, kuris nustato pardavėjo ir pirkėjo nesąžiningų veiksmų draudimą iki sutarties sudarymo, sutarties sudarymo metu ir ją sudarius. Agentūra, atlikdama nesąžiningų veiksmų kontrolės funkcijas, turi inspektorius, kurie </w:t>
            </w:r>
            <w:r w:rsidRPr="003F6E4B">
              <w:rPr>
                <w:color w:val="auto"/>
              </w:rPr>
              <w:t xml:space="preserve">nekliudomi gali patekti į ūkio subjektų patalpas, siekdami patikrinti, ar laikomasi šio įstatymo ir kitų teisės aktų reikalavimų; tikrinti ir kopijuoti informaciją, dokumentus, reikalingus šio įstatymo pažeidimams tirti. </w:t>
            </w:r>
            <w:r w:rsidRPr="003F6E4B">
              <w:rPr>
                <w:bCs/>
                <w:color w:val="auto"/>
              </w:rPr>
              <w:t xml:space="preserve">Agentūros inspektoriams yra suteikti valdingi įgaliojimai nepavaldžių asmenų atžvilgiu, jie gali surašyti administracinių nusižengimų protokolus. </w:t>
            </w:r>
            <w:r w:rsidRPr="003F6E4B">
              <w:rPr>
                <w:color w:val="auto"/>
              </w:rPr>
              <w:t xml:space="preserve">Taip pat Agentūra turi </w:t>
            </w:r>
            <w:r w:rsidRPr="003F6E4B">
              <w:rPr>
                <w:iCs/>
                <w:color w:val="auto"/>
              </w:rPr>
              <w:t xml:space="preserve">vidines patikrų vykdymo tvarkas ir patikrų planą, todėl </w:t>
            </w:r>
            <w:r w:rsidRPr="003F6E4B">
              <w:rPr>
                <w:color w:val="auto"/>
              </w:rPr>
              <w:t xml:space="preserve">Agentūros </w:t>
            </w:r>
            <w:r w:rsidRPr="003F6E4B">
              <w:rPr>
                <w:iCs/>
                <w:color w:val="auto"/>
              </w:rPr>
              <w:t xml:space="preserve">sukauptos ekspertinės žinios ir patirtis būtų sėkmingai pritaikytos vykdant NPPD įstatymo priežiūrą, kuri apims ne tik žemės ūkio ir maisto produktų tiekimo sutartinių santykių ir sutarčių nuostatų vertinimą, bet </w:t>
            </w:r>
            <w:r w:rsidRPr="003F6E4B">
              <w:rPr>
                <w:color w:val="auto"/>
              </w:rPr>
              <w:t xml:space="preserve">ir </w:t>
            </w:r>
            <w:r w:rsidRPr="003F6E4B">
              <w:rPr>
                <w:iCs/>
                <w:color w:val="auto"/>
              </w:rPr>
              <w:t>patikrų vykdymą žemės ūkio ir maisto produktų tiekimo grandinės dalyvių patalpose.</w:t>
            </w:r>
          </w:p>
          <w:p w14:paraId="6CE98CD9" w14:textId="77777777" w:rsidR="003F6E4B" w:rsidRPr="003F6E4B" w:rsidRDefault="003F6E4B" w:rsidP="003F6E4B">
            <w:pPr>
              <w:ind w:firstLine="227"/>
              <w:rPr>
                <w:iCs/>
                <w:color w:val="auto"/>
              </w:rPr>
            </w:pPr>
            <w:r w:rsidRPr="003F6E4B">
              <w:rPr>
                <w:color w:val="auto"/>
              </w:rPr>
              <w:t>Agentūros</w:t>
            </w:r>
            <w:r w:rsidRPr="003F6E4B">
              <w:rPr>
                <w:iCs/>
                <w:color w:val="auto"/>
              </w:rPr>
              <w:t xml:space="preserve"> funkcijos yra tiesiogiai susijusios su NPPD įstatymo, kuriuo perkeliama Direktyva 2019/633/ES, tikslais ir jame numatytu reguliavimu, kuris kilo iš siekio užtikrinti veiksmingesnę maisto produktų tiekimo grandinę. Dėl specializacijos žemės ūkio sektoriuje, sukauptų ekspertinių žinių ir patirties, </w:t>
            </w:r>
            <w:r w:rsidRPr="003F6E4B">
              <w:rPr>
                <w:iCs/>
                <w:color w:val="auto"/>
                <w:u w:val="single"/>
              </w:rPr>
              <w:t>paskyrus Agentūrą NPPD įstatymo priežiūros institucija,</w:t>
            </w:r>
            <w:r w:rsidRPr="003F6E4B">
              <w:rPr>
                <w:iCs/>
                <w:color w:val="auto"/>
              </w:rPr>
              <w:t xml:space="preserve"> būtų užtikrinama šio sektoriaus veiklos priežiūros ir tobulinimo tąsa, minimizuotos sąnaudos, reikalingos NPPD įstatyme numatytoms priežiūros funkcijoms vykdyti. </w:t>
            </w:r>
          </w:p>
          <w:p w14:paraId="56CD635B" w14:textId="77777777" w:rsidR="003F6E4B" w:rsidRPr="003F6E4B" w:rsidRDefault="003F6E4B" w:rsidP="003F6E4B">
            <w:pPr>
              <w:ind w:firstLine="227"/>
              <w:rPr>
                <w:bCs/>
                <w:color w:val="auto"/>
              </w:rPr>
            </w:pPr>
            <w:r w:rsidRPr="003F6E4B">
              <w:rPr>
                <w:bCs/>
                <w:color w:val="auto"/>
              </w:rPr>
              <w:t xml:space="preserve">Be kita ko, pažymėtina, kad Agentūra, vykdydama jai NPPD įstatymu pavestas funkcijas, </w:t>
            </w:r>
            <w:r w:rsidRPr="003F6E4B">
              <w:rPr>
                <w:bCs/>
                <w:color w:val="auto"/>
                <w:u w:val="single"/>
              </w:rPr>
              <w:t>savarankiškai priims sprendimus</w:t>
            </w:r>
            <w:r w:rsidRPr="003F6E4B">
              <w:rPr>
                <w:bCs/>
                <w:color w:val="auto"/>
              </w:rPr>
              <w:t xml:space="preserve">. Agentūros apsaugą nuo korupcinio pobūdžio veiklų užtikrins Lietuvos Respublikos korupcijos prevencijos įstatymas, todėl valstybės ir savivaldybių institucijos ir įstaigos, Lietuvos Respublikos Seimo nariai ir kiti pareigūnai, politinės partijos ir politinės organizacijos, asociacijos, kiti juridiniai ir fiziniai asmenys </w:t>
            </w:r>
            <w:r w:rsidRPr="003F6E4B">
              <w:rPr>
                <w:bCs/>
                <w:color w:val="auto"/>
                <w:u w:val="single"/>
              </w:rPr>
              <w:t>neturi ir neturės teisės Agentūrai, jos vadovui ir darbuotojams daryti jokio politinio, ekonominio, psichologinio, socialinio spaudimo ar kitokio neteisėto poveikio</w:t>
            </w:r>
            <w:r w:rsidRPr="003F6E4B">
              <w:rPr>
                <w:bCs/>
                <w:color w:val="auto"/>
              </w:rPr>
              <w:t xml:space="preserve">. </w:t>
            </w:r>
          </w:p>
          <w:p w14:paraId="20698416" w14:textId="77777777" w:rsidR="003F6E4B" w:rsidRPr="003F6E4B" w:rsidRDefault="003F6E4B" w:rsidP="003F6E4B">
            <w:pPr>
              <w:ind w:firstLine="227"/>
              <w:rPr>
                <w:color w:val="auto"/>
              </w:rPr>
            </w:pPr>
            <w:r w:rsidRPr="003F6E4B">
              <w:rPr>
                <w:color w:val="auto"/>
              </w:rPr>
              <w:t>A</w:t>
            </w:r>
            <w:r w:rsidRPr="003F6E4B">
              <w:rPr>
                <w:iCs/>
                <w:color w:val="auto"/>
              </w:rPr>
              <w:t xml:space="preserve">tsižvelgiant į </w:t>
            </w:r>
            <w:r w:rsidRPr="003F6E4B">
              <w:rPr>
                <w:bCs/>
                <w:iCs/>
                <w:color w:val="auto"/>
              </w:rPr>
              <w:t>pirmiau pateiktų teisės aktų nuostatas ir išdėstytus argumentus,</w:t>
            </w:r>
            <w:r w:rsidRPr="003F6E4B">
              <w:rPr>
                <w:iCs/>
                <w:color w:val="auto"/>
              </w:rPr>
              <w:t xml:space="preserve"> </w:t>
            </w:r>
            <w:r w:rsidRPr="003F6E4B">
              <w:rPr>
                <w:bCs/>
                <w:iCs/>
                <w:color w:val="auto"/>
              </w:rPr>
              <w:t xml:space="preserve">galima konstatuoti, </w:t>
            </w:r>
            <w:r w:rsidRPr="003F6E4B">
              <w:rPr>
                <w:color w:val="auto"/>
              </w:rPr>
              <w:t>kad šiuo metu Lietuvoje</w:t>
            </w:r>
            <w:r w:rsidRPr="003F6E4B">
              <w:rPr>
                <w:b/>
                <w:color w:val="auto"/>
              </w:rPr>
              <w:t xml:space="preserve"> </w:t>
            </w:r>
            <w:r w:rsidRPr="003F6E4B">
              <w:rPr>
                <w:bCs/>
                <w:i/>
                <w:iCs/>
                <w:color w:val="auto"/>
                <w:u w:val="single"/>
              </w:rPr>
              <w:t>nėra kitų</w:t>
            </w:r>
            <w:r w:rsidRPr="003F6E4B">
              <w:rPr>
                <w:color w:val="auto"/>
                <w:u w:val="single"/>
              </w:rPr>
              <w:t xml:space="preserve"> veikiančių valstybės institucijų ar įstaigų, kurioms tokius įgaliojimus būtų galima suteikti</w:t>
            </w:r>
            <w:r w:rsidRPr="003F6E4B">
              <w:rPr>
                <w:color w:val="auto"/>
              </w:rPr>
              <w:t xml:space="preserve">. </w:t>
            </w:r>
          </w:p>
          <w:p w14:paraId="0AFCF44C" w14:textId="77777777" w:rsidR="003F6E4B" w:rsidRPr="003F6E4B" w:rsidRDefault="003F6E4B" w:rsidP="003F6E4B">
            <w:pPr>
              <w:ind w:firstLine="227"/>
              <w:rPr>
                <w:iCs/>
                <w:color w:val="auto"/>
              </w:rPr>
            </w:pPr>
            <w:r w:rsidRPr="003F6E4B">
              <w:rPr>
                <w:iCs/>
                <w:color w:val="auto"/>
              </w:rPr>
              <w:t xml:space="preserve">Vertinant galimybę NPPDĮ nuostatų priežiūrą priskirti </w:t>
            </w:r>
            <w:r w:rsidRPr="003F6E4B">
              <w:rPr>
                <w:iCs/>
                <w:color w:val="auto"/>
                <w:u w:val="single"/>
              </w:rPr>
              <w:t>Konkurencijos tarybai</w:t>
            </w:r>
            <w:r w:rsidRPr="003F6E4B">
              <w:rPr>
                <w:iCs/>
                <w:color w:val="auto"/>
              </w:rPr>
              <w:t xml:space="preserve">, atkreiptinas dėmesys, kad Konkurencijos taryba yra nacionalinė konkurencijos priežiūros institucija, kurios </w:t>
            </w:r>
            <w:r w:rsidRPr="003F6E4B">
              <w:rPr>
                <w:i/>
                <w:color w:val="auto"/>
              </w:rPr>
              <w:t xml:space="preserve">pirminė ir pagrindinė funkcija </w:t>
            </w:r>
            <w:r w:rsidRPr="003F6E4B">
              <w:rPr>
                <w:i/>
                <w:color w:val="auto"/>
              </w:rPr>
              <w:lastRenderedPageBreak/>
              <w:t>yra veiksmingos konkurencijos priežiūra Lietuvoje, taikant Konkurencijos įstatymą ir Sutarties dėl Europos Sąjungos veikimo 101 ir 102 straipsnių nuostatas</w:t>
            </w:r>
            <w:r w:rsidRPr="003F6E4B">
              <w:rPr>
                <w:iCs/>
                <w:color w:val="auto"/>
              </w:rPr>
              <w:t xml:space="preserve">. </w:t>
            </w:r>
            <w:r w:rsidRPr="003F6E4B">
              <w:rPr>
                <w:iCs/>
                <w:color w:val="auto"/>
                <w:u w:val="single"/>
              </w:rPr>
              <w:t xml:space="preserve">Konkurencijos taryba žemės ūkio sektoriuje turi veikti tik kaip konkurencijos priežiūros institucija </w:t>
            </w:r>
            <w:r w:rsidRPr="003F6E4B">
              <w:rPr>
                <w:iCs/>
                <w:color w:val="auto"/>
              </w:rPr>
              <w:t>(pavyzdžiui, tiriant draudžiamus susitarimus), o žemės ūkio sektoriaus reguliavimas ir apsauga priklauso tik šio sektoriaus politiką formuojančiai ir jos įgyvendinimą kontroliuojančiai institucijai – Žemės ūkio ministerijai. Konkurencijos taryba įgyvendina MPĮNVD įstatymo nuostatas, kurios reguliuoja keleto specialių subjektų (t. y. didelę rinkos galią turinčių mažmeninės prekybos įmonių)</w:t>
            </w:r>
            <w:r w:rsidRPr="003F6E4B">
              <w:rPr>
                <w:iCs/>
                <w:color w:val="auto"/>
                <w:u w:val="single"/>
              </w:rPr>
              <w:t xml:space="preserve"> </w:t>
            </w:r>
            <w:r w:rsidRPr="003F6E4B">
              <w:rPr>
                <w:iCs/>
                <w:color w:val="auto"/>
              </w:rPr>
              <w:t xml:space="preserve">veiksmus. Tuo tarpu NPPD įstatymo projekte nurodytas subjektų ratas yra žymiai platesnis, apimantis visus kitus žemės ūkio ir maisto produktų tiekimo grandinėje veikiančius subjektus. </w:t>
            </w:r>
          </w:p>
          <w:p w14:paraId="2534B2D8" w14:textId="77777777" w:rsidR="003F6E4B" w:rsidRPr="003F6E4B" w:rsidRDefault="003F6E4B" w:rsidP="003F6E4B">
            <w:pPr>
              <w:ind w:firstLine="227"/>
              <w:rPr>
                <w:color w:val="auto"/>
              </w:rPr>
            </w:pPr>
            <w:r w:rsidRPr="003F6E4B">
              <w:rPr>
                <w:iCs/>
                <w:color w:val="auto"/>
              </w:rPr>
              <w:t>NPPD įstatymo projektu siekiama ginti</w:t>
            </w:r>
            <w:r w:rsidRPr="003F6E4B">
              <w:rPr>
                <w:color w:val="auto"/>
              </w:rPr>
              <w:t xml:space="preserve"> žemės ūkio sektoriuje veikiančių tiekėjų, įskaitant žemės ūkio veiklos subjektų (ūkininkų, žemės ūkio bendrovių, kooperatinių bendrovių ir kt.), interesus visoje maisto tiekimo grandinėje, </w:t>
            </w:r>
            <w:r w:rsidRPr="003F6E4B">
              <w:rPr>
                <w:color w:val="auto"/>
                <w:u w:val="single"/>
              </w:rPr>
              <w:t xml:space="preserve">o tai nėra niekaip susiję su </w:t>
            </w:r>
            <w:r w:rsidRPr="003F6E4B">
              <w:rPr>
                <w:iCs/>
                <w:color w:val="auto"/>
                <w:u w:val="single"/>
              </w:rPr>
              <w:t xml:space="preserve">MPĮNVD įstatymo reguliavimu, kuriuo </w:t>
            </w:r>
            <w:r w:rsidRPr="003F6E4B">
              <w:rPr>
                <w:color w:val="auto"/>
                <w:u w:val="single"/>
              </w:rPr>
              <w:t>ribojamas didelę rinkos galią turinčių mažmeninės prekybos įmonių rinkos galios panaudojimas</w:t>
            </w:r>
            <w:r w:rsidRPr="003F6E4B">
              <w:rPr>
                <w:iCs/>
                <w:color w:val="auto"/>
              </w:rPr>
              <w:t xml:space="preserve">. NPPD įstatymo priežiūrą pavedus Konkurencijos tarybai, ne tik kiltų grėsmė susilpninti šiuo metu galiojantį MPĮNVD įstatymo reguliavimą, kuris skirtas didžiųjų prekybos tinklų </w:t>
            </w:r>
            <w:r w:rsidRPr="003F6E4B">
              <w:rPr>
                <w:color w:val="auto"/>
              </w:rPr>
              <w:t xml:space="preserve">galios panaudojimui riboti ir teisėtiems tiekėjų interesams apsaugoti, tačiau nukentėtų ir Konkurencijos tarybos esminė bei prioritetinė funkcija – konkurencijos priežiūra. </w:t>
            </w:r>
          </w:p>
          <w:p w14:paraId="71BDDAE3" w14:textId="77777777" w:rsidR="003F6E4B" w:rsidRPr="003F6E4B" w:rsidRDefault="003F6E4B" w:rsidP="003F6E4B">
            <w:pPr>
              <w:pStyle w:val="Sraopastraipa"/>
              <w:ind w:left="0" w:firstLine="227"/>
              <w:jc w:val="both"/>
              <w:rPr>
                <w:iCs/>
              </w:rPr>
            </w:pPr>
            <w:r w:rsidRPr="003F6E4B">
              <w:t>Jeigu būtų siekiama Konkurencijos tarybai paskirti naujas funkcijas, kurios iš esmės neturi glaudaus ryšio su šiuo metu vykdomomis funkcijomis, reikėtų įgyvendinti santykinai didelio masto funkcinį, personalo ir struktūrinį pokytį, įdarbinant papildomai apie 50 darbuotojų</w:t>
            </w:r>
            <w:r w:rsidRPr="003F6E4B">
              <w:rPr>
                <w:rStyle w:val="Puslapioinaosnuoroda"/>
                <w:sz w:val="22"/>
                <w:szCs w:val="22"/>
              </w:rPr>
              <w:footnoteReference w:id="1"/>
            </w:r>
            <w:r w:rsidRPr="003F6E4B">
              <w:t xml:space="preserve">. Atsižvelgiant į tai, reikėtų įvertinti ir naujų patalpų poreikį. </w:t>
            </w:r>
            <w:r w:rsidRPr="003F6E4B">
              <w:rPr>
                <w:iCs/>
              </w:rPr>
              <w:t>Konkurencijos taryba paskaičiavo, kad NPPD įstatymo ir MPĮNVD įstatymo priežiūros metinės veiklos sąnaudos sudarytų apie 1,9 mln. Eur.</w:t>
            </w:r>
          </w:p>
          <w:p w14:paraId="409A692B" w14:textId="77777777" w:rsidR="003F6E4B" w:rsidRDefault="003F6E4B" w:rsidP="00193285">
            <w:pPr>
              <w:ind w:firstLine="227"/>
              <w:rPr>
                <w:iCs/>
                <w:color w:val="auto"/>
                <w:u w:val="single"/>
              </w:rPr>
            </w:pPr>
            <w:r w:rsidRPr="003F6E4B">
              <w:rPr>
                <w:bCs/>
                <w:iCs/>
                <w:color w:val="auto"/>
                <w:u w:val="single"/>
              </w:rPr>
              <w:t xml:space="preserve">Atsižvelgiant į pirmiau pateiktus argumentus, tarpinstitucinėje darbo grupėje Agentūra buvo įvertinta kaip tinkamiausia institucija vykdyti NPPD įstatymo priežiūrą, </w:t>
            </w:r>
            <w:r w:rsidRPr="003F6E4B">
              <w:rPr>
                <w:iCs/>
                <w:color w:val="auto"/>
                <w:u w:val="single"/>
              </w:rPr>
              <w:t xml:space="preserve">o Konkurencijos taryba ir toliau turėtų likti tik šio specialaus MPĮNVD įstatymo priežiūros institucija. </w:t>
            </w:r>
          </w:p>
          <w:p w14:paraId="17D0F115" w14:textId="77777777" w:rsidR="00D51D6E" w:rsidRDefault="00434EAD" w:rsidP="00415B31">
            <w:pPr>
              <w:spacing w:after="60"/>
              <w:ind w:firstLine="227"/>
              <w:rPr>
                <w:iCs/>
                <w:color w:val="auto"/>
              </w:rPr>
            </w:pPr>
            <w:r w:rsidRPr="00434EAD">
              <w:rPr>
                <w:b/>
                <w:bCs/>
                <w:iCs/>
                <w:color w:val="auto"/>
              </w:rPr>
              <w:t>Pastaba</w:t>
            </w:r>
            <w:r w:rsidRPr="00434EAD">
              <w:rPr>
                <w:iCs/>
                <w:color w:val="auto"/>
              </w:rPr>
              <w:t xml:space="preserve">: Žemės ūkio ministerija artimiausiu metu ketina peržiūrėti viešosios įstaigos Kaimo verslo ir rinkų plėtros agentūros vykdomas </w:t>
            </w:r>
            <w:r w:rsidRPr="00434EAD">
              <w:rPr>
                <w:iCs/>
                <w:color w:val="auto"/>
              </w:rPr>
              <w:lastRenderedPageBreak/>
              <w:t>viešojo administravimo funkcijas ir, pasitelkus kitas suinteresuotas ministerijas, parengti reikiamų teisės aktų pakeitimus, užtikrinančius, kad nuo 2022 m. liepos 1 d. šios įstaigos viešojo administravimo funkcijos būtų pavestos esančiai arba naujai biudžetinei įstaigai prie ministerijos.</w:t>
            </w:r>
          </w:p>
          <w:p w14:paraId="49D6ECA9" w14:textId="788D0216" w:rsidR="00434EAD" w:rsidRPr="00F12ED6" w:rsidRDefault="00434EAD" w:rsidP="00F12ED6">
            <w:pPr>
              <w:spacing w:after="60"/>
              <w:ind w:firstLine="227"/>
              <w:rPr>
                <w:iCs/>
                <w:color w:val="auto"/>
              </w:rPr>
            </w:pPr>
            <w:r w:rsidRPr="001B5F53">
              <w:rPr>
                <w:iCs/>
                <w:color w:val="auto"/>
              </w:rPr>
              <w:t>Taip pat Ž</w:t>
            </w:r>
            <w:r w:rsidR="00415B31" w:rsidRPr="001B5F53">
              <w:rPr>
                <w:iCs/>
                <w:color w:val="auto"/>
              </w:rPr>
              <w:t>emės ūkio ministerija</w:t>
            </w:r>
            <w:r w:rsidRPr="001B5F53">
              <w:rPr>
                <w:iCs/>
                <w:color w:val="auto"/>
              </w:rPr>
              <w:t xml:space="preserve"> </w:t>
            </w:r>
            <w:r w:rsidR="00A074A2" w:rsidRPr="001B5F53">
              <w:rPr>
                <w:iCs/>
                <w:color w:val="auto"/>
              </w:rPr>
              <w:t>ketina</w:t>
            </w:r>
            <w:r w:rsidR="00A074A2" w:rsidRPr="001B5F53">
              <w:rPr>
                <w:iCs/>
                <w:color w:val="auto"/>
              </w:rPr>
              <w:t xml:space="preserve"> </w:t>
            </w:r>
            <w:r w:rsidR="00423A06" w:rsidRPr="001B5F53">
              <w:rPr>
                <w:iCs/>
                <w:color w:val="auto"/>
              </w:rPr>
              <w:t>šiuo klausimu</w:t>
            </w:r>
            <w:r w:rsidR="00423A06" w:rsidRPr="001B5F53" w:rsidDel="00A8384F">
              <w:rPr>
                <w:iCs/>
                <w:color w:val="auto"/>
              </w:rPr>
              <w:t xml:space="preserve"> </w:t>
            </w:r>
            <w:r w:rsidR="00423A06" w:rsidRPr="001B5F53">
              <w:rPr>
                <w:iCs/>
                <w:color w:val="auto"/>
              </w:rPr>
              <w:t>Vyriausybės pasitarime ar posėdyje</w:t>
            </w:r>
            <w:r w:rsidR="00423A06" w:rsidRPr="001B5F53" w:rsidDel="00A8384F">
              <w:rPr>
                <w:iCs/>
                <w:color w:val="auto"/>
              </w:rPr>
              <w:t xml:space="preserve"> </w:t>
            </w:r>
            <w:r w:rsidR="00423A06" w:rsidRPr="001B5F53">
              <w:rPr>
                <w:iCs/>
                <w:color w:val="auto"/>
              </w:rPr>
              <w:t xml:space="preserve">trumpai </w:t>
            </w:r>
            <w:r w:rsidRPr="001B5F53">
              <w:rPr>
                <w:iCs/>
                <w:color w:val="auto"/>
              </w:rPr>
              <w:t>pristatyti savo planus,</w:t>
            </w:r>
            <w:r w:rsidR="00A074A2">
              <w:rPr>
                <w:iCs/>
                <w:color w:val="auto"/>
              </w:rPr>
              <w:t xml:space="preserve"> siekiant</w:t>
            </w:r>
            <w:r w:rsidRPr="001B5F53">
              <w:rPr>
                <w:iCs/>
                <w:color w:val="auto"/>
              </w:rPr>
              <w:t xml:space="preserve"> kad būtų priimtas </w:t>
            </w:r>
            <w:r w:rsidR="00D51D6E" w:rsidRPr="001B5F53">
              <w:rPr>
                <w:iCs/>
                <w:color w:val="auto"/>
              </w:rPr>
              <w:t xml:space="preserve">Vyriausybės posėdžio </w:t>
            </w:r>
            <w:r w:rsidRPr="001B5F53">
              <w:rPr>
                <w:iCs/>
                <w:color w:val="auto"/>
              </w:rPr>
              <w:t xml:space="preserve">protokolinis sprendimas, įpareigojantis </w:t>
            </w:r>
            <w:r w:rsidR="00D51D6E" w:rsidRPr="001B5F53">
              <w:rPr>
                <w:iCs/>
                <w:color w:val="auto"/>
              </w:rPr>
              <w:t xml:space="preserve">Žemės ūkio ministeriją, kartu su </w:t>
            </w:r>
            <w:r w:rsidRPr="001B5F53">
              <w:rPr>
                <w:iCs/>
                <w:color w:val="auto"/>
              </w:rPr>
              <w:t>suinteresuot</w:t>
            </w:r>
            <w:r w:rsidR="00D51D6E" w:rsidRPr="001B5F53">
              <w:rPr>
                <w:iCs/>
                <w:color w:val="auto"/>
              </w:rPr>
              <w:t>omis</w:t>
            </w:r>
            <w:r w:rsidRPr="001B5F53">
              <w:rPr>
                <w:iCs/>
                <w:color w:val="auto"/>
              </w:rPr>
              <w:t xml:space="preserve"> ministerij</w:t>
            </w:r>
            <w:r w:rsidR="00D51D6E" w:rsidRPr="001B5F53">
              <w:rPr>
                <w:iCs/>
                <w:color w:val="auto"/>
              </w:rPr>
              <w:t>omi</w:t>
            </w:r>
            <w:r w:rsidRPr="001B5F53">
              <w:rPr>
                <w:iCs/>
                <w:color w:val="auto"/>
              </w:rPr>
              <w:t>s</w:t>
            </w:r>
            <w:r w:rsidR="00D51D6E" w:rsidRPr="001B5F53">
              <w:rPr>
                <w:iCs/>
                <w:color w:val="auto"/>
              </w:rPr>
              <w:t>,</w:t>
            </w:r>
            <w:r w:rsidRPr="001B5F53">
              <w:rPr>
                <w:iCs/>
                <w:color w:val="auto"/>
              </w:rPr>
              <w:t xml:space="preserve"> atlikti </w:t>
            </w:r>
            <w:r w:rsidR="00423A06" w:rsidRPr="001B5F53">
              <w:rPr>
                <w:iCs/>
                <w:color w:val="auto"/>
              </w:rPr>
              <w:t xml:space="preserve">pirmiau </w:t>
            </w:r>
            <w:r w:rsidRPr="001B5F53">
              <w:rPr>
                <w:iCs/>
                <w:color w:val="auto"/>
              </w:rPr>
              <w:t>minėtus darbus.</w:t>
            </w:r>
          </w:p>
        </w:tc>
      </w:tr>
      <w:tr w:rsidR="00761705" w:rsidRPr="00BC095F" w14:paraId="04DA3B5A" w14:textId="77777777" w:rsidTr="00EA3CAE">
        <w:trPr>
          <w:trHeight w:val="4442"/>
        </w:trPr>
        <w:tc>
          <w:tcPr>
            <w:tcW w:w="568" w:type="dxa"/>
          </w:tcPr>
          <w:p w14:paraId="5DC2A6D8" w14:textId="77777777" w:rsidR="00761705" w:rsidRPr="00BC095F" w:rsidRDefault="00761705" w:rsidP="00761705">
            <w:pPr>
              <w:spacing w:before="40"/>
              <w:ind w:firstLine="0"/>
              <w:jc w:val="center"/>
              <w:rPr>
                <w:color w:val="auto"/>
              </w:rPr>
            </w:pPr>
            <w:r>
              <w:rPr>
                <w:color w:val="auto"/>
              </w:rPr>
              <w:lastRenderedPageBreak/>
              <w:t>2.</w:t>
            </w:r>
          </w:p>
        </w:tc>
        <w:tc>
          <w:tcPr>
            <w:tcW w:w="2693" w:type="dxa"/>
          </w:tcPr>
          <w:p w14:paraId="38ABA8A1" w14:textId="60EC212B" w:rsidR="00103E15" w:rsidRDefault="00103E15" w:rsidP="00BB6DCE">
            <w:pPr>
              <w:spacing w:before="40"/>
              <w:ind w:firstLine="0"/>
              <w:rPr>
                <w:bCs/>
                <w:color w:val="auto"/>
              </w:rPr>
            </w:pPr>
            <w:r w:rsidRPr="00103E15">
              <w:rPr>
                <w:bCs/>
                <w:color w:val="auto"/>
              </w:rPr>
              <w:t>Lietuvos grūdų perdirbėjų ir prekybininkų asociacija</w:t>
            </w:r>
            <w:r>
              <w:rPr>
                <w:bCs/>
                <w:color w:val="auto"/>
              </w:rPr>
              <w:t>,</w:t>
            </w:r>
          </w:p>
          <w:p w14:paraId="0753F087" w14:textId="764E1C71" w:rsidR="005563A2" w:rsidRDefault="00761705" w:rsidP="003666AC">
            <w:pPr>
              <w:ind w:firstLine="0"/>
              <w:rPr>
                <w:bCs/>
                <w:color w:val="auto"/>
              </w:rPr>
            </w:pPr>
            <w:r w:rsidRPr="002648F9">
              <w:rPr>
                <w:bCs/>
                <w:color w:val="auto"/>
              </w:rPr>
              <w:t>Lietuvos prekybos įmonių asociacij</w:t>
            </w:r>
            <w:r>
              <w:rPr>
                <w:bCs/>
                <w:color w:val="auto"/>
              </w:rPr>
              <w:t>a</w:t>
            </w:r>
            <w:r w:rsidR="00103E15">
              <w:rPr>
                <w:bCs/>
                <w:color w:val="auto"/>
              </w:rPr>
              <w:t xml:space="preserve">, </w:t>
            </w:r>
            <w:r w:rsidR="00103E15" w:rsidRPr="00103E15">
              <w:rPr>
                <w:bCs/>
                <w:color w:val="auto"/>
              </w:rPr>
              <w:t>LPA „Pieno centras“</w:t>
            </w:r>
            <w:r w:rsidR="00103E15">
              <w:rPr>
                <w:bCs/>
                <w:color w:val="auto"/>
              </w:rPr>
              <w:t xml:space="preserve"> </w:t>
            </w:r>
            <w:r w:rsidRPr="002648F9">
              <w:rPr>
                <w:bCs/>
                <w:color w:val="auto"/>
              </w:rPr>
              <w:t>(202</w:t>
            </w:r>
            <w:r w:rsidR="00103E15">
              <w:rPr>
                <w:bCs/>
                <w:color w:val="auto"/>
              </w:rPr>
              <w:t>1</w:t>
            </w:r>
            <w:r w:rsidRPr="002648F9">
              <w:rPr>
                <w:bCs/>
                <w:color w:val="auto"/>
              </w:rPr>
              <w:t>-</w:t>
            </w:r>
            <w:r w:rsidR="00103E15">
              <w:rPr>
                <w:bCs/>
                <w:color w:val="auto"/>
              </w:rPr>
              <w:t>03</w:t>
            </w:r>
            <w:r w:rsidRPr="002648F9">
              <w:rPr>
                <w:bCs/>
                <w:color w:val="auto"/>
              </w:rPr>
              <w:t>-</w:t>
            </w:r>
            <w:r w:rsidR="00103E15">
              <w:rPr>
                <w:bCs/>
                <w:color w:val="auto"/>
              </w:rPr>
              <w:t>16</w:t>
            </w:r>
            <w:r w:rsidRPr="002648F9">
              <w:rPr>
                <w:bCs/>
                <w:color w:val="auto"/>
              </w:rPr>
              <w:t xml:space="preserve"> raštas)</w:t>
            </w:r>
          </w:p>
          <w:p w14:paraId="21DBED7E" w14:textId="77777777" w:rsidR="00D1133B" w:rsidRDefault="00D1133B" w:rsidP="00BB6DCE">
            <w:pPr>
              <w:spacing w:before="40"/>
              <w:ind w:firstLine="0"/>
              <w:rPr>
                <w:bCs/>
                <w:color w:val="auto"/>
              </w:rPr>
            </w:pPr>
          </w:p>
          <w:p w14:paraId="0F878C4E" w14:textId="090D6538" w:rsidR="00D1133B" w:rsidRPr="00BB6DCE" w:rsidRDefault="00D1133B" w:rsidP="00D1133B">
            <w:pPr>
              <w:spacing w:before="40"/>
              <w:ind w:firstLine="0"/>
              <w:rPr>
                <w:bCs/>
                <w:color w:val="auto"/>
              </w:rPr>
            </w:pPr>
          </w:p>
        </w:tc>
        <w:tc>
          <w:tcPr>
            <w:tcW w:w="5123" w:type="dxa"/>
          </w:tcPr>
          <w:p w14:paraId="660E76AD" w14:textId="77777777" w:rsidR="00791F08" w:rsidRDefault="00E9339E" w:rsidP="007F10C0">
            <w:pPr>
              <w:pStyle w:val="Default"/>
              <w:ind w:firstLine="312"/>
              <w:jc w:val="both"/>
              <w:rPr>
                <w:sz w:val="22"/>
                <w:szCs w:val="22"/>
              </w:rPr>
            </w:pPr>
            <w:r w:rsidRPr="00E9339E">
              <w:rPr>
                <w:sz w:val="22"/>
                <w:szCs w:val="22"/>
              </w:rPr>
              <w:t>Asociacijos siūlo nustatyti, kad įstatymų projektuose numatytos sankcijos už pavėluotus mokėjimus dydis būtų ribojamas 0,7 procento nuo metinių pardavimo pajamų per praėjusius finansinius metus suma, nes už visus kitus pažeidimus yra numatytos 0,7 procento nuo pardavimo pajamų baudos „lubos“.</w:t>
            </w:r>
          </w:p>
          <w:p w14:paraId="2B763C1A" w14:textId="5B824BAF" w:rsidR="00044C55" w:rsidRPr="007F10C0" w:rsidRDefault="007F10C0" w:rsidP="007F10C0">
            <w:pPr>
              <w:pStyle w:val="Default"/>
              <w:ind w:firstLine="312"/>
              <w:jc w:val="both"/>
              <w:rPr>
                <w:sz w:val="22"/>
                <w:szCs w:val="22"/>
              </w:rPr>
            </w:pPr>
            <w:r w:rsidRPr="007F10C0">
              <w:rPr>
                <w:sz w:val="22"/>
                <w:szCs w:val="22"/>
              </w:rPr>
              <w:t xml:space="preserve">Išreiškiama abejonė dėl nuostatos, kad pradinis baudos dydis didinamas jau nuo pirmos pažeidimo dienos, pagrįstumo. </w:t>
            </w:r>
            <w:r w:rsidR="00791F08">
              <w:rPr>
                <w:sz w:val="22"/>
                <w:szCs w:val="22"/>
              </w:rPr>
              <w:t>Asociacijų teigimu,</w:t>
            </w:r>
            <w:r w:rsidRPr="007F10C0">
              <w:rPr>
                <w:sz w:val="22"/>
                <w:szCs w:val="22"/>
              </w:rPr>
              <w:t xml:space="preserve"> trumpa pažeidimo trukmė, pavyzdžiui, 1-2 dienos, turėtų būti pradinis baudos dydžio mažinimo kriterijus</w:t>
            </w:r>
            <w:r w:rsidR="006C26AA">
              <w:rPr>
                <w:sz w:val="22"/>
                <w:szCs w:val="22"/>
              </w:rPr>
              <w:t>, kadangi</w:t>
            </w:r>
            <w:r w:rsidRPr="007F10C0">
              <w:rPr>
                <w:sz w:val="22"/>
                <w:szCs w:val="22"/>
              </w:rPr>
              <w:t xml:space="preserve"> trumpa pažeidimo trukmė nepriskiriama prie atsakomybę lengvinančių aplinkybių. Todėl siūloma NPPDĮ </w:t>
            </w:r>
            <w:r w:rsidR="00791F08">
              <w:rPr>
                <w:sz w:val="22"/>
                <w:szCs w:val="22"/>
              </w:rPr>
              <w:t>ir MPĮNVDĮ projektuose</w:t>
            </w:r>
            <w:r w:rsidRPr="007F10C0">
              <w:rPr>
                <w:sz w:val="22"/>
                <w:szCs w:val="22"/>
              </w:rPr>
              <w:t xml:space="preserve"> numatyti, kad priklausomai nuo pažeidimo trukmės, pradinis baudos dydis didinamas arba mažinamas iki 50 procentų (konkrečius laikotarpius, mažinimo ir didinimo procentus paliekant nustatyti poįstatyminiu teisės aktu).</w:t>
            </w:r>
          </w:p>
          <w:p w14:paraId="4844C855" w14:textId="77777777" w:rsidR="00044C55" w:rsidRPr="00AC6347" w:rsidRDefault="00044C55" w:rsidP="00AC6347">
            <w:pPr>
              <w:tabs>
                <w:tab w:val="left" w:pos="0"/>
                <w:tab w:val="left" w:pos="332"/>
                <w:tab w:val="left" w:pos="1918"/>
                <w:tab w:val="left" w:pos="2877"/>
                <w:tab w:val="left" w:pos="3836"/>
                <w:tab w:val="left" w:pos="4795"/>
                <w:tab w:val="left" w:pos="5754"/>
                <w:tab w:val="left" w:pos="6713"/>
                <w:tab w:val="left" w:pos="7672"/>
                <w:tab w:val="left" w:pos="8631"/>
                <w:tab w:val="left" w:pos="9590"/>
              </w:tabs>
              <w:snapToGrid w:val="0"/>
              <w:spacing w:before="40"/>
              <w:ind w:firstLine="0"/>
              <w:rPr>
                <w:color w:val="auto"/>
              </w:rPr>
            </w:pPr>
          </w:p>
          <w:p w14:paraId="675756D1" w14:textId="11C65367" w:rsidR="00044C55" w:rsidRPr="00AC6347" w:rsidRDefault="00044C55" w:rsidP="00044C55">
            <w:pPr>
              <w:tabs>
                <w:tab w:val="left" w:pos="0"/>
                <w:tab w:val="left" w:pos="332"/>
                <w:tab w:val="left" w:pos="1918"/>
                <w:tab w:val="left" w:pos="2877"/>
                <w:tab w:val="left" w:pos="3836"/>
                <w:tab w:val="left" w:pos="4795"/>
                <w:tab w:val="left" w:pos="5754"/>
                <w:tab w:val="left" w:pos="6713"/>
                <w:tab w:val="left" w:pos="7672"/>
                <w:tab w:val="left" w:pos="8631"/>
                <w:tab w:val="left" w:pos="9590"/>
              </w:tabs>
              <w:snapToGrid w:val="0"/>
              <w:spacing w:before="40"/>
              <w:ind w:firstLine="0"/>
              <w:rPr>
                <w:color w:val="auto"/>
              </w:rPr>
            </w:pPr>
          </w:p>
        </w:tc>
        <w:tc>
          <w:tcPr>
            <w:tcW w:w="6784" w:type="dxa"/>
          </w:tcPr>
          <w:p w14:paraId="777EDBCB" w14:textId="46F3EA27" w:rsidR="00503457" w:rsidRPr="00F12ED6" w:rsidRDefault="00761705" w:rsidP="00503457">
            <w:pPr>
              <w:spacing w:before="40"/>
              <w:ind w:firstLine="178"/>
              <w:rPr>
                <w:bCs/>
                <w:color w:val="auto"/>
              </w:rPr>
            </w:pPr>
            <w:r w:rsidRPr="008E4B1B">
              <w:rPr>
                <w:b/>
                <w:color w:val="auto"/>
              </w:rPr>
              <w:t>Neatsižvelgta</w:t>
            </w:r>
          </w:p>
          <w:p w14:paraId="28369FB3" w14:textId="7EEB1D8C" w:rsidR="00E9339E" w:rsidRPr="00F12ED6" w:rsidRDefault="00E9339E" w:rsidP="00503457">
            <w:pPr>
              <w:autoSpaceDE w:val="0"/>
              <w:autoSpaceDN w:val="0"/>
              <w:adjustRightInd w:val="0"/>
              <w:ind w:firstLine="154"/>
              <w:rPr>
                <w:i/>
                <w:iCs/>
                <w:noProof w:val="0"/>
                <w:color w:val="000000"/>
              </w:rPr>
            </w:pPr>
            <w:r w:rsidRPr="00F12ED6">
              <w:rPr>
                <w:b/>
                <w:bCs/>
                <w:i/>
                <w:iCs/>
                <w:noProof w:val="0"/>
                <w:color w:val="000000"/>
              </w:rPr>
              <w:t>Dėl antrų baudos „lubų“</w:t>
            </w:r>
            <w:r w:rsidR="00A8384F" w:rsidRPr="00F12ED6">
              <w:rPr>
                <w:b/>
                <w:bCs/>
                <w:i/>
                <w:iCs/>
                <w:noProof w:val="0"/>
                <w:color w:val="000000"/>
              </w:rPr>
              <w:t>:</w:t>
            </w:r>
          </w:p>
          <w:p w14:paraId="607A0AF1" w14:textId="784E41FF" w:rsidR="00E9339E" w:rsidRPr="00E9339E" w:rsidRDefault="00E9339E" w:rsidP="00503457">
            <w:pPr>
              <w:widowControl w:val="0"/>
              <w:ind w:firstLine="154"/>
              <w:contextualSpacing/>
              <w:rPr>
                <w:noProof w:val="0"/>
                <w:color w:val="000000"/>
              </w:rPr>
            </w:pPr>
            <w:r>
              <w:rPr>
                <w:noProof w:val="0"/>
                <w:color w:val="000000"/>
              </w:rPr>
              <w:t>Teisės aktų projektų rengėjai</w:t>
            </w:r>
            <w:r w:rsidRPr="00E9339E">
              <w:rPr>
                <w:noProof w:val="0"/>
                <w:color w:val="000000"/>
              </w:rPr>
              <w:t xml:space="preserve"> su tokiu siūlymu nesutinka, kadangi pažeidimas, </w:t>
            </w:r>
            <w:r w:rsidRPr="00E9339E">
              <w:rPr>
                <w:b/>
                <w:bCs/>
                <w:noProof w:val="0"/>
                <w:color w:val="000000"/>
              </w:rPr>
              <w:t>susijęs su pavėluotais mokėjimais</w:t>
            </w:r>
            <w:r w:rsidRPr="00E9339E">
              <w:rPr>
                <w:noProof w:val="0"/>
                <w:color w:val="000000"/>
              </w:rPr>
              <w:t xml:space="preserve">, yra kitokio pobūdžio, nei visi kiti pažeidimai, nurodyti MPĮNVDĮ ir NPPDĮ projektuose. Pažymėtina, kad pažeidimas, susijęs su pavėluotais mokėjimais, nėra tiesiogiai susijęs su pirkėjo apyvarta ar jo derybine galia. Dėl šios priežasties nuspręsta pasirinkti skirtingą sankcijų apskaičiavimo modelį, lyginant su kitais pažeidimais. Atkreiptinas dėmesys, kad baudos už pažeidimus, susijusius su pavėluotais </w:t>
            </w:r>
            <w:r w:rsidR="0003680B">
              <w:rPr>
                <w:noProof w:val="0"/>
                <w:color w:val="000000"/>
              </w:rPr>
              <w:t>mokėjimais</w:t>
            </w:r>
            <w:r w:rsidRPr="00E9339E">
              <w:rPr>
                <w:noProof w:val="0"/>
                <w:color w:val="000000"/>
              </w:rPr>
              <w:t>, dydis NPPD</w:t>
            </w:r>
            <w:r>
              <w:rPr>
                <w:noProof w:val="0"/>
                <w:color w:val="000000"/>
              </w:rPr>
              <w:t>Į</w:t>
            </w:r>
            <w:r w:rsidRPr="00E9339E">
              <w:rPr>
                <w:noProof w:val="0"/>
                <w:color w:val="000000"/>
              </w:rPr>
              <w:t xml:space="preserve"> projekte yra ribojamas</w:t>
            </w:r>
            <w:r w:rsidR="0003680B">
              <w:rPr>
                <w:noProof w:val="0"/>
                <w:color w:val="000000"/>
              </w:rPr>
              <w:t>, t. y.</w:t>
            </w:r>
            <w:r w:rsidRPr="00E9339E">
              <w:rPr>
                <w:noProof w:val="0"/>
                <w:color w:val="000000"/>
              </w:rPr>
              <w:t xml:space="preserve"> </w:t>
            </w:r>
            <w:r w:rsidRPr="00E9339E">
              <w:rPr>
                <w:b/>
                <w:bCs/>
                <w:noProof w:val="0"/>
                <w:color w:val="000000"/>
              </w:rPr>
              <w:t xml:space="preserve">baudos dydis negalės būti mažesnis kaip 200 Eur, tačiau ir ne didesnis, kaip 20 procentų nuo susidariusios pradelstų skolų tiekėjui sumos. </w:t>
            </w:r>
            <w:r w:rsidRPr="00E9339E">
              <w:rPr>
                <w:noProof w:val="0"/>
                <w:color w:val="000000"/>
              </w:rPr>
              <w:t>Atsižvelgiant į tai, nėra jokio pagrindo nustatyti dar vieną papildomą ribojimą, kuris nepagrįstai būtų siejamas su įmonės metinėmis pardavimo pajamomis.</w:t>
            </w:r>
          </w:p>
          <w:p w14:paraId="150A6638" w14:textId="7D3106AF" w:rsidR="00E9339E" w:rsidRPr="00E9339E" w:rsidRDefault="00E9339E" w:rsidP="00503457">
            <w:pPr>
              <w:widowControl w:val="0"/>
              <w:ind w:firstLine="154"/>
              <w:contextualSpacing/>
              <w:rPr>
                <w:noProof w:val="0"/>
                <w:color w:val="000000"/>
              </w:rPr>
            </w:pPr>
            <w:r w:rsidRPr="00E9339E">
              <w:rPr>
                <w:noProof w:val="0"/>
                <w:color w:val="000000"/>
              </w:rPr>
              <w:t xml:space="preserve">Taip pat atkreipiame dėmesį, kad pirminiame MPĮNVDĮ projekte </w:t>
            </w:r>
            <w:r>
              <w:rPr>
                <w:noProof w:val="0"/>
                <w:color w:val="000000"/>
              </w:rPr>
              <w:t>Ekonomikos ir inovacijų ministerija</w:t>
            </w:r>
            <w:r w:rsidRPr="00E9339E">
              <w:rPr>
                <w:noProof w:val="0"/>
                <w:color w:val="000000"/>
              </w:rPr>
              <w:t xml:space="preserve"> siūlė už </w:t>
            </w:r>
            <w:r w:rsidR="0003680B">
              <w:rPr>
                <w:noProof w:val="0"/>
                <w:color w:val="000000"/>
              </w:rPr>
              <w:t>pa</w:t>
            </w:r>
            <w:r w:rsidRPr="00E9339E">
              <w:rPr>
                <w:noProof w:val="0"/>
                <w:color w:val="000000"/>
              </w:rPr>
              <w:t xml:space="preserve">vėluojamus </w:t>
            </w:r>
            <w:r w:rsidR="0003680B">
              <w:rPr>
                <w:noProof w:val="0"/>
                <w:color w:val="000000"/>
              </w:rPr>
              <w:t>mokėjimus</w:t>
            </w:r>
            <w:r w:rsidRPr="00E9339E">
              <w:rPr>
                <w:noProof w:val="0"/>
                <w:color w:val="000000"/>
              </w:rPr>
              <w:t xml:space="preserve"> taikyti analogišk</w:t>
            </w:r>
            <w:r w:rsidR="0003680B">
              <w:rPr>
                <w:noProof w:val="0"/>
                <w:color w:val="000000"/>
              </w:rPr>
              <w:t>ai</w:t>
            </w:r>
            <w:r w:rsidRPr="00E9339E">
              <w:rPr>
                <w:noProof w:val="0"/>
                <w:color w:val="000000"/>
              </w:rPr>
              <w:t xml:space="preserve"> vienodą atsakomybę kaip ir už visus kitus draudžiamus nesąžiningos prekybos praktikos veiksmus, 0,7 proc. nuo </w:t>
            </w:r>
            <w:r w:rsidR="0003680B">
              <w:rPr>
                <w:noProof w:val="0"/>
                <w:color w:val="000000"/>
              </w:rPr>
              <w:t xml:space="preserve">metinių </w:t>
            </w:r>
            <w:r w:rsidRPr="00E9339E">
              <w:rPr>
                <w:noProof w:val="0"/>
                <w:color w:val="000000"/>
              </w:rPr>
              <w:t xml:space="preserve">pardavimo pajamų. Tačiau įvertinus Lietuvos prekybos įmonių asociacijos pastabas </w:t>
            </w:r>
            <w:r w:rsidR="00F53E29">
              <w:rPr>
                <w:noProof w:val="0"/>
                <w:color w:val="000000"/>
              </w:rPr>
              <w:t>ir</w:t>
            </w:r>
            <w:r w:rsidRPr="00E9339E">
              <w:rPr>
                <w:noProof w:val="0"/>
                <w:color w:val="000000"/>
              </w:rPr>
              <w:t xml:space="preserve"> </w:t>
            </w:r>
            <w:r w:rsidR="00F53E29">
              <w:rPr>
                <w:noProof w:val="0"/>
                <w:color w:val="000000"/>
              </w:rPr>
              <w:t xml:space="preserve">dėl jų kilusius </w:t>
            </w:r>
            <w:r w:rsidRPr="00E9339E">
              <w:rPr>
                <w:noProof w:val="0"/>
                <w:color w:val="000000"/>
              </w:rPr>
              <w:t xml:space="preserve">prieštaravimus dėl baudos už pavėluotus </w:t>
            </w:r>
            <w:r w:rsidR="00F53E29">
              <w:rPr>
                <w:noProof w:val="0"/>
                <w:color w:val="000000"/>
              </w:rPr>
              <w:t>mokėjimus</w:t>
            </w:r>
            <w:r w:rsidRPr="00E9339E">
              <w:rPr>
                <w:noProof w:val="0"/>
                <w:color w:val="000000"/>
              </w:rPr>
              <w:t xml:space="preserve"> susie</w:t>
            </w:r>
            <w:r w:rsidR="00F53E29">
              <w:rPr>
                <w:noProof w:val="0"/>
                <w:color w:val="000000"/>
              </w:rPr>
              <w:t>tumo</w:t>
            </w:r>
            <w:r w:rsidRPr="00E9339E">
              <w:rPr>
                <w:noProof w:val="0"/>
                <w:color w:val="000000"/>
              </w:rPr>
              <w:t xml:space="preserve"> su </w:t>
            </w:r>
            <w:r w:rsidR="00F53E29">
              <w:rPr>
                <w:noProof w:val="0"/>
                <w:color w:val="000000"/>
              </w:rPr>
              <w:t xml:space="preserve">metinėmis </w:t>
            </w:r>
            <w:r w:rsidRPr="00E9339E">
              <w:rPr>
                <w:noProof w:val="0"/>
                <w:color w:val="000000"/>
              </w:rPr>
              <w:t xml:space="preserve">pardavimo pajamomis, </w:t>
            </w:r>
            <w:r w:rsidRPr="00E9339E">
              <w:rPr>
                <w:b/>
                <w:bCs/>
                <w:noProof w:val="0"/>
                <w:color w:val="000000"/>
              </w:rPr>
              <w:t>buvo pasiūlytas kompromisinis modelis nebesie</w:t>
            </w:r>
            <w:r w:rsidR="00F53E29">
              <w:rPr>
                <w:b/>
                <w:bCs/>
                <w:noProof w:val="0"/>
                <w:color w:val="000000"/>
              </w:rPr>
              <w:t>ti</w:t>
            </w:r>
            <w:r w:rsidRPr="00E9339E">
              <w:rPr>
                <w:b/>
                <w:bCs/>
                <w:noProof w:val="0"/>
                <w:color w:val="000000"/>
              </w:rPr>
              <w:t xml:space="preserve"> baudų už pavėluotus </w:t>
            </w:r>
            <w:r w:rsidR="00F53E29">
              <w:rPr>
                <w:b/>
                <w:bCs/>
                <w:noProof w:val="0"/>
                <w:color w:val="000000"/>
              </w:rPr>
              <w:t>mokėjimus (</w:t>
            </w:r>
            <w:r w:rsidRPr="00E9339E">
              <w:rPr>
                <w:b/>
                <w:bCs/>
                <w:noProof w:val="0"/>
                <w:color w:val="000000"/>
              </w:rPr>
              <w:t>atsiskaitymus</w:t>
            </w:r>
            <w:r w:rsidR="00F53E29">
              <w:rPr>
                <w:b/>
                <w:bCs/>
                <w:noProof w:val="0"/>
                <w:color w:val="000000"/>
              </w:rPr>
              <w:t>)</w:t>
            </w:r>
            <w:r w:rsidRPr="00E9339E">
              <w:rPr>
                <w:b/>
                <w:bCs/>
                <w:noProof w:val="0"/>
                <w:color w:val="000000"/>
              </w:rPr>
              <w:t xml:space="preserve"> su </w:t>
            </w:r>
            <w:r w:rsidR="00F53E29">
              <w:rPr>
                <w:b/>
                <w:bCs/>
                <w:noProof w:val="0"/>
                <w:color w:val="000000"/>
              </w:rPr>
              <w:t xml:space="preserve">metinėmis </w:t>
            </w:r>
            <w:r w:rsidRPr="00E9339E">
              <w:rPr>
                <w:b/>
                <w:bCs/>
                <w:noProof w:val="0"/>
                <w:color w:val="000000"/>
              </w:rPr>
              <w:t xml:space="preserve">pardavimo pajamomis, o </w:t>
            </w:r>
            <w:r w:rsidR="00F53E29">
              <w:rPr>
                <w:b/>
                <w:bCs/>
                <w:noProof w:val="0"/>
                <w:color w:val="000000"/>
              </w:rPr>
              <w:t xml:space="preserve">jas susieti </w:t>
            </w:r>
            <w:r w:rsidRPr="00E9339E">
              <w:rPr>
                <w:b/>
                <w:bCs/>
                <w:noProof w:val="0"/>
                <w:color w:val="000000"/>
              </w:rPr>
              <w:t>su pradelst</w:t>
            </w:r>
            <w:r w:rsidR="00F53E29">
              <w:rPr>
                <w:b/>
                <w:bCs/>
                <w:noProof w:val="0"/>
                <w:color w:val="000000"/>
              </w:rPr>
              <w:t>ų</w:t>
            </w:r>
            <w:r w:rsidRPr="00E9339E">
              <w:rPr>
                <w:b/>
                <w:bCs/>
                <w:noProof w:val="0"/>
                <w:color w:val="000000"/>
              </w:rPr>
              <w:t xml:space="preserve"> </w:t>
            </w:r>
            <w:r w:rsidR="00F53E29" w:rsidRPr="00E9339E">
              <w:rPr>
                <w:b/>
                <w:bCs/>
                <w:noProof w:val="0"/>
                <w:color w:val="000000"/>
              </w:rPr>
              <w:t>skol</w:t>
            </w:r>
            <w:r w:rsidR="00F53E29">
              <w:rPr>
                <w:b/>
                <w:bCs/>
                <w:noProof w:val="0"/>
                <w:color w:val="000000"/>
              </w:rPr>
              <w:t>ų</w:t>
            </w:r>
            <w:r w:rsidR="00F53E29" w:rsidRPr="00E9339E">
              <w:rPr>
                <w:b/>
                <w:bCs/>
                <w:noProof w:val="0"/>
                <w:color w:val="000000"/>
              </w:rPr>
              <w:t xml:space="preserve"> </w:t>
            </w:r>
            <w:r w:rsidRPr="00E9339E">
              <w:rPr>
                <w:b/>
                <w:bCs/>
                <w:noProof w:val="0"/>
                <w:color w:val="000000"/>
              </w:rPr>
              <w:t xml:space="preserve">tiekėjams </w:t>
            </w:r>
            <w:r w:rsidR="00F53E29">
              <w:rPr>
                <w:b/>
                <w:bCs/>
                <w:noProof w:val="0"/>
                <w:color w:val="000000"/>
              </w:rPr>
              <w:t>dydžiais</w:t>
            </w:r>
            <w:r w:rsidRPr="00E9339E">
              <w:rPr>
                <w:noProof w:val="0"/>
                <w:color w:val="000000"/>
              </w:rPr>
              <w:t xml:space="preserve">. </w:t>
            </w:r>
          </w:p>
          <w:p w14:paraId="4B003900" w14:textId="00BD0CB9" w:rsidR="00E9339E" w:rsidRPr="00F12ED6" w:rsidRDefault="00E9339E" w:rsidP="00503457">
            <w:pPr>
              <w:widowControl w:val="0"/>
              <w:tabs>
                <w:tab w:val="left" w:pos="4543"/>
              </w:tabs>
              <w:spacing w:before="40"/>
              <w:ind w:firstLine="154"/>
              <w:rPr>
                <w:i/>
                <w:iCs/>
                <w:noProof w:val="0"/>
                <w:color w:val="000000"/>
              </w:rPr>
            </w:pPr>
            <w:r w:rsidRPr="00F12ED6">
              <w:rPr>
                <w:b/>
                <w:bCs/>
                <w:i/>
                <w:iCs/>
                <w:noProof w:val="0"/>
                <w:color w:val="000000"/>
              </w:rPr>
              <w:t>Dėl pažeidimo trukmės kriterijaus nustatymo poįstatyminiuose teisės aktuose</w:t>
            </w:r>
            <w:r w:rsidR="00A8384F" w:rsidRPr="00F12ED6">
              <w:rPr>
                <w:b/>
                <w:bCs/>
                <w:i/>
                <w:iCs/>
                <w:noProof w:val="0"/>
                <w:color w:val="000000"/>
              </w:rPr>
              <w:t>:</w:t>
            </w:r>
          </w:p>
          <w:p w14:paraId="6CF62CC4" w14:textId="43363EBF" w:rsidR="00E9339E" w:rsidRPr="00E9339E" w:rsidRDefault="00E9339E" w:rsidP="00503457">
            <w:pPr>
              <w:ind w:left="-26" w:firstLine="180"/>
              <w:contextualSpacing/>
              <w:rPr>
                <w:noProof w:val="0"/>
                <w:color w:val="000000"/>
              </w:rPr>
            </w:pPr>
            <w:r w:rsidRPr="00E9339E">
              <w:rPr>
                <w:noProof w:val="0"/>
                <w:color w:val="000000"/>
              </w:rPr>
              <w:t>Atkreiptinas dėmesys, kad baud</w:t>
            </w:r>
            <w:r w:rsidR="00A8384F">
              <w:rPr>
                <w:noProof w:val="0"/>
                <w:color w:val="000000"/>
              </w:rPr>
              <w:t>os</w:t>
            </w:r>
            <w:r w:rsidRPr="00E9339E">
              <w:rPr>
                <w:noProof w:val="0"/>
                <w:color w:val="000000"/>
              </w:rPr>
              <w:t xml:space="preserve"> dėl pažeidimų, susijusių su pavėluotais mokėjimais (atsiskaitymais), </w:t>
            </w:r>
            <w:r w:rsidR="00A8384F">
              <w:rPr>
                <w:noProof w:val="0"/>
                <w:color w:val="000000"/>
              </w:rPr>
              <w:t xml:space="preserve">dydis </w:t>
            </w:r>
            <w:r w:rsidRPr="00E9339E">
              <w:rPr>
                <w:noProof w:val="0"/>
                <w:color w:val="000000"/>
              </w:rPr>
              <w:t>yra apskaičiuojama</w:t>
            </w:r>
            <w:r w:rsidR="00A8384F">
              <w:rPr>
                <w:noProof w:val="0"/>
                <w:color w:val="000000"/>
              </w:rPr>
              <w:t>s</w:t>
            </w:r>
            <w:r w:rsidRPr="00E9339E">
              <w:rPr>
                <w:noProof w:val="0"/>
                <w:color w:val="000000"/>
              </w:rPr>
              <w:t xml:space="preserve"> </w:t>
            </w:r>
            <w:r w:rsidR="00A8384F">
              <w:rPr>
                <w:noProof w:val="0"/>
                <w:color w:val="000000"/>
              </w:rPr>
              <w:br/>
            </w:r>
            <w:r w:rsidRPr="00E9339E">
              <w:rPr>
                <w:noProof w:val="0"/>
                <w:color w:val="000000"/>
              </w:rPr>
              <w:lastRenderedPageBreak/>
              <w:t xml:space="preserve">3 </w:t>
            </w:r>
            <w:r w:rsidR="00A8384F">
              <w:rPr>
                <w:noProof w:val="0"/>
                <w:color w:val="000000"/>
              </w:rPr>
              <w:t xml:space="preserve">(trimis) </w:t>
            </w:r>
            <w:r w:rsidRPr="00E9339E">
              <w:rPr>
                <w:noProof w:val="0"/>
                <w:color w:val="000000"/>
              </w:rPr>
              <w:t xml:space="preserve">etapais. Pradinis baudos dydis yra tik 1 etapo dalis. 2-uoju etapu yra vertinama pažeidimo </w:t>
            </w:r>
            <w:r w:rsidRPr="00E9339E">
              <w:rPr>
                <w:b/>
                <w:bCs/>
                <w:noProof w:val="0"/>
                <w:color w:val="000000"/>
              </w:rPr>
              <w:t>trukmė,</w:t>
            </w:r>
            <w:r w:rsidRPr="00E9339E">
              <w:rPr>
                <w:noProof w:val="0"/>
                <w:color w:val="000000"/>
              </w:rPr>
              <w:t xml:space="preserve"> kuri neturėtų būti priskiriama nei prie atsakomybę sunkinančių, nei prie atsakomybę lengvinančių aplinkybių. Pabrėžtina, kad nagrinėjant šio pažeidimo specifiką yra akivaizdu, jog </w:t>
            </w:r>
            <w:r w:rsidRPr="00F12ED6">
              <w:rPr>
                <w:noProof w:val="0"/>
                <w:color w:val="000000"/>
                <w:u w:val="single"/>
              </w:rPr>
              <w:t>trukmė</w:t>
            </w:r>
            <w:r w:rsidRPr="00E9339E">
              <w:rPr>
                <w:noProof w:val="0"/>
                <w:color w:val="000000"/>
              </w:rPr>
              <w:t xml:space="preserve"> yra itin svarbi pažeidimo sudedamoji dalis, kadangi kuo ilgiau yra </w:t>
            </w:r>
            <w:r w:rsidR="00A8384F">
              <w:rPr>
                <w:noProof w:val="0"/>
                <w:color w:val="000000"/>
              </w:rPr>
              <w:t>vėluojama</w:t>
            </w:r>
            <w:r w:rsidR="00A8384F" w:rsidRPr="00E9339E">
              <w:rPr>
                <w:noProof w:val="0"/>
                <w:color w:val="000000"/>
              </w:rPr>
              <w:t xml:space="preserve"> </w:t>
            </w:r>
            <w:r w:rsidRPr="00E9339E">
              <w:rPr>
                <w:noProof w:val="0"/>
                <w:color w:val="000000"/>
              </w:rPr>
              <w:t>atsiskaityti su tiekėju, tuo didesnės neigiamos pasekmės tiekėjui yra sukeliamos. Galiausiai, 3-iuoju etapu, apskaičiuojant skiriamos baudos dydį, bus įvertintos atsakomybę lengvinančios ir (arba) sunkinančios aplinkybės.</w:t>
            </w:r>
          </w:p>
          <w:p w14:paraId="3B203C9C" w14:textId="77777777" w:rsidR="00E9339E" w:rsidRPr="00E9339E" w:rsidRDefault="00E9339E" w:rsidP="00503457">
            <w:pPr>
              <w:ind w:left="-26" w:firstLine="180"/>
              <w:contextualSpacing/>
              <w:rPr>
                <w:noProof w:val="0"/>
                <w:color w:val="000000"/>
              </w:rPr>
            </w:pPr>
            <w:r w:rsidRPr="00E9339E">
              <w:rPr>
                <w:noProof w:val="0"/>
                <w:color w:val="000000"/>
              </w:rPr>
              <w:t xml:space="preserve">Atsižvelgiant į Lietuvos Respublikos Vyriausybės kanceliarijos, Teisingumo ministerijos pastabas, baudos ir kitos poveikio priemonės, o taip pat ir visi pažeidimų nagrinėjimo, baudų ar kitų poveikio priemonių skyrimo proceso aspektai turi būti reguliuojami įstatyme, o ne įstatymo įgyvendinamuosiuose teisės aktuose, todėl </w:t>
            </w:r>
            <w:r w:rsidRPr="00E9339E">
              <w:rPr>
                <w:b/>
                <w:bCs/>
                <w:noProof w:val="0"/>
                <w:color w:val="000000"/>
              </w:rPr>
              <w:t>pažeidimo trukmės</w:t>
            </w:r>
            <w:r w:rsidRPr="00E9339E">
              <w:rPr>
                <w:noProof w:val="0"/>
                <w:color w:val="000000"/>
              </w:rPr>
              <w:t xml:space="preserve"> kriterijai turi būti nustatyti įstatyme, o ne poįstatyminiame teisės akte. </w:t>
            </w:r>
          </w:p>
          <w:p w14:paraId="5EC20B9B" w14:textId="0C78B10D" w:rsidR="00E9339E" w:rsidRPr="00E9339E" w:rsidRDefault="00E9339E" w:rsidP="00503457">
            <w:pPr>
              <w:widowControl w:val="0"/>
              <w:ind w:firstLine="154"/>
              <w:contextualSpacing/>
              <w:rPr>
                <w:noProof w:val="0"/>
                <w:color w:val="000000"/>
              </w:rPr>
            </w:pPr>
            <w:r w:rsidRPr="00E9339E">
              <w:rPr>
                <w:noProof w:val="0"/>
                <w:color w:val="000000"/>
              </w:rPr>
              <w:t>Taip pat pažy</w:t>
            </w:r>
            <w:r w:rsidR="00791F08">
              <w:rPr>
                <w:noProof w:val="0"/>
                <w:color w:val="000000"/>
              </w:rPr>
              <w:t>mėtina</w:t>
            </w:r>
            <w:r w:rsidRPr="00E9339E">
              <w:rPr>
                <w:noProof w:val="0"/>
                <w:color w:val="000000"/>
              </w:rPr>
              <w:t xml:space="preserve">, kad vadovaujantis </w:t>
            </w:r>
            <w:r w:rsidRPr="00E9339E">
              <w:rPr>
                <w:b/>
                <w:bCs/>
                <w:noProof w:val="0"/>
                <w:color w:val="000000"/>
              </w:rPr>
              <w:t>Viešojo administravimo įstatymo 38 str. 2 d.</w:t>
            </w:r>
            <w:r w:rsidRPr="00E9339E">
              <w:rPr>
                <w:noProof w:val="0"/>
                <w:color w:val="000000"/>
              </w:rPr>
              <w:t xml:space="preserve">, „teisės aktų reikalavimų pažeidimai, kurie laikomi </w:t>
            </w:r>
            <w:r w:rsidRPr="00E9339E">
              <w:rPr>
                <w:b/>
                <w:bCs/>
                <w:noProof w:val="0"/>
                <w:color w:val="000000"/>
              </w:rPr>
              <w:t xml:space="preserve">mažareikšmiais </w:t>
            </w:r>
            <w:r w:rsidRPr="00E9339E">
              <w:rPr>
                <w:noProof w:val="0"/>
                <w:color w:val="000000"/>
              </w:rPr>
              <w:t xml:space="preserve">konkrečiose ūkio subjektų veiklos srityse, ar tokių pažeidimų kriterijai, taip pat šių pažeidimų pašalinimo terminai, </w:t>
            </w:r>
            <w:r w:rsidRPr="00E9339E">
              <w:rPr>
                <w:b/>
                <w:bCs/>
                <w:noProof w:val="0"/>
                <w:color w:val="000000"/>
              </w:rPr>
              <w:t>nurodomi ūkio subjektų veiklos priežiūrą atliekančio subjekto arba aukštesniojo pagal pavaldumą viešojo administravimo subjekto priimamuose norminiuose administraciniuose aktuose</w:t>
            </w:r>
            <w:r w:rsidRPr="00E9339E">
              <w:rPr>
                <w:noProof w:val="0"/>
                <w:color w:val="000000"/>
              </w:rPr>
              <w:t xml:space="preserve">“. Atsižvelgiant į tai, bus parengti teisės aktai, kuriais vadovaujantis priežiūros institucija galės nustatyti, ar pažeidimas gali būti pripažintas mažareikšmiu. </w:t>
            </w:r>
            <w:r w:rsidR="007F10C0" w:rsidRPr="007F10C0">
              <w:rPr>
                <w:noProof w:val="0"/>
                <w:color w:val="000000"/>
              </w:rPr>
              <w:t>Tikėtina, kad vėlavimas atsiskaityti su tiekėju 1-2 dienas galėtų būti pripažintas mažareikšmiu pažeidimu (tačiau kiekvienas pažeidimas turės būti vertinamas individualiai, atliekant konkrečių faktinių aplinkybių vertinimą).</w:t>
            </w:r>
          </w:p>
          <w:p w14:paraId="13A6E635" w14:textId="080427F1" w:rsidR="000C1DDD" w:rsidRPr="000C1DDD" w:rsidRDefault="000C1DDD" w:rsidP="00F12ED6">
            <w:pPr>
              <w:ind w:firstLine="0"/>
              <w:rPr>
                <w:b/>
                <w:bCs/>
                <w:color w:val="auto"/>
              </w:rPr>
            </w:pPr>
          </w:p>
        </w:tc>
      </w:tr>
    </w:tbl>
    <w:p w14:paraId="20FC8724" w14:textId="77777777" w:rsidR="00BC095F" w:rsidRPr="00A42557" w:rsidRDefault="00A42557" w:rsidP="00A42557">
      <w:pPr>
        <w:ind w:firstLine="0"/>
        <w:jc w:val="center"/>
        <w:rPr>
          <w:color w:val="auto"/>
        </w:rPr>
      </w:pPr>
      <w:r>
        <w:rPr>
          <w:color w:val="auto"/>
        </w:rPr>
        <w:lastRenderedPageBreak/>
        <w:t>_______________________</w:t>
      </w:r>
      <w:r w:rsidR="002431F2">
        <w:rPr>
          <w:color w:val="auto"/>
        </w:rPr>
        <w:t>__</w:t>
      </w:r>
    </w:p>
    <w:sectPr w:rsidR="00BC095F" w:rsidRPr="00A42557" w:rsidSect="00795F21">
      <w:headerReference w:type="default" r:id="rId8"/>
      <w:pgSz w:w="16838" w:h="11906" w:orient="landscape"/>
      <w:pgMar w:top="1008" w:right="734" w:bottom="720" w:left="1411"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E6E22" w14:textId="77777777" w:rsidR="007F3AC8" w:rsidRDefault="007F3AC8" w:rsidP="000639AC">
      <w:r>
        <w:separator/>
      </w:r>
    </w:p>
  </w:endnote>
  <w:endnote w:type="continuationSeparator" w:id="0">
    <w:p w14:paraId="174D07D5" w14:textId="77777777" w:rsidR="007F3AC8" w:rsidRDefault="007F3AC8" w:rsidP="0006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FEC25" w14:textId="77777777" w:rsidR="007F3AC8" w:rsidRDefault="007F3AC8" w:rsidP="000639AC">
      <w:r>
        <w:separator/>
      </w:r>
    </w:p>
  </w:footnote>
  <w:footnote w:type="continuationSeparator" w:id="0">
    <w:p w14:paraId="23D6E581" w14:textId="77777777" w:rsidR="007F3AC8" w:rsidRDefault="007F3AC8" w:rsidP="000639AC">
      <w:r>
        <w:continuationSeparator/>
      </w:r>
    </w:p>
  </w:footnote>
  <w:footnote w:id="1">
    <w:p w14:paraId="5C4D3AF0" w14:textId="77777777" w:rsidR="003F6E4B" w:rsidRDefault="003F6E4B" w:rsidP="003C1B4D">
      <w:pPr>
        <w:pStyle w:val="Puslapioinaostekstas"/>
        <w:jc w:val="both"/>
      </w:pPr>
      <w:r>
        <w:rPr>
          <w:rStyle w:val="Puslapioinaosnuoroda"/>
        </w:rPr>
        <w:footnoteRef/>
      </w:r>
      <w:r w:rsidRPr="001B621E">
        <w:t xml:space="preserve"> 2019 m. spalio 2 d. tarpinstitucinės darbo grupės dėl Direktyvos nuostatų perkėlimo į nacionalinę teisę posėdžio protokolo Nr. 8D-355 (5.50) 11 lape pažymėta, kad „</w:t>
      </w:r>
      <w:r w:rsidRPr="001B621E">
        <w:rPr>
          <w:i/>
          <w:iCs/>
        </w:rPr>
        <w:t>tikrai nepakaks naujojo įstatymo, perkeliančio Direktyvą 2019/633 (ES), administravimui Žemės ūkio ministerijos atstovų paminėtų 50 etatų</w:t>
      </w:r>
      <w:r w:rsidRPr="001B62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5071"/>
      <w:docPartObj>
        <w:docPartGallery w:val="Page Numbers (Top of Page)"/>
        <w:docPartUnique/>
      </w:docPartObj>
    </w:sdtPr>
    <w:sdtEndPr>
      <w:rPr>
        <w:color w:val="auto"/>
        <w:sz w:val="22"/>
        <w:szCs w:val="22"/>
      </w:rPr>
    </w:sdtEndPr>
    <w:sdtContent>
      <w:p w14:paraId="132773BE" w14:textId="77777777" w:rsidR="00EE065F" w:rsidRPr="00EE065F" w:rsidRDefault="00EE065F">
        <w:pPr>
          <w:pStyle w:val="Antrats"/>
          <w:jc w:val="center"/>
          <w:rPr>
            <w:color w:val="auto"/>
            <w:sz w:val="22"/>
            <w:szCs w:val="22"/>
          </w:rPr>
        </w:pPr>
        <w:r w:rsidRPr="00EE065F">
          <w:rPr>
            <w:color w:val="auto"/>
            <w:sz w:val="22"/>
            <w:szCs w:val="22"/>
          </w:rPr>
          <w:fldChar w:fldCharType="begin"/>
        </w:r>
        <w:r w:rsidRPr="00EE065F">
          <w:rPr>
            <w:color w:val="auto"/>
            <w:sz w:val="22"/>
            <w:szCs w:val="22"/>
          </w:rPr>
          <w:instrText xml:space="preserve"> PAGE   \* MERGEFORMAT </w:instrText>
        </w:r>
        <w:r w:rsidRPr="00EE065F">
          <w:rPr>
            <w:color w:val="auto"/>
            <w:sz w:val="22"/>
            <w:szCs w:val="22"/>
          </w:rPr>
          <w:fldChar w:fldCharType="separate"/>
        </w:r>
        <w:r w:rsidR="003A06A4">
          <w:rPr>
            <w:color w:val="auto"/>
            <w:sz w:val="22"/>
            <w:szCs w:val="22"/>
          </w:rPr>
          <w:t>2</w:t>
        </w:r>
        <w:r w:rsidRPr="00EE065F">
          <w:rPr>
            <w:color w:val="auto"/>
            <w:sz w:val="22"/>
            <w:szCs w:val="22"/>
          </w:rPr>
          <w:fldChar w:fldCharType="end"/>
        </w:r>
      </w:p>
    </w:sdtContent>
  </w:sdt>
  <w:p w14:paraId="6B9002C8" w14:textId="77777777" w:rsidR="000639AC" w:rsidRPr="00923AFF" w:rsidRDefault="000639AC" w:rsidP="00923AFF">
    <w:pPr>
      <w:pStyle w:val="Antrats"/>
      <w:ind w:firstLine="0"/>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B766F"/>
    <w:multiLevelType w:val="hybridMultilevel"/>
    <w:tmpl w:val="A31E4AD0"/>
    <w:lvl w:ilvl="0" w:tplc="8D1CF066">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256124"/>
    <w:multiLevelType w:val="hybridMultilevel"/>
    <w:tmpl w:val="D6E2484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714C3210"/>
    <w:multiLevelType w:val="hybridMultilevel"/>
    <w:tmpl w:val="9738ADEC"/>
    <w:lvl w:ilvl="0" w:tplc="04270001">
      <w:start w:val="1"/>
      <w:numFmt w:val="bullet"/>
      <w:lvlText w:val=""/>
      <w:lvlJc w:val="left"/>
      <w:pPr>
        <w:ind w:left="1057" w:hanging="360"/>
      </w:pPr>
      <w:rPr>
        <w:rFonts w:ascii="Symbol" w:hAnsi="Symbol"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num w:numId="1">
    <w:abstractNumId w:val="2"/>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5F"/>
    <w:rsid w:val="0003680B"/>
    <w:rsid w:val="00044A07"/>
    <w:rsid w:val="00044C55"/>
    <w:rsid w:val="000639AC"/>
    <w:rsid w:val="00063AF4"/>
    <w:rsid w:val="00065F7A"/>
    <w:rsid w:val="000743AC"/>
    <w:rsid w:val="000A6BDF"/>
    <w:rsid w:val="000B6B97"/>
    <w:rsid w:val="000C1DDD"/>
    <w:rsid w:val="000C371B"/>
    <w:rsid w:val="000D18DB"/>
    <w:rsid w:val="000E79BA"/>
    <w:rsid w:val="000F4297"/>
    <w:rsid w:val="00103E15"/>
    <w:rsid w:val="00116D29"/>
    <w:rsid w:val="00140411"/>
    <w:rsid w:val="0017666F"/>
    <w:rsid w:val="00193285"/>
    <w:rsid w:val="001A0CF7"/>
    <w:rsid w:val="001A2F90"/>
    <w:rsid w:val="001A6F39"/>
    <w:rsid w:val="001B5F53"/>
    <w:rsid w:val="001B7CAB"/>
    <w:rsid w:val="00207559"/>
    <w:rsid w:val="00222F70"/>
    <w:rsid w:val="002431F2"/>
    <w:rsid w:val="002A419F"/>
    <w:rsid w:val="002B781F"/>
    <w:rsid w:val="002C16D7"/>
    <w:rsid w:val="003173D8"/>
    <w:rsid w:val="00327212"/>
    <w:rsid w:val="00332447"/>
    <w:rsid w:val="0033514A"/>
    <w:rsid w:val="003568BF"/>
    <w:rsid w:val="003666AC"/>
    <w:rsid w:val="003839D9"/>
    <w:rsid w:val="003A06A4"/>
    <w:rsid w:val="003C3869"/>
    <w:rsid w:val="003D1608"/>
    <w:rsid w:val="003F6E4B"/>
    <w:rsid w:val="00415B31"/>
    <w:rsid w:val="00423A06"/>
    <w:rsid w:val="00425960"/>
    <w:rsid w:val="00434EAD"/>
    <w:rsid w:val="00471281"/>
    <w:rsid w:val="00472056"/>
    <w:rsid w:val="004A3937"/>
    <w:rsid w:val="004F792B"/>
    <w:rsid w:val="00503457"/>
    <w:rsid w:val="00536C8F"/>
    <w:rsid w:val="0053749C"/>
    <w:rsid w:val="005563A2"/>
    <w:rsid w:val="00560851"/>
    <w:rsid w:val="00581E58"/>
    <w:rsid w:val="005C6AD5"/>
    <w:rsid w:val="005E12F0"/>
    <w:rsid w:val="005F724E"/>
    <w:rsid w:val="00602C9A"/>
    <w:rsid w:val="00606718"/>
    <w:rsid w:val="00612F61"/>
    <w:rsid w:val="00670C88"/>
    <w:rsid w:val="00686AF9"/>
    <w:rsid w:val="006C26AA"/>
    <w:rsid w:val="0072220C"/>
    <w:rsid w:val="0072716D"/>
    <w:rsid w:val="00734597"/>
    <w:rsid w:val="00741747"/>
    <w:rsid w:val="007477A4"/>
    <w:rsid w:val="00761705"/>
    <w:rsid w:val="00785F76"/>
    <w:rsid w:val="00791F08"/>
    <w:rsid w:val="00795F21"/>
    <w:rsid w:val="007A5BB9"/>
    <w:rsid w:val="007B34B6"/>
    <w:rsid w:val="007F10C0"/>
    <w:rsid w:val="007F3AC8"/>
    <w:rsid w:val="007F5C48"/>
    <w:rsid w:val="0082280A"/>
    <w:rsid w:val="008450BA"/>
    <w:rsid w:val="008645D3"/>
    <w:rsid w:val="00886D16"/>
    <w:rsid w:val="008B7147"/>
    <w:rsid w:val="008D61DC"/>
    <w:rsid w:val="008E4B1B"/>
    <w:rsid w:val="009018BD"/>
    <w:rsid w:val="00903158"/>
    <w:rsid w:val="009111F1"/>
    <w:rsid w:val="00920B8A"/>
    <w:rsid w:val="00923AFF"/>
    <w:rsid w:val="00933C37"/>
    <w:rsid w:val="009646A8"/>
    <w:rsid w:val="009833AF"/>
    <w:rsid w:val="009A1F10"/>
    <w:rsid w:val="009D537F"/>
    <w:rsid w:val="009D5C2D"/>
    <w:rsid w:val="009E5F47"/>
    <w:rsid w:val="009F721B"/>
    <w:rsid w:val="00A05D68"/>
    <w:rsid w:val="00A074A2"/>
    <w:rsid w:val="00A42557"/>
    <w:rsid w:val="00A45853"/>
    <w:rsid w:val="00A549EB"/>
    <w:rsid w:val="00A56E77"/>
    <w:rsid w:val="00A6748C"/>
    <w:rsid w:val="00A82AC3"/>
    <w:rsid w:val="00A8384F"/>
    <w:rsid w:val="00AC6347"/>
    <w:rsid w:val="00AD42AA"/>
    <w:rsid w:val="00AE1E08"/>
    <w:rsid w:val="00B0069C"/>
    <w:rsid w:val="00B054F3"/>
    <w:rsid w:val="00B15D86"/>
    <w:rsid w:val="00B56972"/>
    <w:rsid w:val="00B61332"/>
    <w:rsid w:val="00B615AD"/>
    <w:rsid w:val="00B71AFF"/>
    <w:rsid w:val="00B71DDA"/>
    <w:rsid w:val="00BA4FB5"/>
    <w:rsid w:val="00BB6DCE"/>
    <w:rsid w:val="00BC095F"/>
    <w:rsid w:val="00BC401A"/>
    <w:rsid w:val="00BD690B"/>
    <w:rsid w:val="00BE4264"/>
    <w:rsid w:val="00C075B1"/>
    <w:rsid w:val="00C205B8"/>
    <w:rsid w:val="00C44B86"/>
    <w:rsid w:val="00C54AFB"/>
    <w:rsid w:val="00C56149"/>
    <w:rsid w:val="00CA549F"/>
    <w:rsid w:val="00CA6349"/>
    <w:rsid w:val="00CB25E8"/>
    <w:rsid w:val="00CF5656"/>
    <w:rsid w:val="00D1133B"/>
    <w:rsid w:val="00D20117"/>
    <w:rsid w:val="00D2116E"/>
    <w:rsid w:val="00D51D6E"/>
    <w:rsid w:val="00D6419D"/>
    <w:rsid w:val="00D95494"/>
    <w:rsid w:val="00DB11CE"/>
    <w:rsid w:val="00DC3BBD"/>
    <w:rsid w:val="00DE0786"/>
    <w:rsid w:val="00E07D61"/>
    <w:rsid w:val="00E16D9F"/>
    <w:rsid w:val="00E27C47"/>
    <w:rsid w:val="00E61975"/>
    <w:rsid w:val="00E6445C"/>
    <w:rsid w:val="00E726FA"/>
    <w:rsid w:val="00E80B0B"/>
    <w:rsid w:val="00E87D83"/>
    <w:rsid w:val="00E9339E"/>
    <w:rsid w:val="00EA3CAE"/>
    <w:rsid w:val="00EC35BD"/>
    <w:rsid w:val="00ED51BD"/>
    <w:rsid w:val="00EE065F"/>
    <w:rsid w:val="00F06DEB"/>
    <w:rsid w:val="00F12ED6"/>
    <w:rsid w:val="00F426DA"/>
    <w:rsid w:val="00F5209F"/>
    <w:rsid w:val="00F53E29"/>
    <w:rsid w:val="00F708D4"/>
    <w:rsid w:val="00F80A33"/>
    <w:rsid w:val="00F81044"/>
    <w:rsid w:val="00F97179"/>
    <w:rsid w:val="00FC0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9DFE"/>
  <w15:docId w15:val="{BD06DBED-ACBB-4EEC-BA60-C89620C5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95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paragraph" w:styleId="Antrat2">
    <w:name w:val="heading 2"/>
    <w:basedOn w:val="prastasis"/>
    <w:next w:val="prastasis"/>
    <w:link w:val="Antrat2Diagrama"/>
    <w:uiPriority w:val="9"/>
    <w:unhideWhenUsed/>
    <w:qFormat/>
    <w:rsid w:val="004720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C0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E065F"/>
    <w:pPr>
      <w:ind w:firstLine="0"/>
      <w:jc w:val="left"/>
    </w:pPr>
    <w:rPr>
      <w:noProof w:val="0"/>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EE065F"/>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EE065F"/>
    <w:rPr>
      <w:rFonts w:ascii="Times New Roman" w:eastAsia="Times New Roman" w:hAnsi="Times New Roman" w:cs="Times New Roman"/>
      <w:sz w:val="24"/>
      <w:szCs w:val="24"/>
      <w:lang w:eastAsia="ar-SA"/>
    </w:rPr>
  </w:style>
  <w:style w:type="paragraph" w:styleId="Sraopastraipa">
    <w:name w:val="List Paragraph"/>
    <w:basedOn w:val="prastasis"/>
    <w:link w:val="SraopastraipaDiagrama"/>
    <w:uiPriority w:val="34"/>
    <w:qFormat/>
    <w:rsid w:val="00EE065F"/>
    <w:pPr>
      <w:suppressAutoHyphens/>
      <w:ind w:left="720" w:firstLine="0"/>
      <w:contextualSpacing/>
      <w:jc w:val="left"/>
    </w:pPr>
    <w:rPr>
      <w:noProof w:val="0"/>
      <w:color w:val="auto"/>
      <w:lang w:eastAsia="ar-SA"/>
    </w:rPr>
  </w:style>
  <w:style w:type="character" w:styleId="Puslapioinaosnuoroda">
    <w:name w:val="footnote reference"/>
    <w:basedOn w:val="Numatytasispastraiposriftas"/>
    <w:uiPriority w:val="99"/>
    <w:unhideWhenUsed/>
    <w:rsid w:val="00EE065F"/>
    <w:rPr>
      <w:w w:val="100"/>
      <w:sz w:val="20"/>
      <w:szCs w:val="20"/>
      <w:vertAlign w:val="superscript"/>
    </w:rPr>
  </w:style>
  <w:style w:type="paragraph" w:styleId="Antrats">
    <w:name w:val="header"/>
    <w:basedOn w:val="prastasis"/>
    <w:link w:val="AntratsDiagrama"/>
    <w:uiPriority w:val="99"/>
    <w:unhideWhenUsed/>
    <w:rsid w:val="00EE065F"/>
    <w:pPr>
      <w:tabs>
        <w:tab w:val="center" w:pos="4536"/>
        <w:tab w:val="right" w:pos="9072"/>
      </w:tabs>
    </w:pPr>
  </w:style>
  <w:style w:type="character" w:customStyle="1" w:styleId="AntratsDiagrama">
    <w:name w:val="Antraštės Diagrama"/>
    <w:basedOn w:val="Numatytasispastraiposriftas"/>
    <w:link w:val="Antrats"/>
    <w:uiPriority w:val="99"/>
    <w:rsid w:val="00EE065F"/>
    <w:rPr>
      <w:rFonts w:ascii="Times New Roman" w:eastAsia="Times New Roman" w:hAnsi="Times New Roman" w:cs="Times New Roman"/>
      <w:noProof/>
      <w:color w:val="00B050"/>
      <w:sz w:val="24"/>
      <w:szCs w:val="24"/>
      <w:lang w:eastAsia="lt-LT"/>
    </w:rPr>
  </w:style>
  <w:style w:type="paragraph" w:styleId="Porat">
    <w:name w:val="footer"/>
    <w:basedOn w:val="prastasis"/>
    <w:link w:val="PoratDiagrama"/>
    <w:uiPriority w:val="99"/>
    <w:unhideWhenUsed/>
    <w:rsid w:val="00EE065F"/>
    <w:pPr>
      <w:tabs>
        <w:tab w:val="center" w:pos="4536"/>
        <w:tab w:val="right" w:pos="9072"/>
      </w:tabs>
    </w:pPr>
  </w:style>
  <w:style w:type="character" w:customStyle="1" w:styleId="PoratDiagrama">
    <w:name w:val="Poraštė Diagrama"/>
    <w:basedOn w:val="Numatytasispastraiposriftas"/>
    <w:link w:val="Porat"/>
    <w:uiPriority w:val="99"/>
    <w:rsid w:val="00EE065F"/>
    <w:rPr>
      <w:rFonts w:ascii="Times New Roman" w:eastAsia="Times New Roman" w:hAnsi="Times New Roman" w:cs="Times New Roman"/>
      <w:noProof/>
      <w:color w:val="00B050"/>
      <w:sz w:val="24"/>
      <w:szCs w:val="24"/>
      <w:lang w:eastAsia="lt-LT"/>
    </w:rPr>
  </w:style>
  <w:style w:type="character" w:styleId="Hipersaitas">
    <w:name w:val="Hyperlink"/>
    <w:basedOn w:val="Numatytasispastraiposriftas"/>
    <w:uiPriority w:val="99"/>
    <w:unhideWhenUsed/>
    <w:rsid w:val="00761705"/>
    <w:rPr>
      <w:color w:val="0000FF" w:themeColor="hyperlink"/>
      <w:u w:val="single"/>
    </w:rPr>
  </w:style>
  <w:style w:type="character" w:customStyle="1" w:styleId="mdialogpagemmetadatatree0">
    <w:name w:val="m_dialogpage_m_metadatatree_0"/>
    <w:basedOn w:val="Numatytasispastraiposriftas"/>
    <w:rsid w:val="000743AC"/>
  </w:style>
  <w:style w:type="paragraph" w:styleId="Debesliotekstas">
    <w:name w:val="Balloon Text"/>
    <w:basedOn w:val="prastasis"/>
    <w:link w:val="DebesliotekstasDiagrama"/>
    <w:uiPriority w:val="99"/>
    <w:semiHidden/>
    <w:unhideWhenUsed/>
    <w:rsid w:val="00B054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54F3"/>
    <w:rPr>
      <w:rFonts w:ascii="Segoe UI" w:eastAsia="Times New Roman" w:hAnsi="Segoe UI" w:cs="Segoe UI"/>
      <w:noProof/>
      <w:color w:val="00B050"/>
      <w:sz w:val="18"/>
      <w:szCs w:val="18"/>
      <w:lang w:eastAsia="lt-LT"/>
    </w:rPr>
  </w:style>
  <w:style w:type="paragraph" w:styleId="Betarp">
    <w:name w:val="No Spacing"/>
    <w:uiPriority w:val="1"/>
    <w:qFormat/>
    <w:rsid w:val="002A419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character" w:styleId="Komentaronuoroda">
    <w:name w:val="annotation reference"/>
    <w:basedOn w:val="Numatytasispastraiposriftas"/>
    <w:uiPriority w:val="99"/>
    <w:semiHidden/>
    <w:unhideWhenUsed/>
    <w:rsid w:val="00DB11CE"/>
    <w:rPr>
      <w:sz w:val="16"/>
      <w:szCs w:val="16"/>
    </w:rPr>
  </w:style>
  <w:style w:type="paragraph" w:styleId="Komentarotekstas">
    <w:name w:val="annotation text"/>
    <w:basedOn w:val="prastasis"/>
    <w:link w:val="KomentarotekstasDiagrama"/>
    <w:uiPriority w:val="99"/>
    <w:semiHidden/>
    <w:unhideWhenUsed/>
    <w:rsid w:val="00DB11CE"/>
    <w:rPr>
      <w:sz w:val="20"/>
      <w:szCs w:val="20"/>
    </w:rPr>
  </w:style>
  <w:style w:type="character" w:customStyle="1" w:styleId="KomentarotekstasDiagrama">
    <w:name w:val="Komentaro tekstas Diagrama"/>
    <w:basedOn w:val="Numatytasispastraiposriftas"/>
    <w:link w:val="Komentarotekstas"/>
    <w:uiPriority w:val="99"/>
    <w:semiHidden/>
    <w:rsid w:val="00DB11CE"/>
    <w:rPr>
      <w:rFonts w:ascii="Times New Roman" w:eastAsia="Times New Roman" w:hAnsi="Times New Roman" w:cs="Times New Roman"/>
      <w:noProof/>
      <w:color w:val="00B05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B11CE"/>
    <w:rPr>
      <w:b/>
      <w:bCs/>
    </w:rPr>
  </w:style>
  <w:style w:type="character" w:customStyle="1" w:styleId="KomentarotemaDiagrama">
    <w:name w:val="Komentaro tema Diagrama"/>
    <w:basedOn w:val="KomentarotekstasDiagrama"/>
    <w:link w:val="Komentarotema"/>
    <w:uiPriority w:val="99"/>
    <w:semiHidden/>
    <w:rsid w:val="00DB11CE"/>
    <w:rPr>
      <w:rFonts w:ascii="Times New Roman" w:eastAsia="Times New Roman" w:hAnsi="Times New Roman" w:cs="Times New Roman"/>
      <w:b/>
      <w:bCs/>
      <w:noProof/>
      <w:color w:val="00B050"/>
      <w:sz w:val="20"/>
      <w:szCs w:val="20"/>
      <w:lang w:eastAsia="lt-LT"/>
    </w:rPr>
  </w:style>
  <w:style w:type="character" w:customStyle="1" w:styleId="Antrat2Diagrama">
    <w:name w:val="Antraštė 2 Diagrama"/>
    <w:basedOn w:val="Numatytasispastraiposriftas"/>
    <w:link w:val="Antrat2"/>
    <w:uiPriority w:val="9"/>
    <w:rsid w:val="00472056"/>
    <w:rPr>
      <w:rFonts w:asciiTheme="majorHAnsi" w:eastAsiaTheme="majorEastAsia" w:hAnsiTheme="majorHAnsi" w:cstheme="majorBidi"/>
      <w:noProof/>
      <w:color w:val="365F91" w:themeColor="accent1" w:themeShade="BF"/>
      <w:sz w:val="26"/>
      <w:szCs w:val="26"/>
      <w:lang w:eastAsia="lt-LT"/>
    </w:rPr>
  </w:style>
  <w:style w:type="paragraph" w:customStyle="1" w:styleId="Default">
    <w:name w:val="Default"/>
    <w:rsid w:val="00103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28F46-4273-47B4-91B4-B6A83879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10935</Words>
  <Characters>6234</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Kristina Šimkutė</cp:lastModifiedBy>
  <cp:revision>3</cp:revision>
  <dcterms:created xsi:type="dcterms:W3CDTF">2021-03-24T16:21:00Z</dcterms:created>
  <dcterms:modified xsi:type="dcterms:W3CDTF">2021-03-24T16:21:00Z</dcterms:modified>
</cp:coreProperties>
</file>