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D3606" w14:textId="77777777" w:rsidR="00C454F8" w:rsidRPr="00C454F8" w:rsidRDefault="00C454F8" w:rsidP="00C23156">
      <w:pPr>
        <w:pStyle w:val="AAAAAAAAAAAAAAAa"/>
        <w:numPr>
          <w:ilvl w:val="0"/>
          <w:numId w:val="0"/>
        </w:numPr>
        <w:tabs>
          <w:tab w:val="num" w:pos="-3969"/>
          <w:tab w:val="left" w:pos="284"/>
        </w:tabs>
        <w:spacing w:line="276" w:lineRule="auto"/>
        <w:ind w:firstLine="709"/>
        <w:jc w:val="center"/>
        <w:rPr>
          <w:rFonts w:ascii="Times New Roman" w:hAnsi="Times New Roman"/>
          <w:b/>
          <w:color w:val="auto"/>
          <w:sz w:val="24"/>
          <w:szCs w:val="24"/>
          <w:lang w:val="lt-LT"/>
        </w:rPr>
      </w:pPr>
      <w:r w:rsidRPr="00C454F8">
        <w:rPr>
          <w:rFonts w:ascii="Times New Roman" w:hAnsi="Times New Roman"/>
          <w:b/>
          <w:color w:val="auto"/>
          <w:sz w:val="24"/>
          <w:szCs w:val="24"/>
          <w:lang w:val="lt-LT"/>
        </w:rPr>
        <w:t>FINANSINIS</w:t>
      </w:r>
      <w:r w:rsidR="008F73D5">
        <w:rPr>
          <w:rFonts w:ascii="Times New Roman" w:hAnsi="Times New Roman"/>
          <w:b/>
          <w:color w:val="auto"/>
          <w:sz w:val="24"/>
          <w:szCs w:val="24"/>
          <w:lang w:val="lt-LT"/>
        </w:rPr>
        <w:t xml:space="preserve"> </w:t>
      </w:r>
      <w:r w:rsidRPr="00C454F8">
        <w:rPr>
          <w:rFonts w:ascii="Times New Roman" w:hAnsi="Times New Roman"/>
          <w:b/>
          <w:color w:val="auto"/>
          <w:sz w:val="24"/>
          <w:szCs w:val="24"/>
          <w:lang w:val="lt-LT"/>
        </w:rPr>
        <w:t>EKONOMINIS PAGRINDIMAS</w:t>
      </w:r>
    </w:p>
    <w:p w14:paraId="0D1E788C" w14:textId="77777777" w:rsidR="00C454F8" w:rsidRDefault="00C454F8"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650349B4" w14:textId="77777777" w:rsidR="00C454F8" w:rsidRDefault="00C454F8"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4A2F7D18" w14:textId="3ECA962F" w:rsidR="00C454F8" w:rsidRDefault="00C454F8" w:rsidP="00D44A9E">
      <w:pPr>
        <w:pStyle w:val="AAAAAAAAAAAAAAAa"/>
        <w:numPr>
          <w:ilvl w:val="0"/>
          <w:numId w:val="0"/>
        </w:numPr>
        <w:tabs>
          <w:tab w:val="num" w:pos="-3969"/>
          <w:tab w:val="left" w:pos="284"/>
        </w:tabs>
        <w:ind w:firstLine="709"/>
        <w:jc w:val="both"/>
        <w:rPr>
          <w:rFonts w:ascii="Times New Roman" w:hAnsi="Times New Roman"/>
          <w:color w:val="auto"/>
          <w:sz w:val="24"/>
          <w:szCs w:val="24"/>
          <w:lang w:val="lt-LT"/>
        </w:rPr>
      </w:pPr>
      <w:r>
        <w:rPr>
          <w:rFonts w:ascii="Times New Roman" w:hAnsi="Times New Roman"/>
          <w:color w:val="auto"/>
          <w:sz w:val="24"/>
          <w:szCs w:val="24"/>
          <w:lang w:val="lt-LT"/>
        </w:rPr>
        <w:t>U</w:t>
      </w:r>
      <w:r w:rsidR="00857658">
        <w:rPr>
          <w:rFonts w:ascii="Times New Roman" w:hAnsi="Times New Roman"/>
          <w:color w:val="auto"/>
          <w:sz w:val="24"/>
          <w:szCs w:val="24"/>
          <w:lang w:val="lt-LT"/>
        </w:rPr>
        <w:t>ždaroji akcinė bendrovė</w:t>
      </w:r>
      <w:bookmarkStart w:id="0" w:name="_GoBack"/>
      <w:bookmarkEnd w:id="0"/>
      <w:r>
        <w:rPr>
          <w:rFonts w:ascii="Times New Roman" w:hAnsi="Times New Roman"/>
          <w:color w:val="auto"/>
          <w:sz w:val="24"/>
          <w:szCs w:val="24"/>
          <w:lang w:val="lt-LT"/>
        </w:rPr>
        <w:t xml:space="preserve"> Lietuvos parodų ir kongresų </w:t>
      </w:r>
      <w:r w:rsidR="0053031E">
        <w:rPr>
          <w:rFonts w:ascii="Times New Roman" w:hAnsi="Times New Roman"/>
          <w:color w:val="auto"/>
          <w:sz w:val="24"/>
          <w:szCs w:val="24"/>
          <w:lang w:val="lt-LT"/>
        </w:rPr>
        <w:t xml:space="preserve">centras </w:t>
      </w:r>
      <w:r>
        <w:rPr>
          <w:rFonts w:ascii="Times New Roman" w:hAnsi="Times New Roman"/>
          <w:color w:val="auto"/>
          <w:sz w:val="24"/>
          <w:szCs w:val="24"/>
          <w:lang w:val="lt-LT"/>
        </w:rPr>
        <w:t xml:space="preserve">„Litexpo“ (toliau – </w:t>
      </w:r>
      <w:r w:rsidR="006F03EF">
        <w:rPr>
          <w:rFonts w:ascii="Times New Roman" w:hAnsi="Times New Roman"/>
          <w:color w:val="auto"/>
          <w:sz w:val="24"/>
          <w:szCs w:val="24"/>
          <w:lang w:val="lt-LT"/>
        </w:rPr>
        <w:t>„</w:t>
      </w:r>
      <w:r>
        <w:rPr>
          <w:rFonts w:ascii="Times New Roman" w:hAnsi="Times New Roman"/>
          <w:color w:val="auto"/>
          <w:sz w:val="24"/>
          <w:szCs w:val="24"/>
          <w:lang w:val="lt-LT"/>
        </w:rPr>
        <w:t>Litexpo</w:t>
      </w:r>
      <w:r w:rsidR="006F03EF">
        <w:rPr>
          <w:rFonts w:ascii="Times New Roman" w:hAnsi="Times New Roman"/>
          <w:color w:val="auto"/>
          <w:sz w:val="24"/>
          <w:szCs w:val="24"/>
          <w:lang w:val="lt-LT"/>
        </w:rPr>
        <w:t>“</w:t>
      </w:r>
      <w:r w:rsidR="00C23156">
        <w:rPr>
          <w:rFonts w:ascii="Times New Roman" w:hAnsi="Times New Roman"/>
          <w:color w:val="auto"/>
          <w:sz w:val="24"/>
          <w:szCs w:val="24"/>
          <w:lang w:val="lt-LT"/>
        </w:rPr>
        <w:t xml:space="preserve"> arba Bendrovė</w:t>
      </w:r>
      <w:r>
        <w:rPr>
          <w:rFonts w:ascii="Times New Roman" w:hAnsi="Times New Roman"/>
          <w:color w:val="auto"/>
          <w:sz w:val="24"/>
          <w:szCs w:val="24"/>
          <w:lang w:val="lt-LT"/>
        </w:rPr>
        <w:t>) yra valstybės valdoma įmonė (valstybė valdo 98,76 proc. akcijų), kurios pagrindinė veikla yra parodų, konferencijų ir kongresų organizavimas bei patalpų nuoma.</w:t>
      </w:r>
    </w:p>
    <w:p w14:paraId="1ADEE17B" w14:textId="0EF1BF77" w:rsidR="00C454F8" w:rsidRDefault="00763612" w:rsidP="00D44A9E">
      <w:pPr>
        <w:pStyle w:val="AAAAAAAAAAAAAAAa"/>
        <w:numPr>
          <w:ilvl w:val="0"/>
          <w:numId w:val="0"/>
        </w:numPr>
        <w:tabs>
          <w:tab w:val="num" w:pos="-3969"/>
          <w:tab w:val="left" w:pos="284"/>
        </w:tabs>
        <w:ind w:firstLine="709"/>
        <w:jc w:val="both"/>
        <w:rPr>
          <w:rFonts w:ascii="Times New Roman" w:hAnsi="Times New Roman"/>
          <w:color w:val="auto"/>
          <w:sz w:val="24"/>
          <w:szCs w:val="24"/>
          <w:lang w:val="lt-LT"/>
        </w:rPr>
      </w:pPr>
      <w:r>
        <w:rPr>
          <w:rFonts w:ascii="Times New Roman" w:hAnsi="Times New Roman"/>
          <w:color w:val="auto"/>
          <w:sz w:val="24"/>
          <w:szCs w:val="24"/>
          <w:lang w:val="lt-LT"/>
        </w:rPr>
        <w:t>„</w:t>
      </w:r>
      <w:r w:rsidR="00C454F8">
        <w:rPr>
          <w:rFonts w:ascii="Times New Roman" w:hAnsi="Times New Roman"/>
          <w:color w:val="auto"/>
          <w:sz w:val="24"/>
          <w:szCs w:val="24"/>
          <w:lang w:val="lt-LT"/>
        </w:rPr>
        <w:t>Litexpo</w:t>
      </w:r>
      <w:r>
        <w:rPr>
          <w:rFonts w:ascii="Times New Roman" w:hAnsi="Times New Roman"/>
          <w:color w:val="auto"/>
          <w:sz w:val="24"/>
          <w:szCs w:val="24"/>
          <w:lang w:val="lt-LT"/>
        </w:rPr>
        <w:t>“</w:t>
      </w:r>
      <w:r w:rsidR="00C454F8">
        <w:rPr>
          <w:rFonts w:ascii="Times New Roman" w:hAnsi="Times New Roman"/>
          <w:color w:val="auto"/>
          <w:sz w:val="24"/>
          <w:szCs w:val="24"/>
          <w:lang w:val="lt-LT"/>
        </w:rPr>
        <w:t xml:space="preserve"> vykdoma parodų organizavimo veikla yra pagrindinis pajamų šaltinis, kurio dėka </w:t>
      </w:r>
      <w:r>
        <w:rPr>
          <w:rFonts w:ascii="Times New Roman" w:hAnsi="Times New Roman"/>
          <w:color w:val="auto"/>
          <w:sz w:val="24"/>
          <w:szCs w:val="24"/>
          <w:lang w:val="lt-LT"/>
        </w:rPr>
        <w:t>„</w:t>
      </w:r>
      <w:r w:rsidR="00C454F8">
        <w:rPr>
          <w:rFonts w:ascii="Times New Roman" w:hAnsi="Times New Roman"/>
          <w:color w:val="auto"/>
          <w:sz w:val="24"/>
          <w:szCs w:val="24"/>
          <w:lang w:val="lt-LT"/>
        </w:rPr>
        <w:t>Litexpo</w:t>
      </w:r>
      <w:r>
        <w:rPr>
          <w:rFonts w:ascii="Times New Roman" w:hAnsi="Times New Roman"/>
          <w:color w:val="auto"/>
          <w:sz w:val="24"/>
          <w:szCs w:val="24"/>
          <w:lang w:val="lt-LT"/>
        </w:rPr>
        <w:t>“</w:t>
      </w:r>
      <w:r w:rsidR="00C454F8">
        <w:rPr>
          <w:rFonts w:ascii="Times New Roman" w:hAnsi="Times New Roman"/>
          <w:color w:val="auto"/>
          <w:sz w:val="24"/>
          <w:szCs w:val="24"/>
          <w:lang w:val="lt-LT"/>
        </w:rPr>
        <w:t xml:space="preserve"> užtikrina</w:t>
      </w:r>
      <w:r w:rsidR="009F0708">
        <w:rPr>
          <w:rFonts w:ascii="Times New Roman" w:hAnsi="Times New Roman"/>
          <w:color w:val="auto"/>
          <w:sz w:val="24"/>
          <w:szCs w:val="24"/>
          <w:lang w:val="lt-LT"/>
        </w:rPr>
        <w:t xml:space="preserve"> tinkamą</w:t>
      </w:r>
      <w:r w:rsidR="00C454F8">
        <w:rPr>
          <w:rFonts w:ascii="Times New Roman" w:hAnsi="Times New Roman"/>
          <w:color w:val="auto"/>
          <w:sz w:val="24"/>
          <w:szCs w:val="24"/>
          <w:lang w:val="lt-LT"/>
        </w:rPr>
        <w:t xml:space="preserve"> įmonės finansinių įsipareigojimų vykdymą, dividendų išmokėjimą, darbuotojų (jų </w:t>
      </w:r>
      <w:r w:rsidR="00DA00B0">
        <w:rPr>
          <w:rFonts w:ascii="Times New Roman" w:hAnsi="Times New Roman"/>
          <w:color w:val="auto"/>
          <w:sz w:val="24"/>
          <w:szCs w:val="24"/>
          <w:lang w:val="lt-LT"/>
        </w:rPr>
        <w:t>šiuo metu</w:t>
      </w:r>
      <w:r w:rsidR="00C454F8">
        <w:rPr>
          <w:rFonts w:ascii="Times New Roman" w:hAnsi="Times New Roman"/>
          <w:color w:val="auto"/>
          <w:sz w:val="24"/>
          <w:szCs w:val="24"/>
          <w:lang w:val="lt-LT"/>
        </w:rPr>
        <w:t xml:space="preserve"> yra</w:t>
      </w:r>
      <w:r w:rsidR="00C454F8">
        <w:rPr>
          <w:rFonts w:ascii="Times New Roman" w:hAnsi="Times New Roman"/>
          <w:color w:val="C00000"/>
          <w:sz w:val="24"/>
          <w:szCs w:val="24"/>
          <w:lang w:val="lt-LT"/>
        </w:rPr>
        <w:t xml:space="preserve"> </w:t>
      </w:r>
      <w:r w:rsidR="008A3806" w:rsidRPr="00D44A9E">
        <w:rPr>
          <w:rFonts w:ascii="Times New Roman" w:hAnsi="Times New Roman"/>
          <w:color w:val="000000" w:themeColor="text1"/>
          <w:sz w:val="24"/>
          <w:szCs w:val="24"/>
          <w:lang w:val="lt-LT"/>
        </w:rPr>
        <w:t>59</w:t>
      </w:r>
      <w:r w:rsidR="00C454F8">
        <w:rPr>
          <w:rFonts w:ascii="Times New Roman" w:hAnsi="Times New Roman"/>
          <w:color w:val="auto"/>
          <w:sz w:val="24"/>
          <w:szCs w:val="24"/>
          <w:lang w:val="lt-LT"/>
        </w:rPr>
        <w:t xml:space="preserve">) ir infrastruktūros išlaikymą, skatina įmonės augimą </w:t>
      </w:r>
      <w:r w:rsidR="0043687A">
        <w:rPr>
          <w:rFonts w:ascii="Times New Roman" w:hAnsi="Times New Roman"/>
          <w:color w:val="auto"/>
          <w:sz w:val="24"/>
          <w:szCs w:val="24"/>
          <w:lang w:val="lt-LT"/>
        </w:rPr>
        <w:t xml:space="preserve">ir </w:t>
      </w:r>
      <w:r w:rsidR="00C454F8">
        <w:rPr>
          <w:rFonts w:ascii="Times New Roman" w:hAnsi="Times New Roman"/>
          <w:color w:val="auto"/>
          <w:sz w:val="24"/>
          <w:szCs w:val="24"/>
          <w:lang w:val="lt-LT"/>
        </w:rPr>
        <w:t>verslo tvarumą. Vykdoma veikla reikšmingai prisideda prie visų ūkio šakų ekonomikos, turizmo skatinimo, didina valstybės žinomumą pasaulyje, skatina tarptautinį bendradarbiavimą.</w:t>
      </w:r>
    </w:p>
    <w:p w14:paraId="1003B237" w14:textId="05358240" w:rsidR="00C23156" w:rsidRPr="00AC314E" w:rsidRDefault="00C23156" w:rsidP="00D44A9E">
      <w:pPr>
        <w:tabs>
          <w:tab w:val="num" w:pos="-3969"/>
          <w:tab w:val="left" w:pos="284"/>
        </w:tabs>
        <w:ind w:firstLine="709"/>
        <w:contextualSpacing/>
        <w:jc w:val="both"/>
        <w:rPr>
          <w:u w:color="000000"/>
          <w:bdr w:val="none" w:sz="0" w:space="0" w:color="auto" w:frame="1"/>
          <w:lang w:val="lt-LT" w:eastAsia="lt-LT"/>
        </w:rPr>
      </w:pPr>
      <w:r w:rsidRPr="00D44A9E">
        <w:rPr>
          <w:u w:color="000000"/>
          <w:bdr w:val="none" w:sz="0" w:space="0" w:color="auto" w:frame="1"/>
          <w:lang w:val="lt-LT" w:eastAsia="lt-LT"/>
        </w:rPr>
        <w:t xml:space="preserve">Lietuvos Respublikos Vyriausybei priėmus </w:t>
      </w:r>
      <w:r w:rsidR="00AC314E">
        <w:rPr>
          <w:u w:color="000000"/>
          <w:bdr w:val="none" w:sz="0" w:space="0" w:color="auto" w:frame="1"/>
          <w:lang w:val="lt-LT" w:eastAsia="lt-LT"/>
        </w:rPr>
        <w:t>2020 m. kovo 14 d. nutarimą Nr. 207</w:t>
      </w:r>
      <w:r w:rsidRPr="00D44A9E">
        <w:rPr>
          <w:u w:color="000000"/>
          <w:bdr w:val="none" w:sz="0" w:space="0" w:color="auto" w:frame="1"/>
          <w:lang w:val="lt-LT" w:eastAsia="lt-LT"/>
        </w:rPr>
        <w:t xml:space="preserve"> „Dėl karantino Lietuvos Respu</w:t>
      </w:r>
      <w:r w:rsidR="004B6BE0">
        <w:rPr>
          <w:u w:color="000000"/>
          <w:bdr w:val="none" w:sz="0" w:space="0" w:color="auto" w:frame="1"/>
          <w:lang w:val="lt-LT" w:eastAsia="lt-LT"/>
        </w:rPr>
        <w:t>blikos teritorijoje paskelbimo“</w:t>
      </w:r>
      <w:r w:rsidRPr="00D44A9E">
        <w:rPr>
          <w:u w:color="000000"/>
          <w:bdr w:val="none" w:sz="0" w:space="0" w:color="auto" w:frame="1"/>
          <w:lang w:val="lt-LT" w:eastAsia="lt-LT"/>
        </w:rPr>
        <w:t xml:space="preserve"> </w:t>
      </w:r>
      <w:r w:rsidR="00AC314E">
        <w:rPr>
          <w:u w:color="000000"/>
          <w:bdr w:val="none" w:sz="0" w:space="0" w:color="auto" w:frame="1"/>
          <w:lang w:val="lt-LT" w:eastAsia="lt-LT"/>
        </w:rPr>
        <w:t xml:space="preserve">ir </w:t>
      </w:r>
      <w:r w:rsidRPr="00D44A9E">
        <w:rPr>
          <w:u w:color="000000"/>
          <w:bdr w:val="none" w:sz="0" w:space="0" w:color="auto" w:frame="1"/>
          <w:lang w:val="lt-LT" w:eastAsia="lt-LT"/>
        </w:rPr>
        <w:t>2020 m. lapkričio 4 d.</w:t>
      </w:r>
      <w:r w:rsidR="00AC314E">
        <w:rPr>
          <w:u w:color="000000"/>
          <w:bdr w:val="none" w:sz="0" w:space="0" w:color="auto" w:frame="1"/>
          <w:lang w:val="lt-LT" w:eastAsia="lt-LT"/>
        </w:rPr>
        <w:t xml:space="preserve"> n</w:t>
      </w:r>
      <w:r w:rsidRPr="00D44A9E">
        <w:rPr>
          <w:u w:color="000000"/>
          <w:bdr w:val="none" w:sz="0" w:space="0" w:color="auto" w:frame="1"/>
          <w:lang w:val="lt-LT" w:eastAsia="lt-LT"/>
        </w:rPr>
        <w:t>ut</w:t>
      </w:r>
      <w:r w:rsidR="00AC314E">
        <w:rPr>
          <w:u w:color="000000"/>
          <w:bdr w:val="none" w:sz="0" w:space="0" w:color="auto" w:frame="1"/>
          <w:lang w:val="lt-LT" w:eastAsia="lt-LT"/>
        </w:rPr>
        <w:t>arimą Nr. 1226</w:t>
      </w:r>
      <w:r w:rsidRPr="00D44A9E">
        <w:rPr>
          <w:u w:color="000000"/>
          <w:bdr w:val="none" w:sz="0" w:space="0" w:color="auto" w:frame="1"/>
          <w:lang w:val="lt-LT" w:eastAsia="lt-LT"/>
        </w:rPr>
        <w:t xml:space="preserve"> „Dėl karantino Lietuvos Respub</w:t>
      </w:r>
      <w:r w:rsidR="00AC314E">
        <w:rPr>
          <w:u w:color="000000"/>
          <w:bdr w:val="none" w:sz="0" w:space="0" w:color="auto" w:frame="1"/>
          <w:lang w:val="lt-LT" w:eastAsia="lt-LT"/>
        </w:rPr>
        <w:t xml:space="preserve">likos teritorijoje paskelbimo“ </w:t>
      </w:r>
      <w:r w:rsidRPr="00D44A9E">
        <w:rPr>
          <w:u w:color="000000"/>
          <w:bdr w:val="none" w:sz="0" w:space="0" w:color="auto" w:frame="1"/>
          <w:lang w:val="lt-LT" w:eastAsia="lt-LT"/>
        </w:rPr>
        <w:t xml:space="preserve">Bendrovės pagrindinė veikla </w:t>
      </w:r>
      <w:r>
        <w:rPr>
          <w:lang w:val="lt-LT"/>
        </w:rPr>
        <w:t>–</w:t>
      </w:r>
      <w:r w:rsidRPr="00D44A9E">
        <w:rPr>
          <w:u w:color="000000"/>
          <w:bdr w:val="none" w:sz="0" w:space="0" w:color="auto" w:frame="1"/>
          <w:lang w:val="lt-LT" w:eastAsia="lt-LT"/>
        </w:rPr>
        <w:t xml:space="preserve"> tarptautinių ir nacionalinių parodų bei konferencijų organizavimas, buvo apribota ir dėl to įmonė negavo daugiau kaip </w:t>
      </w:r>
      <w:r w:rsidRPr="00D44A9E">
        <w:rPr>
          <w:color w:val="000000"/>
          <w:u w:color="000000"/>
          <w:bdr w:val="none" w:sz="0" w:space="0" w:color="auto" w:frame="1"/>
          <w:lang w:val="lt-LT" w:eastAsia="lt-LT"/>
        </w:rPr>
        <w:t xml:space="preserve">5 mln. Eur 2020 m. planuotų pajamų, susidūrė su finansinėmis rizikomis vykdant mokestinius įsipareigojimus darbuotojams bei tiekėjams, dėl ko buvo priversta papildomai skolintis iš banko 1,5 mln. </w:t>
      </w:r>
      <w:r w:rsidRPr="009E43E6">
        <w:rPr>
          <w:color w:val="000000"/>
          <w:u w:color="000000"/>
          <w:bdr w:val="none" w:sz="0" w:space="0" w:color="auto" w:frame="1"/>
          <w:lang w:eastAsia="lt-LT"/>
        </w:rPr>
        <w:t>Eur.</w:t>
      </w:r>
    </w:p>
    <w:p w14:paraId="78D8A44B" w14:textId="0CC57194" w:rsidR="00C23156" w:rsidRPr="004B6BE0" w:rsidRDefault="00C23156" w:rsidP="00D44A9E">
      <w:pPr>
        <w:tabs>
          <w:tab w:val="num" w:pos="-3969"/>
          <w:tab w:val="left" w:pos="284"/>
        </w:tabs>
        <w:ind w:firstLine="709"/>
        <w:contextualSpacing/>
        <w:jc w:val="both"/>
        <w:rPr>
          <w:rFonts w:ascii="Trebuchet MS" w:hAnsi="Trebuchet MS"/>
          <w:color w:val="000000"/>
          <w:sz w:val="20"/>
          <w:szCs w:val="20"/>
          <w:u w:color="000000"/>
          <w:bdr w:val="none" w:sz="0" w:space="0" w:color="auto" w:frame="1"/>
          <w:lang w:val="lt-LT" w:eastAsia="lt-LT"/>
        </w:rPr>
      </w:pPr>
      <w:r w:rsidRPr="004B6BE0">
        <w:rPr>
          <w:u w:color="000000"/>
          <w:bdr w:val="none" w:sz="0" w:space="0" w:color="auto" w:frame="1"/>
          <w:lang w:val="lt-LT" w:eastAsia="lt-LT"/>
        </w:rPr>
        <w:t>„Litexpo“</w:t>
      </w:r>
      <w:r w:rsidR="004B6BE0" w:rsidRPr="004B6BE0">
        <w:rPr>
          <w:u w:color="000000"/>
          <w:bdr w:val="none" w:sz="0" w:space="0" w:color="auto" w:frame="1"/>
          <w:lang w:val="lt-LT" w:eastAsia="lt-LT"/>
        </w:rPr>
        <w:t xml:space="preserve"> </w:t>
      </w:r>
      <w:r w:rsidR="004B6BE0">
        <w:rPr>
          <w:u w:color="000000"/>
          <w:bdr w:val="none" w:sz="0" w:space="0" w:color="auto" w:frame="1"/>
          <w:lang w:val="lt-LT" w:eastAsia="lt-LT"/>
        </w:rPr>
        <w:t xml:space="preserve">2020 m. negalėjo </w:t>
      </w:r>
      <w:r w:rsidRPr="004B6BE0">
        <w:rPr>
          <w:u w:color="000000"/>
          <w:bdr w:val="none" w:sz="0" w:space="0" w:color="auto" w:frame="1"/>
          <w:lang w:val="lt-LT" w:eastAsia="lt-LT"/>
        </w:rPr>
        <w:t xml:space="preserve">organizuoti didžiausios ir pelningiausios parodos „Resta“, dėl ko negavo daugiau kaip 1,1 mln. Eur pajamų, </w:t>
      </w:r>
      <w:r w:rsidRPr="004B6BE0">
        <w:rPr>
          <w:color w:val="000000"/>
          <w:u w:color="000000"/>
          <w:bdr w:val="none" w:sz="0" w:space="0" w:color="auto" w:frame="1"/>
          <w:lang w:val="lt-LT" w:eastAsia="lt-LT"/>
        </w:rPr>
        <w:t xml:space="preserve">atšauktos kitos parodos: personalo paroda-konferencija „Motivated at work“, inžinerinės pramonės paroda „Balttechnika“, „Adventur“, „Tėvystės kodas“, „Taste.Vilnius“ ir kt. Taip pat dėl įvestų karantino ribojimų, „Litexpo“ atšaukė 2021 m. planuotas parodas „Vilniaus knygų mugė“, „Resta“, „Studijos“, „Tėvystės kodas“ ir 2021 m. negavo daugiau kaip 2 mln. Eur planuotų pajamų. Kadangi vis dar nėra žinoma kada „Litexpo“ galės vykdyti veiklą, neabejojama, jog Bendrovės nuostoliai ir negautų pajamų suma tik augs, kas gali sąlygoti įmonės nemokumą. </w:t>
      </w:r>
    </w:p>
    <w:p w14:paraId="2A23D9EB" w14:textId="77777777" w:rsidR="00C23156" w:rsidRPr="004B6BE0" w:rsidRDefault="00C23156" w:rsidP="00D44A9E">
      <w:pPr>
        <w:tabs>
          <w:tab w:val="left" w:pos="993"/>
        </w:tabs>
        <w:ind w:firstLine="709"/>
        <w:jc w:val="both"/>
        <w:rPr>
          <w:color w:val="000000"/>
          <w:lang w:val="lt-LT"/>
        </w:rPr>
      </w:pPr>
      <w:r w:rsidRPr="004B6BE0">
        <w:rPr>
          <w:color w:val="000000"/>
          <w:lang w:val="lt-LT"/>
        </w:rPr>
        <w:t>Be parodų, Litexpo negavo apie 1 mln.</w:t>
      </w:r>
      <w:r w:rsidRPr="004B6BE0">
        <w:rPr>
          <w:color w:val="FF0000"/>
          <w:lang w:val="lt-LT"/>
        </w:rPr>
        <w:t xml:space="preserve"> </w:t>
      </w:r>
      <w:r w:rsidRPr="004B6BE0">
        <w:rPr>
          <w:color w:val="000000"/>
          <w:lang w:val="lt-LT"/>
        </w:rPr>
        <w:t>Eur 2020 m. planuotų pajamų iš patalpų nuomos trečiųjų šalių organizuojamiems renginiams, kadangi daugelis planuotų renginių buvo atšaukti arba perkelti į 2021 m. rudenį, tačiau dėl vis dar besitęsiančios Covid-19 pandemijos, nėra aišku ar pavyks juos suorganizuoti.</w:t>
      </w:r>
    </w:p>
    <w:p w14:paraId="3C6BCBD6" w14:textId="665F9EF0" w:rsidR="00C23156" w:rsidRPr="004B6BE0" w:rsidRDefault="00C23156" w:rsidP="00D44A9E">
      <w:pPr>
        <w:tabs>
          <w:tab w:val="left" w:pos="993"/>
        </w:tabs>
        <w:ind w:firstLine="709"/>
        <w:jc w:val="both"/>
        <w:rPr>
          <w:color w:val="000000"/>
          <w:lang w:val="lt-LT"/>
        </w:rPr>
      </w:pPr>
      <w:r w:rsidRPr="004B6BE0">
        <w:rPr>
          <w:color w:val="000000"/>
          <w:lang w:val="lt-LT"/>
        </w:rPr>
        <w:t>Įmonė, be negautų pajamų iš pagrindinės veiklos, turi 450 tūkst. Eur finansinių įsipareigojimų, kuriuos sudaro skolos tiekėjams, SODRA, Valstybinei mokesčių inspekcijai. Taip pat, įmonė turi grąžinti parodų dalyvių sumokėtus avansus už dalyvavimą parodose, kas sudaro daugiau kaip 300 tūkst. Eur. Visus šiuos įsipareigojimus įmonė privalo įgyvendinti iki 2021 m. gruodžio 31 d.</w:t>
      </w:r>
    </w:p>
    <w:p w14:paraId="5EACF569" w14:textId="4D8F7AB8" w:rsidR="00C454F8" w:rsidRDefault="00C23156"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r w:rsidDel="00C23156">
        <w:rPr>
          <w:rFonts w:ascii="Times New Roman" w:hAnsi="Times New Roman"/>
          <w:color w:val="auto"/>
          <w:sz w:val="24"/>
          <w:szCs w:val="24"/>
          <w:lang w:val="lt-LT"/>
        </w:rPr>
        <w:t xml:space="preserve"> </w:t>
      </w:r>
      <w:r w:rsidR="00763612">
        <w:rPr>
          <w:rFonts w:ascii="Times New Roman" w:hAnsi="Times New Roman"/>
          <w:color w:val="000000" w:themeColor="text1"/>
          <w:sz w:val="24"/>
          <w:szCs w:val="24"/>
          <w:lang w:val="lt-LT"/>
        </w:rPr>
        <w:t>„</w:t>
      </w:r>
      <w:r w:rsidR="00C454F8">
        <w:rPr>
          <w:rFonts w:ascii="Times New Roman" w:hAnsi="Times New Roman"/>
          <w:color w:val="000000" w:themeColor="text1"/>
          <w:sz w:val="24"/>
          <w:szCs w:val="24"/>
          <w:lang w:val="lt-LT"/>
        </w:rPr>
        <w:t>Litexpo</w:t>
      </w:r>
      <w:r w:rsidR="00763612">
        <w:rPr>
          <w:rFonts w:ascii="Times New Roman" w:hAnsi="Times New Roman"/>
          <w:color w:val="000000" w:themeColor="text1"/>
          <w:sz w:val="24"/>
          <w:szCs w:val="24"/>
          <w:lang w:val="lt-LT"/>
        </w:rPr>
        <w:t>“</w:t>
      </w:r>
      <w:r w:rsidR="00C454F8">
        <w:rPr>
          <w:rFonts w:ascii="Times New Roman" w:hAnsi="Times New Roman"/>
          <w:color w:val="000000" w:themeColor="text1"/>
          <w:sz w:val="24"/>
          <w:szCs w:val="24"/>
          <w:lang w:val="lt-LT"/>
        </w:rPr>
        <w:t xml:space="preserve"> </w:t>
      </w:r>
      <w:r w:rsidR="00581541">
        <w:rPr>
          <w:rFonts w:ascii="Times New Roman" w:hAnsi="Times New Roman"/>
          <w:color w:val="000000" w:themeColor="text1"/>
          <w:sz w:val="24"/>
          <w:szCs w:val="24"/>
          <w:lang w:val="lt-LT"/>
        </w:rPr>
        <w:t xml:space="preserve">nuo </w:t>
      </w:r>
      <w:r w:rsidR="00C454F8">
        <w:rPr>
          <w:rFonts w:ascii="Times New Roman" w:hAnsi="Times New Roman"/>
          <w:color w:val="000000" w:themeColor="text1"/>
          <w:sz w:val="24"/>
          <w:szCs w:val="24"/>
          <w:lang w:val="lt-LT"/>
        </w:rPr>
        <w:t>202</w:t>
      </w:r>
      <w:r w:rsidR="003A557E" w:rsidRPr="00D44A9E">
        <w:rPr>
          <w:rFonts w:ascii="Times New Roman" w:hAnsi="Times New Roman"/>
          <w:color w:val="000000" w:themeColor="text1"/>
          <w:sz w:val="24"/>
          <w:szCs w:val="24"/>
          <w:lang w:val="lt-LT"/>
        </w:rPr>
        <w:t>1</w:t>
      </w:r>
      <w:r w:rsidR="00C454F8">
        <w:rPr>
          <w:rFonts w:ascii="Times New Roman" w:hAnsi="Times New Roman"/>
          <w:color w:val="000000" w:themeColor="text1"/>
          <w:sz w:val="24"/>
          <w:szCs w:val="24"/>
          <w:lang w:val="lt-LT"/>
        </w:rPr>
        <w:t xml:space="preserve"> m. </w:t>
      </w:r>
      <w:r w:rsidR="003A557E">
        <w:rPr>
          <w:rFonts w:ascii="Times New Roman" w:hAnsi="Times New Roman"/>
          <w:color w:val="000000" w:themeColor="text1"/>
          <w:sz w:val="24"/>
          <w:szCs w:val="24"/>
          <w:lang w:val="lt-LT"/>
        </w:rPr>
        <w:t>sausio</w:t>
      </w:r>
      <w:r w:rsidR="00C454F8">
        <w:rPr>
          <w:rFonts w:ascii="Times New Roman" w:hAnsi="Times New Roman"/>
          <w:color w:val="000000" w:themeColor="text1"/>
          <w:sz w:val="24"/>
          <w:szCs w:val="24"/>
          <w:lang w:val="lt-LT"/>
        </w:rPr>
        <w:t xml:space="preserve"> 1 d.</w:t>
      </w:r>
      <w:r w:rsidR="00581541">
        <w:rPr>
          <w:rFonts w:ascii="Times New Roman" w:hAnsi="Times New Roman"/>
          <w:color w:val="000000" w:themeColor="text1"/>
          <w:sz w:val="24"/>
          <w:szCs w:val="24"/>
          <w:lang w:val="lt-LT"/>
        </w:rPr>
        <w:t xml:space="preserve"> iki </w:t>
      </w:r>
      <w:r w:rsidR="00C454F8">
        <w:rPr>
          <w:rFonts w:ascii="Times New Roman" w:hAnsi="Times New Roman"/>
          <w:color w:val="000000" w:themeColor="text1"/>
          <w:sz w:val="24"/>
          <w:szCs w:val="24"/>
          <w:lang w:val="lt-LT"/>
        </w:rPr>
        <w:t>202</w:t>
      </w:r>
      <w:r w:rsidR="00844A1B">
        <w:rPr>
          <w:rFonts w:ascii="Times New Roman" w:hAnsi="Times New Roman"/>
          <w:color w:val="000000" w:themeColor="text1"/>
          <w:sz w:val="24"/>
          <w:szCs w:val="24"/>
          <w:lang w:val="lt-LT"/>
        </w:rPr>
        <w:t>1</w:t>
      </w:r>
      <w:r w:rsidR="00C454F8">
        <w:rPr>
          <w:rFonts w:ascii="Times New Roman" w:hAnsi="Times New Roman"/>
          <w:color w:val="000000" w:themeColor="text1"/>
          <w:sz w:val="24"/>
          <w:szCs w:val="24"/>
          <w:lang w:val="lt-LT"/>
        </w:rPr>
        <w:t xml:space="preserve"> m. </w:t>
      </w:r>
      <w:r w:rsidR="00844A1B">
        <w:rPr>
          <w:rFonts w:ascii="Times New Roman" w:hAnsi="Times New Roman"/>
          <w:color w:val="000000" w:themeColor="text1"/>
          <w:sz w:val="24"/>
          <w:szCs w:val="24"/>
          <w:lang w:val="lt-LT"/>
        </w:rPr>
        <w:t>rugsėjo</w:t>
      </w:r>
      <w:r w:rsidR="00C454F8">
        <w:rPr>
          <w:rFonts w:ascii="Times New Roman" w:hAnsi="Times New Roman"/>
          <w:color w:val="000000" w:themeColor="text1"/>
          <w:sz w:val="24"/>
          <w:szCs w:val="24"/>
          <w:lang w:val="lt-LT"/>
        </w:rPr>
        <w:t xml:space="preserve"> 1 d. negaus pajamų iš parodų ir renginių organizavimo</w:t>
      </w:r>
      <w:r w:rsidR="003A557E">
        <w:rPr>
          <w:rFonts w:ascii="Times New Roman" w:hAnsi="Times New Roman"/>
          <w:color w:val="000000" w:themeColor="text1"/>
          <w:sz w:val="24"/>
          <w:szCs w:val="24"/>
          <w:lang w:val="lt-LT"/>
        </w:rPr>
        <w:t xml:space="preserve"> veiklos, dėl ko, </w:t>
      </w:r>
      <w:r w:rsidR="00C454F8">
        <w:rPr>
          <w:rFonts w:ascii="Times New Roman" w:hAnsi="Times New Roman"/>
          <w:color w:val="000000" w:themeColor="text1"/>
          <w:sz w:val="24"/>
          <w:szCs w:val="24"/>
          <w:lang w:val="lt-LT"/>
        </w:rPr>
        <w:t>įmonė</w:t>
      </w:r>
      <w:r w:rsidR="003A557E">
        <w:rPr>
          <w:rFonts w:ascii="Times New Roman" w:hAnsi="Times New Roman"/>
          <w:color w:val="000000" w:themeColor="text1"/>
          <w:sz w:val="24"/>
          <w:szCs w:val="24"/>
          <w:lang w:val="lt-LT"/>
        </w:rPr>
        <w:t>,</w:t>
      </w:r>
      <w:r w:rsidR="00C454F8">
        <w:rPr>
          <w:rFonts w:ascii="Times New Roman" w:hAnsi="Times New Roman"/>
          <w:color w:val="000000" w:themeColor="text1"/>
          <w:sz w:val="24"/>
          <w:szCs w:val="24"/>
          <w:lang w:val="lt-LT"/>
        </w:rPr>
        <w:t xml:space="preserve"> </w:t>
      </w:r>
      <w:r w:rsidR="003A557E">
        <w:rPr>
          <w:rFonts w:ascii="Times New Roman" w:hAnsi="Times New Roman"/>
          <w:color w:val="000000" w:themeColor="text1"/>
          <w:sz w:val="24"/>
          <w:szCs w:val="24"/>
          <w:lang w:val="lt-LT"/>
        </w:rPr>
        <w:t xml:space="preserve">trūkstant apyvartinių lėšų einamajai veiklai palaikyti, naudoja skolintas banko lėšas „Litexpo“ jau yra panaudojusi virš </w:t>
      </w:r>
      <w:r w:rsidR="003A557E" w:rsidRPr="00D44A9E">
        <w:rPr>
          <w:rFonts w:ascii="Times New Roman" w:hAnsi="Times New Roman"/>
          <w:color w:val="000000" w:themeColor="text1"/>
          <w:sz w:val="24"/>
          <w:szCs w:val="24"/>
          <w:lang w:val="lt-LT"/>
        </w:rPr>
        <w:t>600</w:t>
      </w:r>
      <w:r w:rsidR="003A557E">
        <w:rPr>
          <w:rFonts w:ascii="Times New Roman" w:hAnsi="Times New Roman"/>
          <w:color w:val="000000" w:themeColor="text1"/>
          <w:sz w:val="24"/>
          <w:szCs w:val="24"/>
          <w:lang w:val="lt-LT"/>
        </w:rPr>
        <w:t xml:space="preserve"> tūkst. Eur banko paskolos, o lėšų trūkumą planuoja jau </w:t>
      </w:r>
      <w:r w:rsidR="003A557E" w:rsidRPr="00C92B41">
        <w:rPr>
          <w:rFonts w:ascii="Times New Roman" w:hAnsi="Times New Roman"/>
          <w:color w:val="000000" w:themeColor="text1"/>
          <w:sz w:val="24"/>
          <w:szCs w:val="24"/>
          <w:lang w:val="lt-LT"/>
        </w:rPr>
        <w:t xml:space="preserve">rugsėjo </w:t>
      </w:r>
      <w:r w:rsidR="003A557E">
        <w:rPr>
          <w:rFonts w:ascii="Times New Roman" w:hAnsi="Times New Roman"/>
          <w:color w:val="000000" w:themeColor="text1"/>
          <w:sz w:val="24"/>
          <w:szCs w:val="24"/>
          <w:lang w:val="lt-LT"/>
        </w:rPr>
        <w:t xml:space="preserve">mėn. </w:t>
      </w:r>
    </w:p>
    <w:p w14:paraId="4E18AD2F" w14:textId="77777777" w:rsidR="00D44A9E" w:rsidRDefault="00D44A9E"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26D51574" w14:textId="77777777" w:rsidR="00D44A9E" w:rsidRDefault="00D44A9E"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0056B22A" w14:textId="7C84F160" w:rsidR="00D44A9E" w:rsidRDefault="00D44A9E"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132CF21A" w14:textId="02ABB266" w:rsidR="009210D2" w:rsidRDefault="009210D2"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0FE7A4BC" w14:textId="187AE98F" w:rsidR="009210D2" w:rsidRDefault="009210D2"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3E5ECDD8" w14:textId="77777777" w:rsidR="009210D2" w:rsidRDefault="009210D2"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689C5682" w14:textId="77777777" w:rsidR="00D44A9E" w:rsidRDefault="00D44A9E"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0DE838FC" w14:textId="77777777" w:rsidR="00D44A9E" w:rsidRDefault="00D44A9E"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7F41B7FF" w14:textId="77777777" w:rsidR="00D44A9E" w:rsidRDefault="00D44A9E"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2EE4B570" w14:textId="77777777" w:rsidR="00D44A9E" w:rsidRDefault="00D44A9E"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2C4FAE10" w14:textId="2117F37D" w:rsidR="00C454F8" w:rsidRDefault="00763612"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r>
        <w:rPr>
          <w:rFonts w:ascii="Times New Roman" w:hAnsi="Times New Roman"/>
          <w:color w:val="auto"/>
          <w:sz w:val="24"/>
          <w:szCs w:val="24"/>
          <w:lang w:val="lt-LT"/>
        </w:rPr>
        <w:lastRenderedPageBreak/>
        <w:t>„</w:t>
      </w:r>
      <w:r w:rsidR="00C454F8">
        <w:rPr>
          <w:rFonts w:ascii="Times New Roman" w:hAnsi="Times New Roman"/>
          <w:color w:val="auto"/>
          <w:sz w:val="24"/>
          <w:szCs w:val="24"/>
          <w:lang w:val="lt-LT"/>
        </w:rPr>
        <w:t>Litexpo</w:t>
      </w:r>
      <w:r>
        <w:rPr>
          <w:rFonts w:ascii="Times New Roman" w:hAnsi="Times New Roman"/>
          <w:color w:val="auto"/>
          <w:sz w:val="24"/>
          <w:szCs w:val="24"/>
          <w:lang w:val="lt-LT"/>
        </w:rPr>
        <w:t>“</w:t>
      </w:r>
      <w:r w:rsidR="00C454F8">
        <w:rPr>
          <w:rFonts w:ascii="Times New Roman" w:hAnsi="Times New Roman"/>
          <w:color w:val="auto"/>
          <w:sz w:val="24"/>
          <w:szCs w:val="24"/>
          <w:lang w:val="lt-LT"/>
        </w:rPr>
        <w:t xml:space="preserve"> EBITDA ir pajamų pokytis dėl atšauktų ir perkeltų renginių 2020 m.:</w:t>
      </w:r>
    </w:p>
    <w:p w14:paraId="1B348CFA" w14:textId="07675CA3" w:rsidR="00C454F8" w:rsidRPr="00C454F8" w:rsidRDefault="00C454F8" w:rsidP="00844A1B">
      <w:pPr>
        <w:pStyle w:val="AAAAAAAAAAAAAAAa"/>
        <w:numPr>
          <w:ilvl w:val="0"/>
          <w:numId w:val="0"/>
        </w:numPr>
        <w:tabs>
          <w:tab w:val="num" w:pos="-3969"/>
          <w:tab w:val="left" w:pos="284"/>
        </w:tabs>
        <w:spacing w:line="276" w:lineRule="auto"/>
        <w:jc w:val="both"/>
        <w:rPr>
          <w:rFonts w:ascii="Times New Roman" w:hAnsi="Times New Roman"/>
          <w:color w:val="auto"/>
          <w:sz w:val="24"/>
          <w:szCs w:val="24"/>
          <w:lang w:val="lt-LT"/>
        </w:rPr>
      </w:pPr>
    </w:p>
    <w:p w14:paraId="4A111415" w14:textId="64DC1FB0" w:rsidR="00C454F8" w:rsidRPr="00C454F8" w:rsidRDefault="00844A1B"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r>
        <w:rPr>
          <w:noProof/>
          <w:lang w:val="lt-LT"/>
        </w:rPr>
        <w:drawing>
          <wp:inline distT="0" distB="0" distL="0" distR="0" wp14:anchorId="6BB8A05D" wp14:editId="0BB84525">
            <wp:extent cx="4792133" cy="5181600"/>
            <wp:effectExtent l="0" t="0" r="8890" b="12700"/>
            <wp:docPr id="8" name="Diagrama 8">
              <a:extLst xmlns:a="http://schemas.openxmlformats.org/drawingml/2006/main">
                <a:ext uri="{FF2B5EF4-FFF2-40B4-BE49-F238E27FC236}">
                  <a16:creationId xmlns:a16="http://schemas.microsoft.com/office/drawing/2014/main" id="{00000000-0008-0000-0B00-00000A000000}"/>
                </a:ext>
              </a:extLst>
            </wp:docPr>
            <wp:cNvGraphicFramePr/>
            <a:graphic xmlns:a="http://schemas.openxmlformats.org/drawingml/2006/main">
              <a:graphicData uri="http://schemas.openxmlformats.org/drawingml/2006/chart">
                <c:chart xmlns:c="http://schemas.openxmlformats.org/drawingml/2006/chart" r:id="rId8"/>
              </a:graphicData>
            </a:graphic>
          </wp:inline>
        </w:drawing>
      </w:r>
    </w:p>
    <w:p w14:paraId="6C9A6FF2" w14:textId="77777777" w:rsidR="00844A1B" w:rsidRPr="00C454F8" w:rsidRDefault="00844A1B" w:rsidP="00844A1B">
      <w:pPr>
        <w:pStyle w:val="AAAAAAAAAAAAAAAa"/>
        <w:numPr>
          <w:ilvl w:val="0"/>
          <w:numId w:val="0"/>
        </w:numPr>
        <w:tabs>
          <w:tab w:val="num" w:pos="-3969"/>
          <w:tab w:val="left" w:pos="284"/>
        </w:tabs>
        <w:spacing w:line="276" w:lineRule="auto"/>
        <w:jc w:val="both"/>
        <w:rPr>
          <w:rFonts w:ascii="Times New Roman" w:hAnsi="Times New Roman"/>
          <w:color w:val="auto"/>
          <w:sz w:val="24"/>
          <w:szCs w:val="24"/>
          <w:lang w:val="lt-LT"/>
        </w:rPr>
      </w:pPr>
    </w:p>
    <w:p w14:paraId="0028B66F" w14:textId="77777777" w:rsidR="00C454F8" w:rsidRDefault="00C454F8"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34EB6065" w14:textId="31229D1B" w:rsidR="00C454F8" w:rsidRDefault="00844A1B"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r>
        <w:rPr>
          <w:noProof/>
          <w:lang w:val="lt-LT"/>
        </w:rPr>
        <w:drawing>
          <wp:inline distT="0" distB="0" distL="0" distR="0" wp14:anchorId="17F1F133" wp14:editId="374142CE">
            <wp:extent cx="5135336" cy="2147207"/>
            <wp:effectExtent l="0" t="0" r="8255" b="12065"/>
            <wp:docPr id="10" name="Diagrama 10">
              <a:extLst xmlns:a="http://schemas.openxmlformats.org/drawingml/2006/main">
                <a:ext uri="{FF2B5EF4-FFF2-40B4-BE49-F238E27FC236}">
                  <a16:creationId xmlns:a16="http://schemas.microsoft.com/office/drawing/2014/main" id="{00000000-0008-0000-0B00-000017000000}"/>
                </a:ext>
              </a:extLst>
            </wp:docPr>
            <wp:cNvGraphicFramePr/>
            <a:graphic xmlns:a="http://schemas.openxmlformats.org/drawingml/2006/main">
              <a:graphicData uri="http://schemas.openxmlformats.org/drawingml/2006/chart">
                <c:chart xmlns:c="http://schemas.openxmlformats.org/drawingml/2006/chart" r:id="rId9"/>
              </a:graphicData>
            </a:graphic>
          </wp:inline>
        </w:drawing>
      </w:r>
    </w:p>
    <w:p w14:paraId="44DDD2A4" w14:textId="77777777" w:rsidR="00C454F8" w:rsidRDefault="00C454F8"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0CE6BE8A" w14:textId="77777777" w:rsidR="00C454F8" w:rsidRPr="00C454F8" w:rsidRDefault="00C454F8"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0B286943" w14:textId="77777777" w:rsidR="00C454F8" w:rsidRPr="00C454F8" w:rsidRDefault="00C454F8"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285ADA80" w14:textId="77777777" w:rsidR="00C454F8" w:rsidRPr="00C454F8" w:rsidRDefault="00C454F8"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407D2BF4" w14:textId="77777777" w:rsidR="00C454F8" w:rsidRPr="00C454F8" w:rsidRDefault="00C454F8"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3AB16257" w14:textId="77777777" w:rsidR="0006340B" w:rsidRDefault="0006340B" w:rsidP="00C23156">
      <w:pPr>
        <w:pStyle w:val="AAAAAAAAAAAAAAAa"/>
        <w:numPr>
          <w:ilvl w:val="0"/>
          <w:numId w:val="0"/>
        </w:numPr>
        <w:tabs>
          <w:tab w:val="num" w:pos="-3969"/>
          <w:tab w:val="left" w:pos="284"/>
        </w:tabs>
        <w:spacing w:line="276" w:lineRule="auto"/>
        <w:ind w:firstLine="709"/>
        <w:jc w:val="both"/>
        <w:rPr>
          <w:rFonts w:ascii="Times New Roman" w:hAnsi="Times New Roman"/>
          <w:color w:val="auto"/>
          <w:sz w:val="24"/>
          <w:szCs w:val="24"/>
          <w:lang w:val="lt-LT"/>
        </w:rPr>
      </w:pPr>
    </w:p>
    <w:p w14:paraId="2CD37149" w14:textId="13A639B8" w:rsidR="004B60A4" w:rsidRPr="00D44A9E" w:rsidRDefault="0006340B" w:rsidP="004B60A4">
      <w:pPr>
        <w:jc w:val="both"/>
        <w:rPr>
          <w:color w:val="000000" w:themeColor="text1"/>
          <w:sz w:val="22"/>
          <w:szCs w:val="22"/>
          <w:lang w:val="lt-LT"/>
        </w:rPr>
      </w:pPr>
      <w:r w:rsidRPr="004B60A4">
        <w:rPr>
          <w:color w:val="000000" w:themeColor="text1"/>
          <w:lang w:val="lt-LT"/>
        </w:rPr>
        <w:t>Šiuo metu</w:t>
      </w:r>
      <w:r w:rsidR="00C454F8" w:rsidRPr="004B60A4">
        <w:rPr>
          <w:color w:val="000000" w:themeColor="text1"/>
          <w:lang w:val="lt-LT"/>
        </w:rPr>
        <w:t xml:space="preserve"> </w:t>
      </w:r>
      <w:r w:rsidR="00763612" w:rsidRPr="004B60A4">
        <w:rPr>
          <w:color w:val="000000" w:themeColor="text1"/>
          <w:lang w:val="lt-LT"/>
        </w:rPr>
        <w:t>„</w:t>
      </w:r>
      <w:r w:rsidR="00C454F8" w:rsidRPr="004B60A4">
        <w:rPr>
          <w:color w:val="000000" w:themeColor="text1"/>
          <w:lang w:val="lt-LT"/>
        </w:rPr>
        <w:t>Litexpo</w:t>
      </w:r>
      <w:r w:rsidR="00763612" w:rsidRPr="004B60A4">
        <w:rPr>
          <w:color w:val="000000" w:themeColor="text1"/>
          <w:lang w:val="lt-LT"/>
        </w:rPr>
        <w:t>“</w:t>
      </w:r>
      <w:r w:rsidR="00C454F8" w:rsidRPr="004B60A4">
        <w:rPr>
          <w:color w:val="000000" w:themeColor="text1"/>
          <w:lang w:val="lt-LT"/>
        </w:rPr>
        <w:t xml:space="preserve"> turimi finansiniai įsipareigojimai iki 202</w:t>
      </w:r>
      <w:r w:rsidR="004B60A4" w:rsidRPr="004B60A4">
        <w:rPr>
          <w:color w:val="000000" w:themeColor="text1"/>
          <w:lang w:val="lt-LT"/>
        </w:rPr>
        <w:t>1</w:t>
      </w:r>
      <w:r w:rsidR="00C454F8" w:rsidRPr="004B60A4">
        <w:rPr>
          <w:color w:val="000000" w:themeColor="text1"/>
          <w:lang w:val="lt-LT"/>
        </w:rPr>
        <w:t xml:space="preserve"> m. </w:t>
      </w:r>
      <w:r w:rsidR="004B60A4" w:rsidRPr="004B60A4">
        <w:rPr>
          <w:color w:val="000000" w:themeColor="text1"/>
          <w:lang w:val="lt-LT"/>
        </w:rPr>
        <w:t>kovo</w:t>
      </w:r>
      <w:r w:rsidR="00C454F8" w:rsidRPr="004B60A4">
        <w:rPr>
          <w:color w:val="000000" w:themeColor="text1"/>
          <w:lang w:val="lt-LT"/>
        </w:rPr>
        <w:t xml:space="preserve"> 31 d. sudaro </w:t>
      </w:r>
      <w:r w:rsidR="004B60A4" w:rsidRPr="00D44A9E">
        <w:rPr>
          <w:color w:val="000000" w:themeColor="text1"/>
          <w:sz w:val="22"/>
          <w:szCs w:val="22"/>
          <w:lang w:val="lt-LT"/>
        </w:rPr>
        <w:t>5 934 722</w:t>
      </w:r>
      <w:r w:rsidR="00C454F8" w:rsidRPr="004B60A4">
        <w:rPr>
          <w:color w:val="000000" w:themeColor="text1"/>
          <w:lang w:val="lt-LT"/>
        </w:rPr>
        <w:t xml:space="preserve"> Eur:</w:t>
      </w:r>
    </w:p>
    <w:p w14:paraId="120637A0" w14:textId="3B3225A9" w:rsidR="004B60A4" w:rsidRDefault="004B60A4" w:rsidP="004B60A4">
      <w:pPr>
        <w:pStyle w:val="AAAAAAAAAAAAAAAa"/>
        <w:numPr>
          <w:ilvl w:val="0"/>
          <w:numId w:val="0"/>
        </w:numPr>
        <w:tabs>
          <w:tab w:val="num" w:pos="-3969"/>
          <w:tab w:val="left" w:pos="284"/>
        </w:tabs>
        <w:spacing w:line="276" w:lineRule="auto"/>
        <w:jc w:val="both"/>
        <w:rPr>
          <w:rFonts w:ascii="Times New Roman" w:hAnsi="Times New Roman"/>
          <w:color w:val="FF0000"/>
          <w:sz w:val="24"/>
          <w:szCs w:val="24"/>
          <w:lang w:val="lt-LT"/>
        </w:rPr>
      </w:pPr>
      <w:r>
        <w:rPr>
          <w:noProof/>
          <w:lang w:val="lt-LT"/>
        </w:rPr>
        <w:drawing>
          <wp:anchor distT="0" distB="0" distL="114300" distR="114300" simplePos="0" relativeHeight="251658240" behindDoc="0" locked="0" layoutInCell="1" allowOverlap="1" wp14:anchorId="6F09D7C0" wp14:editId="1FE66644">
            <wp:simplePos x="0" y="0"/>
            <wp:positionH relativeFrom="column">
              <wp:posOffset>376555</wp:posOffset>
            </wp:positionH>
            <wp:positionV relativeFrom="paragraph">
              <wp:posOffset>176741</wp:posOffset>
            </wp:positionV>
            <wp:extent cx="5367866" cy="3266501"/>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367866" cy="3266501"/>
                    </a:xfrm>
                    <a:prstGeom prst="rect">
                      <a:avLst/>
                    </a:prstGeom>
                  </pic:spPr>
                </pic:pic>
              </a:graphicData>
            </a:graphic>
            <wp14:sizeRelH relativeFrom="page">
              <wp14:pctWidth>0</wp14:pctWidth>
            </wp14:sizeRelH>
            <wp14:sizeRelV relativeFrom="page">
              <wp14:pctHeight>0</wp14:pctHeight>
            </wp14:sizeRelV>
          </wp:anchor>
        </w:drawing>
      </w:r>
    </w:p>
    <w:p w14:paraId="320DD1AF" w14:textId="0129C9DF"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330A8268" w14:textId="7377FA16"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7F0D975D" w14:textId="76CFD659"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650F6F81" w14:textId="77777777"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4BB50873" w14:textId="589BB523"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7E047381" w14:textId="77777777"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494D4FDF" w14:textId="6445B9B6"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6BBE107E" w14:textId="77777777"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0A713E92" w14:textId="77777777"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26FF1B25" w14:textId="77777777"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454D47D9" w14:textId="77777777"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24A81470" w14:textId="61033B82"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21CA0777" w14:textId="77777777"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661FCE14" w14:textId="77777777"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285C165C" w14:textId="77777777"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09FC3CFD" w14:textId="77777777"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5101A535" w14:textId="77777777"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64FDD7A0" w14:textId="77777777" w:rsidR="004B60A4" w:rsidRDefault="004B60A4" w:rsidP="00C23156">
      <w:pPr>
        <w:pStyle w:val="AAAAAAAAAAAAAAAa"/>
        <w:numPr>
          <w:ilvl w:val="0"/>
          <w:numId w:val="0"/>
        </w:numPr>
        <w:tabs>
          <w:tab w:val="num" w:pos="-3969"/>
          <w:tab w:val="left" w:pos="284"/>
        </w:tabs>
        <w:spacing w:line="276" w:lineRule="auto"/>
        <w:ind w:firstLine="709"/>
        <w:jc w:val="both"/>
        <w:rPr>
          <w:rFonts w:ascii="Times New Roman" w:hAnsi="Times New Roman"/>
          <w:color w:val="FF0000"/>
          <w:sz w:val="24"/>
          <w:szCs w:val="24"/>
          <w:lang w:val="lt-LT"/>
        </w:rPr>
      </w:pPr>
    </w:p>
    <w:p w14:paraId="02B5092B" w14:textId="0C2B9911" w:rsidR="00C454F8" w:rsidRPr="004B60A4" w:rsidRDefault="00C454F8" w:rsidP="009210D2">
      <w:pPr>
        <w:pStyle w:val="AAAAAAAAAAAAAAAa"/>
        <w:numPr>
          <w:ilvl w:val="0"/>
          <w:numId w:val="0"/>
        </w:numPr>
        <w:tabs>
          <w:tab w:val="num" w:pos="-3969"/>
          <w:tab w:val="left" w:pos="284"/>
        </w:tabs>
        <w:ind w:firstLine="709"/>
        <w:jc w:val="both"/>
        <w:rPr>
          <w:rFonts w:ascii="Times New Roman" w:hAnsi="Times New Roman"/>
          <w:color w:val="000000" w:themeColor="text1"/>
          <w:sz w:val="24"/>
          <w:szCs w:val="24"/>
          <w:lang w:val="lt-LT"/>
        </w:rPr>
      </w:pPr>
      <w:r w:rsidRPr="004B60A4">
        <w:rPr>
          <w:rFonts w:ascii="Times New Roman" w:hAnsi="Times New Roman"/>
          <w:color w:val="000000" w:themeColor="text1"/>
          <w:sz w:val="24"/>
          <w:szCs w:val="24"/>
          <w:lang w:val="lt-LT"/>
        </w:rPr>
        <w:t>Kadangi nėra žinoma</w:t>
      </w:r>
      <w:r w:rsidR="00AE0D4C" w:rsidRPr="004B60A4">
        <w:rPr>
          <w:rFonts w:ascii="Times New Roman" w:hAnsi="Times New Roman"/>
          <w:color w:val="000000" w:themeColor="text1"/>
          <w:sz w:val="24"/>
          <w:szCs w:val="24"/>
          <w:lang w:val="lt-LT"/>
        </w:rPr>
        <w:t>, kiek</w:t>
      </w:r>
      <w:r w:rsidRPr="004B60A4">
        <w:rPr>
          <w:rFonts w:ascii="Times New Roman" w:hAnsi="Times New Roman"/>
          <w:color w:val="000000" w:themeColor="text1"/>
          <w:sz w:val="24"/>
          <w:szCs w:val="24"/>
          <w:lang w:val="lt-LT"/>
        </w:rPr>
        <w:t xml:space="preserve"> laiko truks renginių ir susibūrimų draudimas, </w:t>
      </w:r>
      <w:r w:rsidR="00763612" w:rsidRPr="004B60A4">
        <w:rPr>
          <w:rFonts w:ascii="Times New Roman" w:hAnsi="Times New Roman"/>
          <w:color w:val="000000" w:themeColor="text1"/>
          <w:sz w:val="24"/>
          <w:szCs w:val="24"/>
          <w:lang w:val="lt-LT"/>
        </w:rPr>
        <w:t>„</w:t>
      </w:r>
      <w:r w:rsidRPr="004B60A4">
        <w:rPr>
          <w:rFonts w:ascii="Times New Roman" w:hAnsi="Times New Roman"/>
          <w:color w:val="000000" w:themeColor="text1"/>
          <w:sz w:val="24"/>
          <w:szCs w:val="24"/>
          <w:lang w:val="lt-LT"/>
        </w:rPr>
        <w:t>Litexpo</w:t>
      </w:r>
      <w:r w:rsidR="00763612" w:rsidRPr="004B60A4">
        <w:rPr>
          <w:rFonts w:ascii="Times New Roman" w:hAnsi="Times New Roman"/>
          <w:color w:val="000000" w:themeColor="text1"/>
          <w:sz w:val="24"/>
          <w:szCs w:val="24"/>
          <w:lang w:val="lt-LT"/>
        </w:rPr>
        <w:t>“</w:t>
      </w:r>
      <w:r w:rsidRPr="004B60A4">
        <w:rPr>
          <w:rFonts w:ascii="Times New Roman" w:hAnsi="Times New Roman"/>
          <w:color w:val="000000" w:themeColor="text1"/>
          <w:sz w:val="24"/>
          <w:szCs w:val="24"/>
          <w:lang w:val="lt-LT"/>
        </w:rPr>
        <w:t xml:space="preserve"> negali prognozuoti</w:t>
      </w:r>
      <w:r w:rsidR="00130CC3" w:rsidRPr="004B60A4">
        <w:rPr>
          <w:rFonts w:ascii="Times New Roman" w:hAnsi="Times New Roman"/>
          <w:color w:val="000000" w:themeColor="text1"/>
          <w:sz w:val="24"/>
          <w:szCs w:val="24"/>
          <w:lang w:val="lt-LT"/>
        </w:rPr>
        <w:t>,</w:t>
      </w:r>
      <w:r w:rsidRPr="004B60A4">
        <w:rPr>
          <w:rFonts w:ascii="Times New Roman" w:hAnsi="Times New Roman"/>
          <w:color w:val="000000" w:themeColor="text1"/>
          <w:sz w:val="24"/>
          <w:szCs w:val="24"/>
          <w:lang w:val="lt-LT"/>
        </w:rPr>
        <w:t xml:space="preserve"> kada stabilizuosis veikla ir kada bus užtikrinamas pajamų </w:t>
      </w:r>
      <w:r w:rsidR="00A23F61" w:rsidRPr="004B60A4">
        <w:rPr>
          <w:rFonts w:ascii="Times New Roman" w:hAnsi="Times New Roman"/>
          <w:color w:val="000000" w:themeColor="text1"/>
          <w:sz w:val="24"/>
          <w:szCs w:val="24"/>
          <w:lang w:val="lt-LT"/>
        </w:rPr>
        <w:t>gavimas</w:t>
      </w:r>
      <w:r w:rsidRPr="004B60A4">
        <w:rPr>
          <w:rFonts w:ascii="Times New Roman" w:hAnsi="Times New Roman"/>
          <w:color w:val="000000" w:themeColor="text1"/>
          <w:sz w:val="24"/>
          <w:szCs w:val="24"/>
          <w:lang w:val="lt-LT"/>
        </w:rPr>
        <w:t xml:space="preserve">. </w:t>
      </w:r>
      <w:r w:rsidR="00ED0C90" w:rsidRPr="004B60A4">
        <w:rPr>
          <w:rFonts w:ascii="Times New Roman" w:hAnsi="Times New Roman"/>
          <w:color w:val="000000" w:themeColor="text1"/>
          <w:sz w:val="24"/>
          <w:szCs w:val="24"/>
          <w:lang w:val="lt-LT"/>
        </w:rPr>
        <w:t>Šiuo metu</w:t>
      </w:r>
      <w:r w:rsidRPr="004B60A4">
        <w:rPr>
          <w:rFonts w:ascii="Times New Roman" w:hAnsi="Times New Roman"/>
          <w:color w:val="000000" w:themeColor="text1"/>
          <w:sz w:val="24"/>
          <w:szCs w:val="24"/>
          <w:lang w:val="lt-LT"/>
        </w:rPr>
        <w:t xml:space="preserve"> įmonė banko sąskaitoje</w:t>
      </w:r>
      <w:r w:rsidR="004B60A4" w:rsidRPr="004B60A4">
        <w:rPr>
          <w:rFonts w:ascii="Times New Roman" w:hAnsi="Times New Roman"/>
          <w:color w:val="000000" w:themeColor="text1"/>
          <w:sz w:val="24"/>
          <w:szCs w:val="24"/>
          <w:lang w:val="lt-LT"/>
        </w:rPr>
        <w:t xml:space="preserve"> nuosavų lėšų neturi, įmonės veiklai vykdyti naudojamos iš banko skolintos lėšos.</w:t>
      </w:r>
    </w:p>
    <w:p w14:paraId="762D5F4E" w14:textId="6C8F9752" w:rsidR="00C454F8" w:rsidRPr="00C454F8" w:rsidRDefault="00C454F8" w:rsidP="009210D2">
      <w:pPr>
        <w:pStyle w:val="AAAAAAAAAAAAAAAa"/>
        <w:numPr>
          <w:ilvl w:val="0"/>
          <w:numId w:val="0"/>
        </w:numPr>
        <w:tabs>
          <w:tab w:val="num" w:pos="-3969"/>
          <w:tab w:val="left" w:pos="284"/>
        </w:tabs>
        <w:ind w:firstLine="709"/>
        <w:jc w:val="both"/>
        <w:rPr>
          <w:rFonts w:ascii="Times New Roman" w:hAnsi="Times New Roman"/>
          <w:color w:val="auto"/>
          <w:sz w:val="24"/>
          <w:szCs w:val="24"/>
          <w:lang w:val="lt-LT"/>
        </w:rPr>
      </w:pPr>
    </w:p>
    <w:p w14:paraId="45AE2561" w14:textId="77777777" w:rsidR="00C454F8" w:rsidRPr="00C454F8" w:rsidRDefault="00C454F8" w:rsidP="009210D2">
      <w:pPr>
        <w:ind w:firstLine="709"/>
        <w:jc w:val="both"/>
        <w:rPr>
          <w:i/>
          <w:lang w:val="lt-LT"/>
        </w:rPr>
      </w:pPr>
      <w:r w:rsidRPr="00C454F8">
        <w:rPr>
          <w:bCs/>
          <w:lang w:val="lt-LT"/>
        </w:rPr>
        <w:t xml:space="preserve">Siekiant sumažinti </w:t>
      </w:r>
      <w:r w:rsidR="00763612">
        <w:rPr>
          <w:bCs/>
          <w:lang w:val="lt-LT"/>
        </w:rPr>
        <w:t>„</w:t>
      </w:r>
      <w:r w:rsidRPr="00C454F8">
        <w:rPr>
          <w:bCs/>
          <w:lang w:val="lt-LT"/>
        </w:rPr>
        <w:t>Litexpo</w:t>
      </w:r>
      <w:r w:rsidR="00763612">
        <w:rPr>
          <w:bCs/>
          <w:lang w:val="lt-LT"/>
        </w:rPr>
        <w:t>“</w:t>
      </w:r>
      <w:r w:rsidRPr="00C454F8">
        <w:rPr>
          <w:bCs/>
          <w:lang w:val="lt-LT"/>
        </w:rPr>
        <w:t xml:space="preserve"> </w:t>
      </w:r>
      <w:r w:rsidR="0011531B">
        <w:rPr>
          <w:bCs/>
          <w:lang w:val="lt-LT"/>
        </w:rPr>
        <w:t>dėl</w:t>
      </w:r>
      <w:r w:rsidR="0011531B" w:rsidRPr="00C454F8">
        <w:rPr>
          <w:bCs/>
          <w:lang w:val="lt-LT"/>
        </w:rPr>
        <w:t xml:space="preserve"> </w:t>
      </w:r>
      <w:r w:rsidRPr="00C454F8">
        <w:rPr>
          <w:bCs/>
          <w:lang w:val="lt-LT"/>
        </w:rPr>
        <w:t>C</w:t>
      </w:r>
      <w:r w:rsidRPr="00C454F8">
        <w:rPr>
          <w:lang w:val="lt-LT"/>
        </w:rPr>
        <w:t xml:space="preserve">OVID-19 (koronaviruso infekcijos) paskelbto karantino metu taikomo </w:t>
      </w:r>
      <w:r w:rsidRPr="00C454F8">
        <w:rPr>
          <w:color w:val="000000"/>
          <w:lang w:val="lt-LT"/>
        </w:rPr>
        <w:t xml:space="preserve">visų atvirose ir uždarose erdvėse organizuojamų renginių bei susibūrimų </w:t>
      </w:r>
      <w:r w:rsidRPr="00C454F8">
        <w:rPr>
          <w:lang w:val="lt-LT"/>
        </w:rPr>
        <w:t xml:space="preserve">draudimo patiriamas neigiamas pasekmes, </w:t>
      </w:r>
      <w:r w:rsidR="00F2740C" w:rsidRPr="00DD5F69">
        <w:rPr>
          <w:lang w:val="lt-LT"/>
        </w:rPr>
        <w:t>Nutarime</w:t>
      </w:r>
      <w:r w:rsidRPr="00DD5F69">
        <w:rPr>
          <w:lang w:val="lt-LT"/>
        </w:rPr>
        <w:t xml:space="preserve"> numatoma galimybė, esant situacijai, </w:t>
      </w:r>
      <w:r w:rsidR="00192741">
        <w:rPr>
          <w:lang w:val="lt-LT"/>
        </w:rPr>
        <w:t>kai</w:t>
      </w:r>
      <w:r w:rsidR="00192741" w:rsidRPr="00DD5F69">
        <w:rPr>
          <w:lang w:val="lt-LT"/>
        </w:rPr>
        <w:t xml:space="preserve"> </w:t>
      </w:r>
      <w:r w:rsidRPr="00DD5F69">
        <w:rPr>
          <w:lang w:val="lt-LT"/>
        </w:rPr>
        <w:t xml:space="preserve">įmonė gali būti nemoki, </w:t>
      </w:r>
      <w:r w:rsidR="00F2740C" w:rsidRPr="00DD5F69">
        <w:rPr>
          <w:lang w:val="lt-LT"/>
        </w:rPr>
        <w:t>sumažinti</w:t>
      </w:r>
      <w:r w:rsidRPr="00DD5F69">
        <w:rPr>
          <w:lang w:val="lt-LT"/>
        </w:rPr>
        <w:t xml:space="preserve"> </w:t>
      </w:r>
      <w:r w:rsidR="00F2740C" w:rsidRPr="00DD5F69">
        <w:rPr>
          <w:lang w:val="lt-LT"/>
        </w:rPr>
        <w:t>dividendams</w:t>
      </w:r>
      <w:r w:rsidRPr="00DD5F69">
        <w:rPr>
          <w:lang w:val="lt-LT"/>
        </w:rPr>
        <w:t xml:space="preserve"> </w:t>
      </w:r>
      <w:r w:rsidR="00F2740C" w:rsidRPr="00DD5F69">
        <w:rPr>
          <w:lang w:val="lt-LT"/>
        </w:rPr>
        <w:t>skiriamą pelno dalį</w:t>
      </w:r>
      <w:r w:rsidRPr="00DD5F69">
        <w:rPr>
          <w:lang w:val="lt-LT"/>
        </w:rPr>
        <w:t>.</w:t>
      </w:r>
    </w:p>
    <w:p w14:paraId="44DCD653" w14:textId="77777777" w:rsidR="00AE00F4" w:rsidRPr="00C454F8" w:rsidRDefault="00AE00F4" w:rsidP="00C23156">
      <w:pPr>
        <w:spacing w:line="276" w:lineRule="auto"/>
        <w:rPr>
          <w:lang w:val="lt-LT"/>
        </w:rPr>
      </w:pPr>
    </w:p>
    <w:sectPr w:rsidR="00AE00F4" w:rsidRPr="00C454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833E6"/>
    <w:multiLevelType w:val="multilevel"/>
    <w:tmpl w:val="B1F8F7BA"/>
    <w:styleLink w:val="List0"/>
    <w:lvl w:ilvl="0">
      <w:start w:val="1"/>
      <w:numFmt w:val="decimal"/>
      <w:pStyle w:val="AAAAAAAAAAAAAAAa"/>
      <w:lvlText w:val="%1."/>
      <w:lvlJc w:val="left"/>
      <w:pPr>
        <w:tabs>
          <w:tab w:val="num" w:pos="928"/>
        </w:tabs>
        <w:ind w:left="928" w:hanging="928"/>
      </w:pPr>
      <w:rPr>
        <w:color w:val="000000"/>
        <w:position w:val="0"/>
        <w:sz w:val="22"/>
        <w:szCs w:val="22"/>
        <w:u w:color="000000"/>
        <w:lang w:val="en-US"/>
      </w:rPr>
    </w:lvl>
    <w:lvl w:ilvl="1">
      <w:start w:val="1"/>
      <w:numFmt w:val="lowerLetter"/>
      <w:lvlText w:val="%2."/>
      <w:lvlJc w:val="left"/>
      <w:pPr>
        <w:tabs>
          <w:tab w:val="num" w:pos="1933"/>
        </w:tabs>
        <w:ind w:left="1933" w:hanging="303"/>
      </w:pPr>
      <w:rPr>
        <w:color w:val="000000"/>
        <w:position w:val="0"/>
        <w:sz w:val="22"/>
        <w:szCs w:val="22"/>
        <w:u w:color="000000"/>
        <w:lang w:val="en-US"/>
      </w:rPr>
    </w:lvl>
    <w:lvl w:ilvl="2">
      <w:start w:val="1"/>
      <w:numFmt w:val="lowerRoman"/>
      <w:lvlText w:val="%3."/>
      <w:lvlJc w:val="left"/>
      <w:pPr>
        <w:tabs>
          <w:tab w:val="num" w:pos="2657"/>
        </w:tabs>
        <w:ind w:left="2657" w:hanging="248"/>
      </w:pPr>
      <w:rPr>
        <w:color w:val="000000"/>
        <w:position w:val="0"/>
        <w:sz w:val="22"/>
        <w:szCs w:val="22"/>
        <w:u w:color="000000"/>
        <w:lang w:val="en-US"/>
      </w:rPr>
    </w:lvl>
    <w:lvl w:ilvl="3">
      <w:start w:val="1"/>
      <w:numFmt w:val="decimal"/>
      <w:lvlText w:val="%4."/>
      <w:lvlJc w:val="left"/>
      <w:pPr>
        <w:tabs>
          <w:tab w:val="num" w:pos="3373"/>
        </w:tabs>
        <w:ind w:left="3373" w:hanging="303"/>
      </w:pPr>
      <w:rPr>
        <w:color w:val="000000"/>
        <w:position w:val="0"/>
        <w:sz w:val="22"/>
        <w:szCs w:val="22"/>
        <w:u w:color="000000"/>
        <w:lang w:val="en-US"/>
      </w:rPr>
    </w:lvl>
    <w:lvl w:ilvl="4">
      <w:start w:val="1"/>
      <w:numFmt w:val="lowerLetter"/>
      <w:lvlText w:val="%5."/>
      <w:lvlJc w:val="left"/>
      <w:pPr>
        <w:tabs>
          <w:tab w:val="num" w:pos="4093"/>
        </w:tabs>
        <w:ind w:left="4093" w:hanging="303"/>
      </w:pPr>
      <w:rPr>
        <w:color w:val="000000"/>
        <w:position w:val="0"/>
        <w:sz w:val="22"/>
        <w:szCs w:val="22"/>
        <w:u w:color="000000"/>
        <w:lang w:val="en-US"/>
      </w:rPr>
    </w:lvl>
    <w:lvl w:ilvl="5">
      <w:start w:val="1"/>
      <w:numFmt w:val="lowerRoman"/>
      <w:lvlText w:val="%6."/>
      <w:lvlJc w:val="left"/>
      <w:pPr>
        <w:tabs>
          <w:tab w:val="num" w:pos="4817"/>
        </w:tabs>
        <w:ind w:left="4817" w:hanging="248"/>
      </w:pPr>
      <w:rPr>
        <w:color w:val="000000"/>
        <w:position w:val="0"/>
        <w:sz w:val="22"/>
        <w:szCs w:val="22"/>
        <w:u w:color="000000"/>
        <w:lang w:val="en-US"/>
      </w:rPr>
    </w:lvl>
    <w:lvl w:ilvl="6">
      <w:start w:val="1"/>
      <w:numFmt w:val="decimal"/>
      <w:lvlText w:val="%7."/>
      <w:lvlJc w:val="left"/>
      <w:pPr>
        <w:tabs>
          <w:tab w:val="num" w:pos="5533"/>
        </w:tabs>
        <w:ind w:left="5533" w:hanging="303"/>
      </w:pPr>
      <w:rPr>
        <w:color w:val="000000"/>
        <w:position w:val="0"/>
        <w:sz w:val="22"/>
        <w:szCs w:val="22"/>
        <w:u w:color="000000"/>
        <w:lang w:val="en-US"/>
      </w:rPr>
    </w:lvl>
    <w:lvl w:ilvl="7">
      <w:start w:val="1"/>
      <w:numFmt w:val="lowerLetter"/>
      <w:lvlText w:val="%8."/>
      <w:lvlJc w:val="left"/>
      <w:pPr>
        <w:tabs>
          <w:tab w:val="num" w:pos="6253"/>
        </w:tabs>
        <w:ind w:left="6253" w:hanging="303"/>
      </w:pPr>
      <w:rPr>
        <w:color w:val="000000"/>
        <w:position w:val="0"/>
        <w:sz w:val="22"/>
        <w:szCs w:val="22"/>
        <w:u w:color="000000"/>
        <w:lang w:val="en-US"/>
      </w:rPr>
    </w:lvl>
    <w:lvl w:ilvl="8">
      <w:start w:val="1"/>
      <w:numFmt w:val="lowerRoman"/>
      <w:lvlText w:val="%9."/>
      <w:lvlJc w:val="left"/>
      <w:pPr>
        <w:tabs>
          <w:tab w:val="num" w:pos="6977"/>
        </w:tabs>
        <w:ind w:left="6977" w:hanging="248"/>
      </w:pPr>
      <w:rPr>
        <w:color w:val="000000"/>
        <w:position w:val="0"/>
        <w:sz w:val="22"/>
        <w:szCs w:val="22"/>
        <w:u w:color="000000"/>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4F8"/>
    <w:rsid w:val="0006340B"/>
    <w:rsid w:val="000B43EB"/>
    <w:rsid w:val="0011531B"/>
    <w:rsid w:val="00130CC3"/>
    <w:rsid w:val="001352DF"/>
    <w:rsid w:val="0015751B"/>
    <w:rsid w:val="00192741"/>
    <w:rsid w:val="001F2E71"/>
    <w:rsid w:val="00262142"/>
    <w:rsid w:val="00344428"/>
    <w:rsid w:val="00372B42"/>
    <w:rsid w:val="003A557E"/>
    <w:rsid w:val="003B3A96"/>
    <w:rsid w:val="0043687A"/>
    <w:rsid w:val="004B60A4"/>
    <w:rsid w:val="004B6BE0"/>
    <w:rsid w:val="0053031E"/>
    <w:rsid w:val="00581541"/>
    <w:rsid w:val="006B1D2F"/>
    <w:rsid w:val="006F03EF"/>
    <w:rsid w:val="00763612"/>
    <w:rsid w:val="007B7BE6"/>
    <w:rsid w:val="00844A1B"/>
    <w:rsid w:val="00857658"/>
    <w:rsid w:val="008A3806"/>
    <w:rsid w:val="008F73D5"/>
    <w:rsid w:val="009210D2"/>
    <w:rsid w:val="009F0708"/>
    <w:rsid w:val="00A23F61"/>
    <w:rsid w:val="00A24AA0"/>
    <w:rsid w:val="00A252F4"/>
    <w:rsid w:val="00A437C3"/>
    <w:rsid w:val="00A443A2"/>
    <w:rsid w:val="00A7702A"/>
    <w:rsid w:val="00AA389B"/>
    <w:rsid w:val="00AC314E"/>
    <w:rsid w:val="00AE00F4"/>
    <w:rsid w:val="00AE0D4C"/>
    <w:rsid w:val="00BE2C0D"/>
    <w:rsid w:val="00C23156"/>
    <w:rsid w:val="00C454F8"/>
    <w:rsid w:val="00C73FD7"/>
    <w:rsid w:val="00C92B41"/>
    <w:rsid w:val="00C9330F"/>
    <w:rsid w:val="00D44A9E"/>
    <w:rsid w:val="00D46352"/>
    <w:rsid w:val="00DA00B0"/>
    <w:rsid w:val="00DC61B1"/>
    <w:rsid w:val="00DD5F69"/>
    <w:rsid w:val="00E643B2"/>
    <w:rsid w:val="00E916A8"/>
    <w:rsid w:val="00ED0C90"/>
    <w:rsid w:val="00F01047"/>
    <w:rsid w:val="00F27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B2F5"/>
  <w15:docId w15:val="{4989413A-7FEB-435F-B4D2-E35FA76C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4F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AAAAAAAAAAAAAAaDiagrama">
    <w:name w:val="AAAAAAAAAAAAAAAa Diagrama"/>
    <w:link w:val="AAAAAAAAAAAAAAAa"/>
    <w:locked/>
    <w:rsid w:val="00C454F8"/>
    <w:rPr>
      <w:rFonts w:ascii="Trebuchet MS" w:eastAsia="Times New Roman" w:hAnsi="Trebuchet MS" w:cs="Times New Roman"/>
      <w:color w:val="000000"/>
      <w:sz w:val="20"/>
      <w:szCs w:val="20"/>
      <w:u w:color="000000"/>
      <w:bdr w:val="none" w:sz="0" w:space="0" w:color="auto" w:frame="1"/>
      <w:lang w:val="x-none" w:eastAsia="lt-LT"/>
    </w:rPr>
  </w:style>
  <w:style w:type="paragraph" w:customStyle="1" w:styleId="AAAAAAAAAAAAAAAa">
    <w:name w:val="AAAAAAAAAAAAAAAa"/>
    <w:basedOn w:val="ListParagraph"/>
    <w:link w:val="AAAAAAAAAAAAAAAaDiagrama"/>
    <w:qFormat/>
    <w:rsid w:val="00C454F8"/>
    <w:pPr>
      <w:numPr>
        <w:numId w:val="1"/>
      </w:numPr>
      <w:ind w:left="720" w:firstLine="0"/>
    </w:pPr>
    <w:rPr>
      <w:rFonts w:ascii="Trebuchet MS" w:hAnsi="Trebuchet MS"/>
      <w:color w:val="000000"/>
      <w:sz w:val="20"/>
      <w:szCs w:val="20"/>
      <w:u w:color="000000"/>
      <w:bdr w:val="none" w:sz="0" w:space="0" w:color="auto" w:frame="1"/>
      <w:lang w:val="x-none" w:eastAsia="lt-LT"/>
    </w:rPr>
  </w:style>
  <w:style w:type="numbering" w:customStyle="1" w:styleId="List0">
    <w:name w:val="List0"/>
    <w:rsid w:val="00C454F8"/>
    <w:pPr>
      <w:numPr>
        <w:numId w:val="1"/>
      </w:numPr>
    </w:pPr>
  </w:style>
  <w:style w:type="paragraph" w:styleId="ListParagraph">
    <w:name w:val="List Paragraph"/>
    <w:basedOn w:val="Normal"/>
    <w:uiPriority w:val="34"/>
    <w:qFormat/>
    <w:rsid w:val="00C454F8"/>
    <w:pPr>
      <w:ind w:left="720"/>
      <w:contextualSpacing/>
    </w:pPr>
  </w:style>
  <w:style w:type="paragraph" w:styleId="BalloonText">
    <w:name w:val="Balloon Text"/>
    <w:basedOn w:val="Normal"/>
    <w:link w:val="BalloonTextChar"/>
    <w:uiPriority w:val="99"/>
    <w:semiHidden/>
    <w:unhideWhenUsed/>
    <w:rsid w:val="00C23156"/>
    <w:rPr>
      <w:sz w:val="18"/>
      <w:szCs w:val="18"/>
    </w:rPr>
  </w:style>
  <w:style w:type="character" w:customStyle="1" w:styleId="BalloonTextChar">
    <w:name w:val="Balloon Text Char"/>
    <w:basedOn w:val="DefaultParagraphFont"/>
    <w:link w:val="BalloonText"/>
    <w:uiPriority w:val="99"/>
    <w:semiHidden/>
    <w:rsid w:val="00C23156"/>
    <w:rPr>
      <w:rFonts w:ascii="Times New Roman" w:eastAsia="Times New Roman" w:hAnsi="Times New Roman" w:cs="Times New Roman"/>
      <w:sz w:val="18"/>
      <w:szCs w:val="18"/>
      <w:lang w:val="en-US"/>
    </w:rPr>
  </w:style>
  <w:style w:type="paragraph" w:styleId="Header">
    <w:name w:val="header"/>
    <w:basedOn w:val="Normal"/>
    <w:link w:val="HeaderChar"/>
    <w:uiPriority w:val="99"/>
    <w:unhideWhenUsed/>
    <w:rsid w:val="00C23156"/>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C23156"/>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9699">
      <w:bodyDiv w:val="1"/>
      <w:marLeft w:val="0"/>
      <w:marRight w:val="0"/>
      <w:marTop w:val="0"/>
      <w:marBottom w:val="0"/>
      <w:divBdr>
        <w:top w:val="none" w:sz="0" w:space="0" w:color="auto"/>
        <w:left w:val="none" w:sz="0" w:space="0" w:color="auto"/>
        <w:bottom w:val="none" w:sz="0" w:space="0" w:color="auto"/>
        <w:right w:val="none" w:sz="0" w:space="0" w:color="auto"/>
      </w:divBdr>
    </w:div>
    <w:div w:id="158749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emf"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charts/chart1.xml"
                 Type="http://schemas.openxmlformats.org/officeDocument/2006/relationships/chart"/>
   <Relationship Id="rId9" Target="charts/chart2.xml"
                 Type="http://schemas.openxmlformats.org/officeDocument/2006/relationships/chart"/>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file:///C:/Users/Gerda/Desktop/Darbas/Litexpo/Litexpo_Strategija%202021_Finansai%20(2021%2002%2009)%20AP&#381;VALGA.xlsx"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style2.xml"
                 Type="http://schemas.microsoft.com/office/2011/relationships/chartStyle"/>
   <Relationship Id="rId2" Target="colors2.xml"
                 Type="http://schemas.microsoft.com/office/2011/relationships/chartColorStyle"/>
   <Relationship Id="rId3"
                 Target="file:///C:/Users/Gerda/Desktop/Darbas/Litexpo/Litexpo_Strategija%202021_Finansai%20(2021%2002%2009)%20AP&#381;VALGA.xlsx"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Times New Roman" panose="02020603050405020304" pitchFamily="18" charset="0"/>
              </a:defRPr>
            </a:pPr>
            <a:r>
              <a:rPr lang="en-US" sz="1200" b="0">
                <a:solidFill>
                  <a:schemeClr val="tx1"/>
                </a:solidFill>
              </a:rPr>
              <a:t>Litexpo </a:t>
            </a:r>
            <a:r>
              <a:rPr lang="lt-LT" sz="1200" b="0">
                <a:solidFill>
                  <a:schemeClr val="tx1"/>
                </a:solidFill>
              </a:rPr>
              <a:t>įmonių grupės pajamų pokyčiai pagal veiklos sritis 2019-2020 m., </a:t>
            </a:r>
            <a:r>
              <a:rPr lang="en-US" sz="1200" b="0">
                <a:solidFill>
                  <a:schemeClr val="tx1"/>
                </a:solidFill>
              </a:rPr>
              <a:t>%</a:t>
            </a: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tx>
            <c:strRef>
              <c:f>Konsolid!$D$48</c:f>
              <c:strCache>
                <c:ptCount val="1"/>
                <c:pt idx="0">
                  <c:v>2020 m. </c:v>
                </c:pt>
              </c:strCache>
            </c:strRef>
          </c:tx>
          <c:spPr>
            <a:solidFill>
              <a:srgbClr val="009ED6"/>
            </a:solidFill>
            <a:ln>
              <a:noFill/>
            </a:ln>
            <a:effectLst/>
          </c:spPr>
          <c:invertIfNegative val="0"/>
          <c:cat>
            <c:strRef>
              <c:f>Konsolid!$C$49:$C$55</c:f>
              <c:strCache>
                <c:ptCount val="7"/>
                <c:pt idx="0">
                  <c:v>Parodos</c:v>
                </c:pt>
                <c:pt idx="1">
                  <c:v>Konferencijos ir renginiai</c:v>
                </c:pt>
                <c:pt idx="2">
                  <c:v>Stendų statyba ir įrengimas</c:v>
                </c:pt>
                <c:pt idx="3">
                  <c:v>Maitinimo paslaugos</c:v>
                </c:pt>
                <c:pt idx="4">
                  <c:v>Infrastruktūros nuomos pajamos</c:v>
                </c:pt>
                <c:pt idx="5">
                  <c:v>Kitos veiklos pajamos</c:v>
                </c:pt>
                <c:pt idx="6">
                  <c:v>Finansinės investicinės veiklos</c:v>
                </c:pt>
              </c:strCache>
            </c:strRef>
          </c:cat>
          <c:val>
            <c:numRef>
              <c:f>Konsolid!$D$49:$D$55</c:f>
              <c:numCache>
                <c:formatCode>_-* #\ ##0\ _€_-;\-* #\ ##0\ _€_-;_-* "-"\ _€_-;_-@_-</c:formatCode>
                <c:ptCount val="7"/>
                <c:pt idx="0">
                  <c:v>1114003</c:v>
                </c:pt>
                <c:pt idx="1">
                  <c:v>404427</c:v>
                </c:pt>
                <c:pt idx="2">
                  <c:v>272141</c:v>
                </c:pt>
                <c:pt idx="3">
                  <c:v>381450</c:v>
                </c:pt>
                <c:pt idx="4">
                  <c:v>64506</c:v>
                </c:pt>
                <c:pt idx="5">
                  <c:v>5926</c:v>
                </c:pt>
                <c:pt idx="6">
                  <c:v>411</c:v>
                </c:pt>
              </c:numCache>
            </c:numRef>
          </c:val>
          <c:extLst>
            <c:ext xmlns:c16="http://schemas.microsoft.com/office/drawing/2014/chart" uri="{C3380CC4-5D6E-409C-BE32-E72D297353CC}">
              <c16:uniqueId val="{00000000-6A08-9046-A353-AEEB96F9BDAD}"/>
            </c:ext>
          </c:extLst>
        </c:ser>
        <c:ser>
          <c:idx val="1"/>
          <c:order val="1"/>
          <c:tx>
            <c:strRef>
              <c:f>Konsolid!$E$48</c:f>
              <c:strCache>
                <c:ptCount val="1"/>
                <c:pt idx="0">
                  <c:v>2019 m. </c:v>
                </c:pt>
              </c:strCache>
            </c:strRef>
          </c:tx>
          <c:spPr>
            <a:solidFill>
              <a:srgbClr val="CC3300"/>
            </a:solidFill>
            <a:ln>
              <a:noFill/>
            </a:ln>
            <a:effectLst/>
          </c:spPr>
          <c:invertIfNegative val="0"/>
          <c:cat>
            <c:strRef>
              <c:f>Konsolid!$C$49:$C$55</c:f>
              <c:strCache>
                <c:ptCount val="7"/>
                <c:pt idx="0">
                  <c:v>Parodos</c:v>
                </c:pt>
                <c:pt idx="1">
                  <c:v>Konferencijos ir renginiai</c:v>
                </c:pt>
                <c:pt idx="2">
                  <c:v>Stendų statyba ir įrengimas</c:v>
                </c:pt>
                <c:pt idx="3">
                  <c:v>Maitinimo paslaugos</c:v>
                </c:pt>
                <c:pt idx="4">
                  <c:v>Infrastruktūros nuomos pajamos</c:v>
                </c:pt>
                <c:pt idx="5">
                  <c:v>Kitos veiklos pajamos</c:v>
                </c:pt>
                <c:pt idx="6">
                  <c:v>Finansinės investicinės veiklos</c:v>
                </c:pt>
              </c:strCache>
            </c:strRef>
          </c:cat>
          <c:val>
            <c:numRef>
              <c:f>Konsolid!$E$49:$E$55</c:f>
              <c:numCache>
                <c:formatCode>_-* #\ ##0\ _€_-;\-* #\ ##0\ _€_-;_-* "-"\ _€_-;_-@_-</c:formatCode>
                <c:ptCount val="7"/>
                <c:pt idx="0">
                  <c:v>3043765</c:v>
                </c:pt>
                <c:pt idx="1">
                  <c:v>1245055</c:v>
                </c:pt>
                <c:pt idx="2">
                  <c:v>695177</c:v>
                </c:pt>
                <c:pt idx="3">
                  <c:v>1028210</c:v>
                </c:pt>
                <c:pt idx="4">
                  <c:v>46275</c:v>
                </c:pt>
                <c:pt idx="5">
                  <c:v>6052</c:v>
                </c:pt>
                <c:pt idx="6">
                  <c:v>4027</c:v>
                </c:pt>
              </c:numCache>
            </c:numRef>
          </c:val>
          <c:extLst>
            <c:ext xmlns:c16="http://schemas.microsoft.com/office/drawing/2014/chart" uri="{C3380CC4-5D6E-409C-BE32-E72D297353CC}">
              <c16:uniqueId val="{00000001-6A08-9046-A353-AEEB96F9BDAD}"/>
            </c:ext>
          </c:extLst>
        </c:ser>
        <c:dLbls>
          <c:showLegendKey val="0"/>
          <c:showVal val="0"/>
          <c:showCatName val="0"/>
          <c:showSerName val="0"/>
          <c:showPercent val="0"/>
          <c:showBubbleSize val="0"/>
        </c:dLbls>
        <c:gapWidth val="247"/>
        <c:overlap val="-27"/>
        <c:axId val="565116296"/>
        <c:axId val="565114328"/>
      </c:barChart>
      <c:lineChart>
        <c:grouping val="standard"/>
        <c:varyColors val="0"/>
        <c:ser>
          <c:idx val="2"/>
          <c:order val="2"/>
          <c:tx>
            <c:strRef>
              <c:f>Konsolid!$F$48</c:f>
              <c:strCache>
                <c:ptCount val="1"/>
                <c:pt idx="0">
                  <c:v>Pokytis, %</c:v>
                </c:pt>
              </c:strCache>
            </c:strRef>
          </c:tx>
          <c:spPr>
            <a:ln w="50800" cap="rnd">
              <a:solidFill>
                <a:schemeClr val="tx1">
                  <a:lumMod val="50000"/>
                  <a:lumOff val="50000"/>
                </a:schemeClr>
              </a:solidFill>
              <a:round/>
            </a:ln>
            <a:effectLst/>
          </c:spPr>
          <c:marker>
            <c:symbol val="none"/>
          </c:marker>
          <c:dLbls>
            <c:spPr>
              <a:solidFill>
                <a:schemeClr val="bg2">
                  <a:alpha val="91000"/>
                </a:schemeClr>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Konsolid!$C$49:$C$55</c:f>
              <c:strCache>
                <c:ptCount val="7"/>
                <c:pt idx="0">
                  <c:v>Parodos</c:v>
                </c:pt>
                <c:pt idx="1">
                  <c:v>Konferencijos ir renginiai</c:v>
                </c:pt>
                <c:pt idx="2">
                  <c:v>Stendų statyba ir įrengimas</c:v>
                </c:pt>
                <c:pt idx="3">
                  <c:v>Maitinimo paslaugos</c:v>
                </c:pt>
                <c:pt idx="4">
                  <c:v>Infrastruktūros nuomos pajamos</c:v>
                </c:pt>
                <c:pt idx="5">
                  <c:v>Kitos veiklos pajamos</c:v>
                </c:pt>
                <c:pt idx="6">
                  <c:v>Finansinės investicinės veiklos</c:v>
                </c:pt>
              </c:strCache>
            </c:strRef>
          </c:cat>
          <c:val>
            <c:numRef>
              <c:f>Konsolid!$F$49:$F$55</c:f>
              <c:numCache>
                <c:formatCode>0%</c:formatCode>
                <c:ptCount val="7"/>
                <c:pt idx="0">
                  <c:v>-0.63400492482172577</c:v>
                </c:pt>
                <c:pt idx="1">
                  <c:v>-0.67517338591467846</c:v>
                </c:pt>
                <c:pt idx="2">
                  <c:v>-0.60852991396435729</c:v>
                </c:pt>
                <c:pt idx="3">
                  <c:v>-0.62901547349276898</c:v>
                </c:pt>
                <c:pt idx="4">
                  <c:v>0.39397082658022692</c:v>
                </c:pt>
                <c:pt idx="5">
                  <c:v>-2.0819563780568408E-2</c:v>
                </c:pt>
                <c:pt idx="6">
                  <c:v>-0.89793891234169354</c:v>
                </c:pt>
              </c:numCache>
            </c:numRef>
          </c:val>
          <c:smooth val="0"/>
          <c:extLst>
            <c:ext xmlns:c16="http://schemas.microsoft.com/office/drawing/2014/chart" uri="{C3380CC4-5D6E-409C-BE32-E72D297353CC}">
              <c16:uniqueId val="{00000002-6A08-9046-A353-AEEB96F9BDAD}"/>
            </c:ext>
          </c:extLst>
        </c:ser>
        <c:dLbls>
          <c:showLegendKey val="0"/>
          <c:showVal val="0"/>
          <c:showCatName val="0"/>
          <c:showSerName val="0"/>
          <c:showPercent val="0"/>
          <c:showBubbleSize val="0"/>
        </c:dLbls>
        <c:marker val="1"/>
        <c:smooth val="0"/>
        <c:axId val="565118920"/>
        <c:axId val="565112032"/>
      </c:lineChart>
      <c:catAx>
        <c:axId val="565116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crossAx val="565114328"/>
        <c:crosses val="autoZero"/>
        <c:auto val="1"/>
        <c:lblAlgn val="ctr"/>
        <c:lblOffset val="100"/>
        <c:noMultiLvlLbl val="0"/>
      </c:catAx>
      <c:valAx>
        <c:axId val="56511432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crossAx val="565116296"/>
        <c:crosses val="autoZero"/>
        <c:crossBetween val="between"/>
      </c:valAx>
      <c:valAx>
        <c:axId val="565112032"/>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crossAx val="565118920"/>
        <c:crosses val="max"/>
        <c:crossBetween val="between"/>
      </c:valAx>
      <c:catAx>
        <c:axId val="565118920"/>
        <c:scaling>
          <c:orientation val="minMax"/>
        </c:scaling>
        <c:delete val="1"/>
        <c:axPos val="b"/>
        <c:numFmt formatCode="General" sourceLinked="1"/>
        <c:majorTickMark val="none"/>
        <c:minorTickMark val="none"/>
        <c:tickLblPos val="nextTo"/>
        <c:crossAx val="565112032"/>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0">
                <a:solidFill>
                  <a:schemeClr val="tx1"/>
                </a:solidFill>
              </a:rPr>
              <a:t>Veiklos rezultat</a:t>
            </a:r>
            <a:r>
              <a:rPr lang="lt-LT" sz="1200" b="0">
                <a:solidFill>
                  <a:schemeClr val="tx1"/>
                </a:solidFill>
              </a:rPr>
              <a:t>ų palyginimas, tūkst. EUR</a:t>
            </a:r>
            <a:endParaRPr lang="en-US" sz="1200" b="0">
              <a:solidFill>
                <a:schemeClr val="tx1"/>
              </a:solidFill>
            </a:endParaRP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Konsolid!$C$156</c:f>
              <c:strCache>
                <c:ptCount val="1"/>
                <c:pt idx="0">
                  <c:v>EBITDA</c:v>
                </c:pt>
              </c:strCache>
            </c:strRef>
          </c:tx>
          <c:spPr>
            <a:solidFill>
              <a:schemeClr val="accent1"/>
            </a:solidFill>
            <a:ln>
              <a:noFill/>
            </a:ln>
            <a:effectLst/>
          </c:spPr>
          <c:invertIfNegative val="0"/>
          <c:dPt>
            <c:idx val="2"/>
            <c:invertIfNegative val="0"/>
            <c:bubble3D val="0"/>
            <c:spPr>
              <a:solidFill>
                <a:schemeClr val="accent1"/>
              </a:solidFill>
              <a:ln>
                <a:noFill/>
              </a:ln>
              <a:effectLst/>
            </c:spPr>
            <c:extLst>
              <c:ext xmlns:c16="http://schemas.microsoft.com/office/drawing/2014/chart" uri="{C3380CC4-5D6E-409C-BE32-E72D297353CC}">
                <c16:uniqueId val="{00000001-6462-4143-99C7-A9DA269D74FF}"/>
              </c:ext>
            </c:extLst>
          </c:dPt>
          <c:cat>
            <c:numRef>
              <c:f>Konsolid!$D$155:$F$155</c:f>
              <c:numCache>
                <c:formatCode>General</c:formatCode>
                <c:ptCount val="3"/>
                <c:pt idx="0">
                  <c:v>2018</c:v>
                </c:pt>
                <c:pt idx="1">
                  <c:v>2019</c:v>
                </c:pt>
                <c:pt idx="2">
                  <c:v>2020</c:v>
                </c:pt>
              </c:numCache>
            </c:numRef>
          </c:cat>
          <c:val>
            <c:numRef>
              <c:f>Konsolid!$D$156:$F$156</c:f>
              <c:numCache>
                <c:formatCode>_-* #\ ##0\ _€_-;\-* #\ ##0\ _€_-;_-* "-"\ _€_-;_-@_-</c:formatCode>
                <c:ptCount val="3"/>
                <c:pt idx="0">
                  <c:v>1934.711</c:v>
                </c:pt>
                <c:pt idx="1">
                  <c:v>1621.6669999999999</c:v>
                </c:pt>
                <c:pt idx="2">
                  <c:v>-255.51900000000001</c:v>
                </c:pt>
              </c:numCache>
            </c:numRef>
          </c:val>
          <c:extLst>
            <c:ext xmlns:c16="http://schemas.microsoft.com/office/drawing/2014/chart" uri="{C3380CC4-5D6E-409C-BE32-E72D297353CC}">
              <c16:uniqueId val="{00000002-6462-4143-99C7-A9DA269D74FF}"/>
            </c:ext>
          </c:extLst>
        </c:ser>
        <c:dLbls>
          <c:showLegendKey val="0"/>
          <c:showVal val="0"/>
          <c:showCatName val="0"/>
          <c:showSerName val="0"/>
          <c:showPercent val="0"/>
          <c:showBubbleSize val="0"/>
        </c:dLbls>
        <c:gapWidth val="219"/>
        <c:overlap val="-27"/>
        <c:axId val="638419264"/>
        <c:axId val="638421232"/>
      </c:barChart>
      <c:lineChart>
        <c:grouping val="standard"/>
        <c:varyColors val="0"/>
        <c:ser>
          <c:idx val="1"/>
          <c:order val="1"/>
          <c:tx>
            <c:strRef>
              <c:f>Konsolid!$C$157</c:f>
              <c:strCache>
                <c:ptCount val="1"/>
                <c:pt idx="0">
                  <c:v>Grynasis pelnas (nuostolis)</c:v>
                </c:pt>
              </c:strCache>
            </c:strRef>
          </c:tx>
          <c:spPr>
            <a:ln w="28575" cap="rnd">
              <a:solidFill>
                <a:schemeClr val="accent2"/>
              </a:solidFill>
              <a:round/>
            </a:ln>
            <a:effectLst/>
          </c:spPr>
          <c:marker>
            <c:symbol val="none"/>
          </c:marker>
          <c:cat>
            <c:numRef>
              <c:f>Konsolid!$D$155:$F$155</c:f>
              <c:numCache>
                <c:formatCode>General</c:formatCode>
                <c:ptCount val="3"/>
                <c:pt idx="0">
                  <c:v>2018</c:v>
                </c:pt>
                <c:pt idx="1">
                  <c:v>2019</c:v>
                </c:pt>
                <c:pt idx="2">
                  <c:v>2020</c:v>
                </c:pt>
              </c:numCache>
            </c:numRef>
          </c:cat>
          <c:val>
            <c:numRef>
              <c:f>Konsolid!$D$157:$F$157</c:f>
              <c:numCache>
                <c:formatCode>_-* #\ ##0\ _€_-;\-* #\ ##0\ _€_-;_-* "-"\ _€_-;_-@_-</c:formatCode>
                <c:ptCount val="3"/>
                <c:pt idx="0">
                  <c:v>934.43100000000004</c:v>
                </c:pt>
                <c:pt idx="1">
                  <c:v>599.16300000000001</c:v>
                </c:pt>
                <c:pt idx="2">
                  <c:v>-1176.8240000000001</c:v>
                </c:pt>
              </c:numCache>
            </c:numRef>
          </c:val>
          <c:smooth val="0"/>
          <c:extLst>
            <c:ext xmlns:c16="http://schemas.microsoft.com/office/drawing/2014/chart" uri="{C3380CC4-5D6E-409C-BE32-E72D297353CC}">
              <c16:uniqueId val="{00000003-6462-4143-99C7-A9DA269D74FF}"/>
            </c:ext>
          </c:extLst>
        </c:ser>
        <c:dLbls>
          <c:showLegendKey val="0"/>
          <c:showVal val="0"/>
          <c:showCatName val="0"/>
          <c:showSerName val="0"/>
          <c:showPercent val="0"/>
          <c:showBubbleSize val="0"/>
        </c:dLbls>
        <c:marker val="1"/>
        <c:smooth val="0"/>
        <c:axId val="638419264"/>
        <c:axId val="638421232"/>
      </c:lineChart>
      <c:catAx>
        <c:axId val="63841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38421232"/>
        <c:crosses val="autoZero"/>
        <c:auto val="1"/>
        <c:lblAlgn val="ctr"/>
        <c:lblOffset val="100"/>
        <c:noMultiLvlLbl val="0"/>
      </c:catAx>
      <c:valAx>
        <c:axId val="638421232"/>
        <c:scaling>
          <c:orientation val="minMax"/>
        </c:scaling>
        <c:delete val="0"/>
        <c:axPos val="l"/>
        <c:majorGridlines>
          <c:spPr>
            <a:ln w="9525" cap="flat" cmpd="sng" algn="ctr">
              <a:solidFill>
                <a:schemeClr val="tx1">
                  <a:lumMod val="15000"/>
                  <a:lumOff val="85000"/>
                </a:schemeClr>
              </a:solidFill>
              <a:round/>
            </a:ln>
            <a:effectLst/>
          </c:spPr>
        </c:majorGridlines>
        <c:numFmt formatCode="_-* #\ ##0\ _€_-;\-* #\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38419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3" ma:contentTypeDescription="Kurkite naują dokumentą." ma:contentTypeScope="" ma:versionID="a78f4b5f6b3c425452e16243fff1e599">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edfb3869d41648ec3cd1b26459845202"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5CA4C-B5BC-42AF-B12E-8E8DF01FC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9388EA-9B54-4130-A0E6-E8493E59D0C7}">
  <ds:schemaRefs>
    <ds:schemaRef ds:uri="http://purl.org/dc/dcmitype/"/>
    <ds:schemaRef ds:uri="76dd9037-bfed-435b-8540-6f869712d376"/>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f0556719-7f50-4cca-a590-01c4219383c0"/>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4A2E669-F122-4619-9BA5-B8CF82136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2465</Words>
  <Characters>1406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2021-04-16T05:54:00Z</dcterms:created>
  <dc:creator>Kriukas Simonas</dc:creator>
  <cp:lastModifiedBy>Kriukas Simonas</cp:lastModifiedBy>
  <dcterms:modified xsi:type="dcterms:W3CDTF">2021-04-16T07:02:00Z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