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67" w:rsidRPr="00934767" w:rsidRDefault="00934767" w:rsidP="00934767">
      <w:pPr>
        <w:jc w:val="center"/>
        <w:rPr>
          <w:rFonts w:ascii="Times New Roman" w:hAnsi="Times New Roman" w:cs="Times New Roman"/>
          <w:b/>
          <w:sz w:val="24"/>
        </w:rPr>
      </w:pPr>
      <w:bookmarkStart w:id="0" w:name="_GoBack"/>
      <w:r w:rsidRPr="00934767">
        <w:rPr>
          <w:rFonts w:ascii="Times New Roman" w:hAnsi="Times New Roman" w:cs="Times New Roman"/>
          <w:b/>
          <w:sz w:val="24"/>
        </w:rPr>
        <w:t>PAŽYMA</w:t>
      </w:r>
    </w:p>
    <w:p w:rsidR="00934767" w:rsidRDefault="00934767" w:rsidP="00934767">
      <w:pPr>
        <w:jc w:val="center"/>
        <w:rPr>
          <w:rFonts w:ascii="Times New Roman" w:hAnsi="Times New Roman" w:cs="Times New Roman"/>
          <w:b/>
          <w:sz w:val="24"/>
        </w:rPr>
      </w:pPr>
      <w:r w:rsidRPr="00934767">
        <w:rPr>
          <w:rFonts w:ascii="Times New Roman" w:hAnsi="Times New Roman" w:cs="Times New Roman"/>
          <w:b/>
          <w:sz w:val="24"/>
        </w:rPr>
        <w:t>DĖL EUROPOS SĄJUNGOS IR JUNGTINĖS KARALYSTĖS DERYBŲ REZULTATŲ</w:t>
      </w:r>
    </w:p>
    <w:p w:rsidR="00934767" w:rsidRDefault="00934767" w:rsidP="00934767">
      <w:pPr>
        <w:jc w:val="center"/>
        <w:rPr>
          <w:rFonts w:ascii="Times New Roman" w:hAnsi="Times New Roman" w:cs="Times New Roman"/>
          <w:b/>
          <w:i/>
          <w:sz w:val="24"/>
        </w:rPr>
      </w:pPr>
      <w:r>
        <w:rPr>
          <w:rFonts w:ascii="Times New Roman" w:hAnsi="Times New Roman" w:cs="Times New Roman"/>
          <w:b/>
          <w:i/>
          <w:sz w:val="24"/>
        </w:rPr>
        <w:t>Gruodžio 28 d.</w:t>
      </w:r>
    </w:p>
    <w:p w:rsidR="00934767" w:rsidRDefault="00934767" w:rsidP="00934767">
      <w:pPr>
        <w:rPr>
          <w:rFonts w:ascii="Times New Roman" w:hAnsi="Times New Roman"/>
          <w:sz w:val="24"/>
        </w:rPr>
      </w:pPr>
      <w:r>
        <w:rPr>
          <w:rFonts w:ascii="Times New Roman" w:hAnsi="Times New Roman"/>
          <w:color w:val="000000"/>
          <w:sz w:val="24"/>
        </w:rPr>
        <w:t>2020 m. gruodžio 24 dieną ES ir JK susitarė dėl trijų susitarimų, kurie reguliuos ES ir JK ateities santykius. Tai:</w:t>
      </w:r>
    </w:p>
    <w:p w:rsidR="00934767" w:rsidRDefault="00934767" w:rsidP="00934767">
      <w:pPr>
        <w:numPr>
          <w:ilvl w:val="0"/>
          <w:numId w:val="1"/>
        </w:numPr>
        <w:spacing w:after="0" w:line="240" w:lineRule="auto"/>
        <w:rPr>
          <w:rFonts w:ascii="Times New Roman" w:hAnsi="Times New Roman"/>
          <w:sz w:val="24"/>
        </w:rPr>
      </w:pPr>
      <w:r>
        <w:rPr>
          <w:rFonts w:ascii="Times New Roman" w:hAnsi="Times New Roman"/>
          <w:color w:val="000000"/>
          <w:sz w:val="24"/>
        </w:rPr>
        <w:t>Prekybos ir bendradarbiavimo susitarimas</w:t>
      </w:r>
    </w:p>
    <w:p w:rsidR="00934767" w:rsidRDefault="00934767" w:rsidP="00934767">
      <w:pPr>
        <w:numPr>
          <w:ilvl w:val="0"/>
          <w:numId w:val="1"/>
        </w:numPr>
        <w:spacing w:after="0" w:line="240" w:lineRule="auto"/>
        <w:rPr>
          <w:rFonts w:ascii="Times New Roman" w:hAnsi="Times New Roman"/>
          <w:sz w:val="24"/>
        </w:rPr>
      </w:pPr>
      <w:r>
        <w:rPr>
          <w:rFonts w:ascii="Times New Roman" w:hAnsi="Times New Roman"/>
          <w:color w:val="000000"/>
          <w:sz w:val="24"/>
        </w:rPr>
        <w:t>ES-JK susitarimas dėl saugumo procedūrų dėl pasikeitimo slapta informacija ir jos saugumo užtikrinimo</w:t>
      </w:r>
    </w:p>
    <w:p w:rsidR="00934767" w:rsidRDefault="00934767" w:rsidP="00934767">
      <w:pPr>
        <w:numPr>
          <w:ilvl w:val="0"/>
          <w:numId w:val="1"/>
        </w:numPr>
        <w:spacing w:after="0" w:line="240" w:lineRule="auto"/>
        <w:rPr>
          <w:rFonts w:ascii="Times New Roman" w:hAnsi="Times New Roman"/>
          <w:sz w:val="24"/>
        </w:rPr>
      </w:pPr>
      <w:r>
        <w:rPr>
          <w:rFonts w:ascii="Times New Roman" w:hAnsi="Times New Roman"/>
          <w:color w:val="000000"/>
          <w:sz w:val="24"/>
        </w:rPr>
        <w:t>Susitarimas tarp JK Vyriausybės ir Europos atominės energijos bendrijos dėl bendradarbiavimo dėl saugaus ir taikaus atominės energijos naudojimo</w:t>
      </w:r>
    </w:p>
    <w:p w:rsidR="00934767" w:rsidRDefault="00934767" w:rsidP="00934767">
      <w:pPr>
        <w:jc w:val="both"/>
        <w:rPr>
          <w:rFonts w:ascii="Times New Roman" w:hAnsi="Times New Roman"/>
          <w:sz w:val="24"/>
        </w:rPr>
      </w:pPr>
    </w:p>
    <w:tbl>
      <w:tblPr>
        <w:tblStyle w:val="TableGrid"/>
        <w:tblW w:w="0" w:type="auto"/>
        <w:tblLook w:val="04A0" w:firstRow="1" w:lastRow="0" w:firstColumn="1" w:lastColumn="0" w:noHBand="0" w:noVBand="1"/>
      </w:tblPr>
      <w:tblGrid>
        <w:gridCol w:w="9628"/>
      </w:tblGrid>
      <w:tr w:rsidR="00934767" w:rsidRPr="00934767" w:rsidTr="00215E28">
        <w:trPr>
          <w:trHeight w:val="2292"/>
        </w:trPr>
        <w:tc>
          <w:tcPr>
            <w:tcW w:w="9628" w:type="dxa"/>
          </w:tcPr>
          <w:p w:rsidR="00934767" w:rsidRPr="00934767" w:rsidRDefault="00934767" w:rsidP="0036005B">
            <w:pPr>
              <w:rPr>
                <w:rFonts w:ascii="Times New Roman" w:hAnsi="Times New Roman"/>
                <w:b/>
                <w:color w:val="000000"/>
                <w:sz w:val="24"/>
                <w:u w:val="single"/>
              </w:rPr>
            </w:pPr>
            <w:r w:rsidRPr="00934767">
              <w:rPr>
                <w:rFonts w:ascii="Times New Roman" w:hAnsi="Times New Roman"/>
                <w:b/>
                <w:color w:val="000000"/>
                <w:sz w:val="24"/>
                <w:u w:val="single"/>
              </w:rPr>
              <w:t>Šioje pažymoje:</w:t>
            </w:r>
          </w:p>
          <w:p w:rsidR="00934767" w:rsidRPr="00934767" w:rsidRDefault="00934767" w:rsidP="0036005B">
            <w:pPr>
              <w:pStyle w:val="ListParagraph"/>
              <w:numPr>
                <w:ilvl w:val="0"/>
                <w:numId w:val="5"/>
              </w:numPr>
              <w:rPr>
                <w:rFonts w:ascii="Times New Roman" w:hAnsi="Times New Roman"/>
                <w:color w:val="000000"/>
                <w:sz w:val="24"/>
                <w:u w:val="single"/>
              </w:rPr>
            </w:pPr>
            <w:r w:rsidRPr="00934767">
              <w:rPr>
                <w:rFonts w:ascii="Times New Roman" w:hAnsi="Times New Roman"/>
                <w:color w:val="000000"/>
                <w:sz w:val="24"/>
                <w:u w:val="single"/>
              </w:rPr>
              <w:t>ES-JK derybų rezultatai:</w:t>
            </w:r>
          </w:p>
          <w:p w:rsidR="00934767" w:rsidRPr="00934767" w:rsidRDefault="009B3466" w:rsidP="0036005B">
            <w:pPr>
              <w:pStyle w:val="ListParagraph"/>
              <w:numPr>
                <w:ilvl w:val="1"/>
                <w:numId w:val="5"/>
              </w:numPr>
              <w:rPr>
                <w:rFonts w:ascii="Times New Roman" w:hAnsi="Times New Roman"/>
                <w:color w:val="000000"/>
                <w:sz w:val="24"/>
              </w:rPr>
            </w:pPr>
            <w:hyperlink w:anchor="_Prekybos_ir_bendradarbiavimo" w:history="1">
              <w:r w:rsidR="00934767" w:rsidRPr="00934767">
                <w:rPr>
                  <w:rStyle w:val="Hyperlink"/>
                  <w:rFonts w:ascii="Times New Roman" w:hAnsi="Times New Roman"/>
                  <w:sz w:val="24"/>
                </w:rPr>
                <w:t>Prekybos ir bendradarbiavimo susitarimas;</w:t>
              </w:r>
            </w:hyperlink>
          </w:p>
          <w:p w:rsidR="00934767" w:rsidRPr="00934767" w:rsidRDefault="009B3466" w:rsidP="0036005B">
            <w:pPr>
              <w:pStyle w:val="ListParagraph"/>
              <w:numPr>
                <w:ilvl w:val="1"/>
                <w:numId w:val="5"/>
              </w:numPr>
              <w:rPr>
                <w:rFonts w:ascii="Times New Roman" w:hAnsi="Times New Roman" w:cs="Times New Roman"/>
                <w:sz w:val="24"/>
                <w:szCs w:val="24"/>
                <w:u w:val="single"/>
              </w:rPr>
            </w:pPr>
            <w:hyperlink w:anchor="_ES-JK_susitarimas_dėl" w:history="1">
              <w:r w:rsidR="00934767" w:rsidRPr="00934767">
                <w:rPr>
                  <w:rStyle w:val="Hyperlink"/>
                  <w:rFonts w:ascii="Times New Roman" w:hAnsi="Times New Roman"/>
                  <w:sz w:val="24"/>
                </w:rPr>
                <w:t xml:space="preserve">ES-JK susitarimas dėl saugumo procedūrų dėl pasikeitimo slapta informacija ir jos </w:t>
              </w:r>
              <w:r w:rsidR="00934767" w:rsidRPr="00934767">
                <w:rPr>
                  <w:rStyle w:val="Hyperlink"/>
                  <w:rFonts w:ascii="Times New Roman" w:hAnsi="Times New Roman" w:cs="Times New Roman"/>
                  <w:sz w:val="24"/>
                  <w:szCs w:val="24"/>
                </w:rPr>
                <w:t>saugumo užtikrinimo;</w:t>
              </w:r>
            </w:hyperlink>
          </w:p>
          <w:p w:rsidR="00934767" w:rsidRPr="00F4231F" w:rsidRDefault="009B3466" w:rsidP="0036005B">
            <w:pPr>
              <w:pStyle w:val="ListParagraph"/>
              <w:numPr>
                <w:ilvl w:val="1"/>
                <w:numId w:val="5"/>
              </w:numPr>
              <w:rPr>
                <w:rFonts w:ascii="Times New Roman" w:hAnsi="Times New Roman" w:cs="Times New Roman"/>
                <w:sz w:val="24"/>
                <w:szCs w:val="24"/>
                <w:u w:val="single"/>
              </w:rPr>
            </w:pPr>
            <w:hyperlink w:anchor="_Susitarimas_tarp_JK" w:history="1">
              <w:r w:rsidR="00934767" w:rsidRPr="00934767">
                <w:rPr>
                  <w:rStyle w:val="Hyperlink"/>
                  <w:rFonts w:ascii="Times New Roman" w:hAnsi="Times New Roman" w:cs="Times New Roman"/>
                  <w:sz w:val="24"/>
                  <w:szCs w:val="24"/>
                </w:rPr>
                <w:t>Susitarimas tarp JK Vyriausybės ir Europos atominės energijos bendrijos dėl bendradarbiavimo dėl saugaus ir taikaus atominės energijos naudojimo.</w:t>
              </w:r>
            </w:hyperlink>
          </w:p>
          <w:p w:rsidR="00F4231F" w:rsidRPr="00934767" w:rsidRDefault="009B3466" w:rsidP="00F4231F">
            <w:pPr>
              <w:pStyle w:val="ListParagraph"/>
              <w:numPr>
                <w:ilvl w:val="0"/>
                <w:numId w:val="5"/>
              </w:numPr>
              <w:rPr>
                <w:rFonts w:ascii="Times New Roman" w:hAnsi="Times New Roman" w:cs="Times New Roman"/>
                <w:sz w:val="24"/>
                <w:szCs w:val="24"/>
                <w:u w:val="single"/>
              </w:rPr>
            </w:pPr>
            <w:hyperlink w:anchor="_ES_Tarybos_sprendimai" w:history="1">
              <w:r w:rsidR="00F4231F" w:rsidRPr="00F4231F">
                <w:rPr>
                  <w:rStyle w:val="Hyperlink"/>
                  <w:rFonts w:ascii="Times New Roman" w:hAnsi="Times New Roman" w:cs="Times New Roman"/>
                  <w:sz w:val="24"/>
                  <w:szCs w:val="24"/>
                </w:rPr>
                <w:t>ES Tarybos sprendimai dėl ES-JK susitarimų</w:t>
              </w:r>
            </w:hyperlink>
          </w:p>
          <w:p w:rsidR="00934767" w:rsidRPr="00934767" w:rsidRDefault="009B3466" w:rsidP="0036005B">
            <w:pPr>
              <w:pStyle w:val="ListParagraph"/>
              <w:numPr>
                <w:ilvl w:val="0"/>
                <w:numId w:val="5"/>
              </w:numPr>
              <w:rPr>
                <w:rFonts w:ascii="Times New Roman" w:hAnsi="Times New Roman"/>
                <w:b/>
                <w:color w:val="000000"/>
                <w:sz w:val="24"/>
                <w:u w:val="single"/>
              </w:rPr>
            </w:pPr>
            <w:hyperlink w:anchor="_ES-JK_pasiektų_susitarimų" w:history="1">
              <w:r w:rsidR="00934767" w:rsidRPr="00934767">
                <w:rPr>
                  <w:rStyle w:val="Hyperlink"/>
                  <w:rFonts w:ascii="Times New Roman" w:hAnsi="Times New Roman" w:cs="Times New Roman"/>
                  <w:sz w:val="24"/>
                  <w:szCs w:val="24"/>
                </w:rPr>
                <w:t>ES-JK pasiektų susitarimų priėmimo procedūros ES ir Lietuvoje</w:t>
              </w:r>
            </w:hyperlink>
          </w:p>
        </w:tc>
      </w:tr>
    </w:tbl>
    <w:p w:rsidR="00934767" w:rsidRPr="00934767" w:rsidRDefault="00934767" w:rsidP="00934767">
      <w:pPr>
        <w:pStyle w:val="Heading1"/>
        <w:numPr>
          <w:ilvl w:val="0"/>
          <w:numId w:val="8"/>
        </w:numPr>
        <w:spacing w:line="240" w:lineRule="auto"/>
        <w:rPr>
          <w:rFonts w:ascii="Times New Roman" w:hAnsi="Times New Roman" w:cs="Times New Roman"/>
          <w:color w:val="auto"/>
          <w:sz w:val="24"/>
          <w:szCs w:val="24"/>
        </w:rPr>
      </w:pPr>
      <w:bookmarkStart w:id="1" w:name="_Prekybos_ir_bendradarbiavimo"/>
      <w:bookmarkEnd w:id="1"/>
      <w:r w:rsidRPr="00934767">
        <w:rPr>
          <w:rFonts w:ascii="Times New Roman" w:hAnsi="Times New Roman" w:cs="Times New Roman"/>
          <w:b/>
          <w:color w:val="auto"/>
          <w:sz w:val="24"/>
          <w:szCs w:val="24"/>
          <w:u w:val="single"/>
        </w:rPr>
        <w:t>Prekybos ir bendradarbiavimo susitarimas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Plataus pobūdžio susitarimas yra grindžiamas trimis ramsčiais:</w:t>
      </w:r>
    </w:p>
    <w:p w:rsidR="00934767" w:rsidRPr="00934767" w:rsidRDefault="00934767" w:rsidP="00934767">
      <w:pPr>
        <w:numPr>
          <w:ilvl w:val="0"/>
          <w:numId w:val="2"/>
        </w:numPr>
        <w:spacing w:after="0" w:line="240" w:lineRule="auto"/>
        <w:rPr>
          <w:rFonts w:ascii="Times New Roman" w:hAnsi="Times New Roman" w:cs="Times New Roman"/>
          <w:sz w:val="24"/>
          <w:szCs w:val="24"/>
        </w:rPr>
      </w:pPr>
      <w:r w:rsidRPr="00934767">
        <w:rPr>
          <w:rFonts w:ascii="Times New Roman" w:hAnsi="Times New Roman" w:cs="Times New Roman"/>
          <w:sz w:val="24"/>
          <w:szCs w:val="24"/>
        </w:rPr>
        <w:t>Laisva prekyba.</w:t>
      </w:r>
    </w:p>
    <w:p w:rsidR="00934767" w:rsidRPr="00934767" w:rsidRDefault="00934767" w:rsidP="00934767">
      <w:pPr>
        <w:numPr>
          <w:ilvl w:val="0"/>
          <w:numId w:val="2"/>
        </w:numPr>
        <w:spacing w:after="0" w:line="240" w:lineRule="auto"/>
        <w:rPr>
          <w:rFonts w:ascii="Times New Roman" w:hAnsi="Times New Roman" w:cs="Times New Roman"/>
          <w:sz w:val="24"/>
          <w:szCs w:val="24"/>
        </w:rPr>
      </w:pPr>
      <w:r w:rsidRPr="00934767">
        <w:rPr>
          <w:rFonts w:ascii="Times New Roman" w:hAnsi="Times New Roman" w:cs="Times New Roman"/>
          <w:sz w:val="24"/>
          <w:szCs w:val="24"/>
        </w:rPr>
        <w:t>Piliečių teisių apsauga.</w:t>
      </w:r>
    </w:p>
    <w:p w:rsidR="00934767" w:rsidRPr="00934767" w:rsidRDefault="00934767" w:rsidP="00934767">
      <w:pPr>
        <w:numPr>
          <w:ilvl w:val="0"/>
          <w:numId w:val="2"/>
        </w:numPr>
        <w:spacing w:after="0" w:line="240" w:lineRule="auto"/>
        <w:rPr>
          <w:rFonts w:ascii="Times New Roman" w:hAnsi="Times New Roman" w:cs="Times New Roman"/>
          <w:sz w:val="24"/>
          <w:szCs w:val="24"/>
        </w:rPr>
      </w:pPr>
      <w:r w:rsidRPr="00934767">
        <w:rPr>
          <w:rFonts w:ascii="Times New Roman" w:hAnsi="Times New Roman" w:cs="Times New Roman"/>
          <w:sz w:val="24"/>
          <w:szCs w:val="24"/>
        </w:rPr>
        <w:t>Horizontalaus pobūdžio aspektais dėl susitarimo valdymo (įskaitant ginčų sprendimo mechanizmą).</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ES-JK prekybos ir bendradarbiavimo susitarimas iš esmės atitinka ES derybinį mandatą (priimtas BRT 2020 02 25). Nuo mandato nukrypstama trijose srityse:</w:t>
      </w:r>
    </w:p>
    <w:p w:rsidR="00934767" w:rsidRPr="00934767" w:rsidRDefault="00934767" w:rsidP="00934767">
      <w:pPr>
        <w:numPr>
          <w:ilvl w:val="0"/>
          <w:numId w:val="3"/>
        </w:numPr>
        <w:spacing w:after="0" w:line="240" w:lineRule="auto"/>
        <w:rPr>
          <w:rFonts w:ascii="Times New Roman" w:hAnsi="Times New Roman" w:cs="Times New Roman"/>
          <w:sz w:val="24"/>
          <w:szCs w:val="24"/>
        </w:rPr>
      </w:pPr>
      <w:r w:rsidRPr="00934767">
        <w:rPr>
          <w:rFonts w:ascii="Times New Roman" w:hAnsi="Times New Roman" w:cs="Times New Roman"/>
          <w:b/>
          <w:sz w:val="24"/>
          <w:szCs w:val="24"/>
        </w:rPr>
        <w:t>Valstybės pagalbos (sąžiningų konkurencinių sąlygų dalyje)</w:t>
      </w:r>
      <w:r w:rsidRPr="00934767">
        <w:rPr>
          <w:rFonts w:ascii="Times New Roman" w:hAnsi="Times New Roman" w:cs="Times New Roman"/>
          <w:sz w:val="24"/>
          <w:szCs w:val="24"/>
        </w:rPr>
        <w:t xml:space="preserve"> nepavyko užtikrinti dinaminio ES teisės taikymo – jei ES padidintų standartus valstybės pagalbos srityje, JK neprivalėtų automatiškai didinti standartų. Tačiau susitarime numatytos balansinės priemonės (suteikiama galimybė reaguojant į nesąžiningą konkurencinį pranašumą naudojant tarifus ar suspenduojant atskiras susitarimo dalis).</w:t>
      </w:r>
    </w:p>
    <w:p w:rsidR="00934767" w:rsidRPr="00934767" w:rsidRDefault="00934767" w:rsidP="00934767">
      <w:pPr>
        <w:numPr>
          <w:ilvl w:val="0"/>
          <w:numId w:val="3"/>
        </w:numPr>
        <w:spacing w:after="0" w:line="240" w:lineRule="auto"/>
        <w:rPr>
          <w:rFonts w:ascii="Times New Roman" w:hAnsi="Times New Roman" w:cs="Times New Roman"/>
          <w:sz w:val="24"/>
          <w:szCs w:val="24"/>
        </w:rPr>
      </w:pPr>
      <w:r w:rsidRPr="00934767">
        <w:rPr>
          <w:rFonts w:ascii="Times New Roman" w:hAnsi="Times New Roman" w:cs="Times New Roman"/>
          <w:b/>
          <w:sz w:val="24"/>
          <w:szCs w:val="24"/>
        </w:rPr>
        <w:t>JK atsisakė taikyti Europos Sąjungos Teisingumo teismo (ESTT) jurisdikciją.</w:t>
      </w:r>
      <w:r w:rsidRPr="00934767">
        <w:rPr>
          <w:rFonts w:ascii="Times New Roman" w:hAnsi="Times New Roman" w:cs="Times New Roman"/>
          <w:sz w:val="24"/>
          <w:szCs w:val="24"/>
        </w:rPr>
        <w:t xml:space="preserve"> </w:t>
      </w:r>
    </w:p>
    <w:p w:rsidR="00934767" w:rsidRPr="00934767" w:rsidRDefault="00934767" w:rsidP="00934767">
      <w:pPr>
        <w:numPr>
          <w:ilvl w:val="0"/>
          <w:numId w:val="3"/>
        </w:numPr>
        <w:spacing w:after="0" w:line="240" w:lineRule="auto"/>
        <w:rPr>
          <w:rFonts w:ascii="Times New Roman" w:hAnsi="Times New Roman" w:cs="Times New Roman"/>
          <w:sz w:val="24"/>
          <w:szCs w:val="24"/>
        </w:rPr>
      </w:pPr>
      <w:r w:rsidRPr="00934767">
        <w:rPr>
          <w:rFonts w:ascii="Times New Roman" w:hAnsi="Times New Roman" w:cs="Times New Roman"/>
          <w:b/>
          <w:sz w:val="24"/>
          <w:szCs w:val="24"/>
        </w:rPr>
        <w:t>Žuvininkystės srityje taip pat numatomi nukrypimai nuo mandato</w:t>
      </w:r>
      <w:r w:rsidRPr="00934767">
        <w:rPr>
          <w:rFonts w:ascii="Times New Roman" w:hAnsi="Times New Roman" w:cs="Times New Roman"/>
          <w:sz w:val="24"/>
          <w:szCs w:val="24"/>
        </w:rPr>
        <w:t xml:space="preserve"> (ES žvejų prieiga ir kvotos JK vandenyse bus neišvengiamai mažesnės nei dabar esamos).</w:t>
      </w:r>
    </w:p>
    <w:p w:rsidR="00934767" w:rsidRPr="00934767" w:rsidRDefault="00934767" w:rsidP="00934767">
      <w:pPr>
        <w:spacing w:line="240" w:lineRule="auto"/>
        <w:jc w:val="both"/>
        <w:rPr>
          <w:rFonts w:ascii="Times New Roman" w:hAnsi="Times New Roman" w:cs="Times New Roman"/>
          <w:b/>
          <w:sz w:val="24"/>
          <w:szCs w:val="24"/>
        </w:rPr>
      </w:pP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rPr>
        <w:t>Esminiai susitarimo turinio elementai: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Sąžiningos konkurencinės sąlygos (LPF, Level Playing Feeld)</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Nustatomas efektyvus sąžiningą konkurenciją apsaugantis LPF režimas, jame numatytas standartų nežeminimo principo taikymas (nors nepavyko sutarti dėl dinaminio taikymo, JK negali sumažinti standartų žemiau susitarime sutartų). Taip pat sutarta dėl valstybės pagalbos teikimo režimo </w:t>
      </w:r>
      <w:r w:rsidRPr="00934767">
        <w:rPr>
          <w:rFonts w:ascii="Times New Roman" w:hAnsi="Times New Roman" w:cs="Times New Roman"/>
          <w:sz w:val="24"/>
          <w:szCs w:val="24"/>
        </w:rPr>
        <w:lastRenderedPageBreak/>
        <w:t xml:space="preserve">(numatant, kaip ir kada valstybė turės teisę remti joje veikiantį verslą). Susitarimas numato ir sektorines LPF nuostatas aviacijos, energetikos, finansų ir kitose ekonomikos srityse. LPF taisyklių taikymo priežiūrai JK sutiko įkurti nepriklausomą priežiūros instituciją.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Nesąžiningos konkurencijos atveju</w:t>
      </w:r>
      <w:r w:rsidRPr="00934767">
        <w:rPr>
          <w:rFonts w:ascii="Times New Roman" w:hAnsi="Times New Roman" w:cs="Times New Roman"/>
          <w:sz w:val="24"/>
          <w:szCs w:val="24"/>
        </w:rPr>
        <w:t xml:space="preserve"> – galimos vienašališkos (balanso atstatymo, angl. </w:t>
      </w:r>
      <w:r w:rsidRPr="00934767">
        <w:rPr>
          <w:rFonts w:ascii="Times New Roman" w:hAnsi="Times New Roman" w:cs="Times New Roman"/>
          <w:i/>
          <w:sz w:val="24"/>
          <w:szCs w:val="24"/>
        </w:rPr>
        <w:t>rebalancing</w:t>
      </w:r>
      <w:r w:rsidRPr="00934767">
        <w:rPr>
          <w:rFonts w:ascii="Times New Roman" w:hAnsi="Times New Roman" w:cs="Times New Roman"/>
          <w:sz w:val="24"/>
          <w:szCs w:val="24"/>
        </w:rPr>
        <w:t>) priemonės. Priemonėms taip pat taikomas proporcingumo principas. Galimos priemonės apima pvz., tarifus arba kitos (nesusijusios su LPF) susitarimo dalies suspendavimą. Jeigu pažeidimą padariusi valstybė nesutinka su šiomis priemonėmis, šalys gali kreiptis į susitarime numatytą arbitrų panelį ginčui spręsti.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Standartų nežeminimo (angl. </w:t>
      </w:r>
      <w:r w:rsidRPr="00934767">
        <w:rPr>
          <w:rFonts w:ascii="Times New Roman" w:hAnsi="Times New Roman" w:cs="Times New Roman"/>
          <w:i/>
          <w:sz w:val="24"/>
          <w:szCs w:val="24"/>
        </w:rPr>
        <w:t>non-regression</w:t>
      </w:r>
      <w:r w:rsidRPr="00934767">
        <w:rPr>
          <w:rFonts w:ascii="Times New Roman" w:hAnsi="Times New Roman" w:cs="Times New Roman"/>
          <w:sz w:val="24"/>
          <w:szCs w:val="24"/>
        </w:rPr>
        <w:t>) – susitarimas įpareigoja išlaikyti aukštą standartų lygį aplinkos apsaugos, klimato, socialinės apsaugos ir darbo srityse.</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Peržiūros galimybė</w:t>
      </w:r>
      <w:r w:rsidRPr="00934767">
        <w:rPr>
          <w:rFonts w:ascii="Times New Roman" w:hAnsi="Times New Roman" w:cs="Times New Roman"/>
          <w:sz w:val="24"/>
          <w:szCs w:val="24"/>
        </w:rPr>
        <w:t xml:space="preserve"> (angl. </w:t>
      </w:r>
      <w:r w:rsidRPr="00934767">
        <w:rPr>
          <w:rFonts w:ascii="Times New Roman" w:hAnsi="Times New Roman" w:cs="Times New Roman"/>
          <w:i/>
          <w:sz w:val="24"/>
          <w:szCs w:val="24"/>
        </w:rPr>
        <w:t>review clause</w:t>
      </w:r>
      <w:r w:rsidRPr="00934767">
        <w:rPr>
          <w:rFonts w:ascii="Times New Roman" w:hAnsi="Times New Roman" w:cs="Times New Roman"/>
          <w:sz w:val="24"/>
          <w:szCs w:val="24"/>
        </w:rPr>
        <w:t>) – jos siekė JK. Esmė: jeigu viena susitarimo šalis nuolatos mano, kad reikia naudoti balansavimo priemones, suteikiama galimybė peržiūrėti susitarimo ekonominę dalį. Paliekama išlyga, kad susitarimo ekonominė dalis turi turėti ir LPF standartų elementą (t. y. peržiūrint negalima atsisakyti LPF saugiklių).</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Prekyba prekėmis ir paslaugomis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Prekyba prekėmis ir paslaugomis</w:t>
      </w:r>
      <w:r w:rsidRPr="00934767">
        <w:rPr>
          <w:rFonts w:ascii="Times New Roman" w:hAnsi="Times New Roman" w:cs="Times New Roman"/>
          <w:sz w:val="24"/>
          <w:szCs w:val="24"/>
        </w:rPr>
        <w:t xml:space="preserve"> – susitarimas numato prekybą be kvotų ir tarifų.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Sutarta dėl kilmės taisyklių (iš esmės atitiks klasikinius laisvos prekybos susitarimus), įskaitant  jautrų kilmės taisyklių (PSR) elektromobiliams ir jų baterijoms klausimą.</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Sanitarijos ir fitosanitarijos srityje</w:t>
      </w:r>
      <w:r w:rsidRPr="00934767">
        <w:rPr>
          <w:rFonts w:ascii="Times New Roman" w:hAnsi="Times New Roman" w:cs="Times New Roman"/>
          <w:sz w:val="24"/>
          <w:szCs w:val="24"/>
        </w:rPr>
        <w:t xml:space="preserve"> sutarta dėl ES sanitarijos ir fitosanitarijos standartų išlaikymo.</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Muitinės ir prekybos palengvinimai</w:t>
      </w:r>
      <w:r w:rsidRPr="00934767">
        <w:rPr>
          <w:rFonts w:ascii="Times New Roman" w:hAnsi="Times New Roman" w:cs="Times New Roman"/>
          <w:sz w:val="24"/>
          <w:szCs w:val="24"/>
        </w:rPr>
        <w:t xml:space="preserve"> – po ilgų diskusijų dėl RORO (angl. </w:t>
      </w:r>
      <w:r w:rsidRPr="00934767">
        <w:rPr>
          <w:rFonts w:ascii="Times New Roman" w:hAnsi="Times New Roman" w:cs="Times New Roman"/>
          <w:i/>
          <w:sz w:val="24"/>
          <w:szCs w:val="24"/>
        </w:rPr>
        <w:t>roll on, roll off</w:t>
      </w:r>
      <w:r w:rsidRPr="00934767">
        <w:rPr>
          <w:rFonts w:ascii="Times New Roman" w:hAnsi="Times New Roman" w:cs="Times New Roman"/>
          <w:sz w:val="24"/>
          <w:szCs w:val="24"/>
        </w:rPr>
        <w:t xml:space="preserve">, sunkvežimių keliavimo keltais ir laivais) pavyko pasiekti, kad JK įdiegs sistemą, leidžiančią visus formalumus sutvarkyti IT pagalba dar prieš pasiekiant JK muitinę.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 xml:space="preserve">Paslaugų srityje įsipareigojimai panašūs kaip ES-JPN susitarime </w:t>
      </w:r>
      <w:r w:rsidRPr="00934767">
        <w:rPr>
          <w:rFonts w:ascii="Times New Roman" w:hAnsi="Times New Roman" w:cs="Times New Roman"/>
          <w:sz w:val="24"/>
          <w:szCs w:val="24"/>
        </w:rPr>
        <w:t>–JK gaus mažiau, nei būdama pilnateise Vieningos rinkos nare. Į susitarimą įtrauktos nuostatos dėl viešųjų pirkimų, svarbu, kad net mažos ES įmonės galės dalyvauti viešuosiuose pirkimuose JK. Įtrauktas ir Mode4 sprendimas (trumpalaikis darbuotojų siuntimas į JK).</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Finansinių paslaugų srityje</w:t>
      </w:r>
      <w:r w:rsidRPr="00934767">
        <w:rPr>
          <w:rFonts w:ascii="Times New Roman" w:hAnsi="Times New Roman" w:cs="Times New Roman"/>
          <w:sz w:val="24"/>
          <w:szCs w:val="24"/>
        </w:rPr>
        <w:t xml:space="preserve"> –ES nesutiko su JK siūlymu ir į susitarimą neįtraukė ekvivalentiškumo sprendimų – paliko galimybę ES priimti vienašališkus sprendimus. Tai reguliuos per MoU (angl. </w:t>
      </w:r>
      <w:r w:rsidRPr="00934767">
        <w:rPr>
          <w:rFonts w:ascii="Times New Roman" w:hAnsi="Times New Roman" w:cs="Times New Roman"/>
          <w:i/>
          <w:sz w:val="24"/>
          <w:szCs w:val="24"/>
        </w:rPr>
        <w:t>memorandum of understanding</w:t>
      </w:r>
      <w:r w:rsidRPr="00934767">
        <w:rPr>
          <w:rFonts w:ascii="Times New Roman" w:hAnsi="Times New Roman" w:cs="Times New Roman"/>
          <w:sz w:val="24"/>
          <w:szCs w:val="24"/>
        </w:rPr>
        <w:t>) su JK ateityje.</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Užtikrinta investicijų į JK žvejybinius laivus apsauga ir nediskriminavimo principas (JK siekė riboti šių laivų nuosavybę, kad dauguma JK vandenyse esančių laivų būtų britiški).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ES įmonės, kurios įtars nesąžiningą konkurenciją per JK teikiamas subsidijas, galės tiesiogiai kreiptis į JK teismus. Paliekama galimybė kreiptis ir į COM – tačiau COM negali vietoje įmonės kreiptis į teismą – tik surinkti informaciją apie pažeidimus ir jeigu bus pastebėta sisteminė problema– imtis subalansavimo priemonių (angl. </w:t>
      </w:r>
      <w:r w:rsidRPr="00934767">
        <w:rPr>
          <w:rFonts w:ascii="Times New Roman" w:hAnsi="Times New Roman" w:cs="Times New Roman"/>
          <w:i/>
          <w:sz w:val="24"/>
          <w:szCs w:val="24"/>
        </w:rPr>
        <w:t>rebalancing</w:t>
      </w:r>
      <w:r w:rsidRPr="00934767">
        <w:rPr>
          <w:rFonts w:ascii="Times New Roman" w:hAnsi="Times New Roman" w:cs="Times New Roman"/>
          <w:sz w:val="24"/>
          <w:szCs w:val="24"/>
        </w:rPr>
        <w:t>).</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Žuvininkystė</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Pasiektas kompromisas bene sudėtingiausiu prieigos prie JK vandenų ES žvejams ir žvejybos kvotų klausimu. JK pradėjo derybas siekdama visiškos ir suverenios ES vandenų kontrolės, kur istoriškai žvejodavo ES šalių (FR, NL, BE, ESP, DK ir kt.) žvejai. JK taip pat siekė dėl kvotų derėtis kasmet, tokiu būdu dar labiau sumažindama užtikrintumą. Tai būtų atėmę ES pakrantės žvejų bendruomenių pragyvenimo šaltinį, ženkliai sumažinę žvejybinius laivynus. ES žvejai JK vandenyse kasmet </w:t>
      </w:r>
      <w:r w:rsidRPr="00934767">
        <w:rPr>
          <w:rFonts w:ascii="Times New Roman" w:hAnsi="Times New Roman" w:cs="Times New Roman"/>
          <w:sz w:val="24"/>
          <w:szCs w:val="24"/>
        </w:rPr>
        <w:lastRenderedPageBreak/>
        <w:t>pagauna žuvies už 650 mln. EUR sumą. Po ilgų diskusijų sutarta, kad JK atsiims dalį ES turimų žvejybos kvotų palaipsniui, per 5.5 metus.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Energetika</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Sutarime energetiką reglamentuoja dvi dalys</w:t>
      </w:r>
      <w:r w:rsidRPr="00934767">
        <w:rPr>
          <w:rFonts w:ascii="Times New Roman" w:hAnsi="Times New Roman" w:cs="Times New Roman"/>
          <w:sz w:val="24"/>
          <w:szCs w:val="24"/>
        </w:rPr>
        <w:t xml:space="preserve"> – energetikos skyrius ir atskiras (ne bendro susitarimo rėmuose esantis) susitarimas dėl branduolinės energetikos (angl. </w:t>
      </w:r>
      <w:r w:rsidRPr="00934767">
        <w:rPr>
          <w:rFonts w:ascii="Times New Roman" w:hAnsi="Times New Roman" w:cs="Times New Roman"/>
          <w:i/>
          <w:sz w:val="24"/>
          <w:szCs w:val="24"/>
        </w:rPr>
        <w:t>safe and civil use of nucelar</w:t>
      </w:r>
      <w:r w:rsidRPr="00934767">
        <w:rPr>
          <w:rFonts w:ascii="Times New Roman" w:hAnsi="Times New Roman" w:cs="Times New Roman"/>
          <w:sz w:val="24"/>
          <w:szCs w:val="24"/>
        </w:rPr>
        <w:t>). Energetikos srityje išlaikyti aukšti standartai.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Kadangi energetikos srityje ES nesutiko leisti JK išlaikyti ES vieningos rinkos sąlygų, buvo sukurta specifinė sistema prekybai elektra – t. y. nauji algoritmai, leidžiantys prekybą tarp JK ir suinteresuotų pakrantės šalių (BE, NL ir t.t.). Susitarime JK užtikrinama nediskriminuojanti prieiga prie ES energetikos infrastruktūros (ir atvirkščiai). Energetikos srityje taip pat užtikrinti stiprūs LPF įsipareigojimai. Pavyko sutarti dėl nuostatų dėl atsinaujinančių išteklių, energijos tiekimo saugumo (angl. </w:t>
      </w:r>
      <w:r w:rsidRPr="00934767">
        <w:rPr>
          <w:rFonts w:ascii="Times New Roman" w:hAnsi="Times New Roman" w:cs="Times New Roman"/>
          <w:i/>
          <w:sz w:val="24"/>
          <w:szCs w:val="24"/>
        </w:rPr>
        <w:t>security of supply</w:t>
      </w:r>
      <w:r w:rsidRPr="00934767">
        <w:rPr>
          <w:rFonts w:ascii="Times New Roman" w:hAnsi="Times New Roman" w:cs="Times New Roman"/>
          <w:sz w:val="24"/>
          <w:szCs w:val="24"/>
        </w:rPr>
        <w:t xml:space="preserve">). JK tęs bendradarbiavimą Šiaurės Jūroje energetikos srityje.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Aviacija</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Sutarta dėl ES derybiniame mandate įtvirtintų 3, 4, ir 5-tos oro laisvių ir 5-os oro laisvės elementų įtraukimo. Paliekama galimybė ES VN dvišaliu pagrindu su JK sutarti dėl 5 oro laisvėje numatyto „extra EU cargo“ (aktualu Lietuvai).  Pasiekti tvirti LPF įsipareigojimai ir taisyklės dėl vartotojų apsaugos ir sąžiningos konkurencijos.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Dėl aviacijos saugos</w:t>
      </w:r>
      <w:r w:rsidRPr="00934767">
        <w:rPr>
          <w:rFonts w:ascii="Times New Roman" w:hAnsi="Times New Roman" w:cs="Times New Roman"/>
          <w:sz w:val="24"/>
          <w:szCs w:val="24"/>
        </w:rPr>
        <w:t xml:space="preserve"> – numatytas asimetrinis sertifikatų pripažinimas. Kadangi ES turi patikimą sertifikavimo sistemą, ES sertifikatai bus automatiškai pripažįstami JK, tačiau ne atvirkščiai – JK pusėje reikės iš naujo persertifikuoti.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Geras sprendimas dėl avialinijų „co-chairing“ ir lėktuvų lizingo.  Ambicingi pasiekimai.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Dėl nuosavybės ir kontrolės sutarta</w:t>
      </w:r>
      <w:r w:rsidRPr="00934767">
        <w:rPr>
          <w:rFonts w:ascii="Times New Roman" w:hAnsi="Times New Roman" w:cs="Times New Roman"/>
          <w:sz w:val="24"/>
          <w:szCs w:val="24"/>
        </w:rPr>
        <w:t>, kad JK kompanijos gali toliau priklausyti ES piliečiams.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Kelių transportas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 xml:space="preserve">Į susitarimą įtrauktos Lietuvai svarbios kabotažo ir </w:t>
      </w:r>
      <w:r w:rsidRPr="00934767">
        <w:rPr>
          <w:rFonts w:ascii="Times New Roman" w:hAnsi="Times New Roman" w:cs="Times New Roman"/>
          <w:b/>
          <w:i/>
          <w:sz w:val="24"/>
          <w:szCs w:val="24"/>
          <w:u w:val="single"/>
        </w:rPr>
        <w:t xml:space="preserve">cross-trade </w:t>
      </w:r>
      <w:r w:rsidRPr="00934767">
        <w:rPr>
          <w:rFonts w:ascii="Times New Roman" w:hAnsi="Times New Roman" w:cs="Times New Roman"/>
          <w:b/>
          <w:sz w:val="24"/>
          <w:szCs w:val="24"/>
          <w:u w:val="single"/>
        </w:rPr>
        <w:t>nuostatos</w:t>
      </w:r>
      <w:r w:rsidRPr="00934767">
        <w:rPr>
          <w:rFonts w:ascii="Times New Roman" w:hAnsi="Times New Roman" w:cs="Times New Roman"/>
          <w:sz w:val="24"/>
          <w:szCs w:val="24"/>
        </w:rPr>
        <w:t>, t. y. be įprastinių point-to-point (kroviniai vežami tik į vieną tašką kitoje valstybėje) vežimų ar vykimo tranzitu, ES vežėjai galės JK vykdyti 2 papildomas kabotažo operacijas, o JK vežėjai ES – irgi dvi operacijas, iš kurių viena galės būti kabotažo, o kita – kabotažo arba cross-trade (vežimai tarp skirtingų valstybių). Dėl išskirtinės IE situacijos, jei kroviniai bus vežami iš Šiaurės Airijos – galimos dar dvi kabotažo operacijos.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JK nenorėjo specifinių LPF nuostatų kelių transportu, tačiau nusileido. Susitarime iš esmės atkartotos ES kelių transporto Acquis, įskaitant reikalavimus vairuotojams, darbo laikui ir t.t.</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Teisėsaugos bendradarbiavimas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Atitinka mandato nuostatas</w:t>
      </w:r>
      <w:r w:rsidRPr="00934767">
        <w:rPr>
          <w:rFonts w:ascii="Times New Roman" w:hAnsi="Times New Roman" w:cs="Times New Roman"/>
          <w:sz w:val="24"/>
          <w:szCs w:val="24"/>
        </w:rPr>
        <w:t xml:space="preserve"> – bendradarbiavimas su JK numatytas kaip ir su kitomis Šengenui nepriklausančiomis šalimis (be Šengeno informacinės sistemos prieigos ir pan.). Numatyti stiprūs saugikliai, tolesnis EŽTK taikymas, stipri duomenų apsauga.</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Sutarta dėl bendradarbiavimo keičiantis pirštų antspaudais, DNR ir PRUM duomenimis, taip pat dėl PNR (angl. </w:t>
      </w:r>
      <w:r w:rsidRPr="00934767">
        <w:rPr>
          <w:rFonts w:ascii="Times New Roman" w:hAnsi="Times New Roman" w:cs="Times New Roman"/>
          <w:i/>
          <w:sz w:val="24"/>
          <w:szCs w:val="24"/>
        </w:rPr>
        <w:t>passenger name record</w:t>
      </w:r>
      <w:r w:rsidRPr="00934767">
        <w:rPr>
          <w:rFonts w:ascii="Times New Roman" w:hAnsi="Times New Roman" w:cs="Times New Roman"/>
          <w:sz w:val="24"/>
          <w:szCs w:val="24"/>
        </w:rPr>
        <w:t xml:space="preserve">) perdavimo su tinkamais saugikliais, taip pat dėl apsikeitimo informacija.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Bendradarbiavimas su Europolu ir Eurojust</w:t>
      </w:r>
      <w:r w:rsidRPr="00934767">
        <w:rPr>
          <w:rFonts w:ascii="Times New Roman" w:hAnsi="Times New Roman" w:cs="Times New Roman"/>
          <w:sz w:val="24"/>
          <w:szCs w:val="24"/>
        </w:rPr>
        <w:t xml:space="preserve"> – pagal reglamentus, numatančius bendradarbiavimą su trečiosiomis šalimis.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lastRenderedPageBreak/>
        <w:t>Įtrauktas atskiras įtariamųjų perdavimui skirtas skyrius</w:t>
      </w:r>
      <w:r w:rsidRPr="00934767">
        <w:rPr>
          <w:rFonts w:ascii="Times New Roman" w:hAnsi="Times New Roman" w:cs="Times New Roman"/>
          <w:sz w:val="24"/>
          <w:szCs w:val="24"/>
        </w:rPr>
        <w:t xml:space="preserve"> – bus reikalinga VN notifikacija (apsisprendimas) iki ratifikavimo.</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Įtrauktos turto užšaldymo ir konfiskavimo nuostatos</w:t>
      </w:r>
      <w:r w:rsidRPr="00934767">
        <w:rPr>
          <w:rFonts w:ascii="Times New Roman" w:hAnsi="Times New Roman" w:cs="Times New Roman"/>
          <w:sz w:val="24"/>
          <w:szCs w:val="24"/>
        </w:rPr>
        <w:t xml:space="preserve"> (to siekė JK), už tai ES gavo įsipareigojimus JK dėl kovos su pinigų plovimu (angl. </w:t>
      </w:r>
      <w:r w:rsidRPr="00934767">
        <w:rPr>
          <w:rFonts w:ascii="Times New Roman" w:hAnsi="Times New Roman" w:cs="Times New Roman"/>
          <w:i/>
          <w:sz w:val="24"/>
          <w:szCs w:val="24"/>
        </w:rPr>
        <w:t>anti-money laudring</w:t>
      </w:r>
      <w:r w:rsidRPr="00934767">
        <w:rPr>
          <w:rFonts w:ascii="Times New Roman" w:hAnsi="Times New Roman" w:cs="Times New Roman"/>
          <w:sz w:val="24"/>
          <w:szCs w:val="24"/>
        </w:rPr>
        <w:t>).</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Numatytas konsultacinis ginčų sprendimo mechanizmas, pagal TVR precedentus. Jei konsultacija nepavyksta – galimybė netgi suspenduoti visą bendradarbiavimą teisingumo srityje.</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Mobilumas ir socialinės apsaugos koordinavimas</w:t>
      </w:r>
      <w:r w:rsidRPr="00934767">
        <w:rPr>
          <w:rFonts w:ascii="Times New Roman" w:hAnsi="Times New Roman" w:cs="Times New Roman"/>
          <w:b/>
          <w:sz w:val="24"/>
          <w:szCs w:val="24"/>
        </w:rPr>
        <w:t>:</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Mobilumo srityje</w:t>
      </w:r>
      <w:r w:rsidRPr="00934767">
        <w:rPr>
          <w:rFonts w:ascii="Times New Roman" w:hAnsi="Times New Roman" w:cs="Times New Roman"/>
          <w:b/>
          <w:sz w:val="24"/>
          <w:szCs w:val="24"/>
        </w:rPr>
        <w:t xml:space="preserve"> ES ir JK įsipareigoja abipusiam trumpalaikiam beviziam režimui. </w:t>
      </w:r>
      <w:r w:rsidRPr="00934767">
        <w:rPr>
          <w:rFonts w:ascii="Times New Roman" w:hAnsi="Times New Roman" w:cs="Times New Roman"/>
          <w:sz w:val="24"/>
          <w:szCs w:val="24"/>
        </w:rPr>
        <w:t>Remiantis susitarimu, jeigu JK panaikintų bevizį režimą, vienai ES valstybei narei, bevizis režimas būtų panaikintas visoms ES valstybėms narėms ir, pagal abipusiškumo principą, bevizis režimas bus panaikintas JK piliečiams ES.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 xml:space="preserve">Socialinės apsaugos koordinavimo (SSK) </w:t>
      </w:r>
      <w:r w:rsidRPr="00934767">
        <w:rPr>
          <w:rFonts w:ascii="Times New Roman" w:hAnsi="Times New Roman" w:cs="Times New Roman"/>
          <w:sz w:val="24"/>
          <w:szCs w:val="24"/>
        </w:rPr>
        <w:t>susitarimo nuostatos vertinamos palankiai. Jos apims turistus, studentus, pensininkus, verslą (mode 4, darbuotojų judėjimo atveju) – pakankamai geras bendradarbiavimas. Nors iš esmės pavyko pasiekti lygias teises SSK srityje ES piliečiams, visgi JK ir toliau pirmus 5 metus reikalaus, kad naujai (po 2021-01-01) atvykę ES darbuotojai turėtų papildomai susimokėti už sveikatos apsaugos paslaugas ir pirmus 5 m. jie negaus šeimos išmokų (pvz.: už JK kartu gyvenančius vaikus). Visas kitas išmokas ir socialines lengvatas ES piliečiai gaus. Nuo  šių sveikatos apsaugos priemokų atleisti studentai ir pensininkai.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 xml:space="preserve">Numatytos palankios SSK nuostatos pasienio darbuotojams.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SSK sutarimas užtikrins darbo stažo pensijai akumuliaciją</w:t>
      </w:r>
      <w:r w:rsidRPr="00934767">
        <w:rPr>
          <w:rFonts w:ascii="Times New Roman" w:hAnsi="Times New Roman" w:cs="Times New Roman"/>
          <w:sz w:val="24"/>
          <w:szCs w:val="24"/>
        </w:rPr>
        <w:t xml:space="preserve"> (teisė į pensiją nebus prarandama išvykus).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Sudarius susitarimą COM prašys VN notifikuoti dėl komandiruojamų darbuotojų</w:t>
      </w:r>
      <w:r w:rsidRPr="00934767">
        <w:rPr>
          <w:rFonts w:ascii="Times New Roman" w:hAnsi="Times New Roman" w:cs="Times New Roman"/>
          <w:sz w:val="24"/>
          <w:szCs w:val="24"/>
        </w:rPr>
        <w:t>. Šiuo metu pagal nutylėjimą komandiruojamam darbuotojui ES vieningoje rinkoje taikoma jo namų valstybės teisinė bazė. Ateityje, JK darbuotojui atvykus į FR, jam būtų taikoma FR teisinė bazė. Visgi tos šalys, kurios norės, galės notifikuoti COM ir artimiausius 15 m. taikyti išimtį JK darbuotojams – t. y. ir toliau jiems taikyti jų namų valstybės (t. y. JK) teisinę bazę.</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Svarbu, kad JK (ir ES) negalės suspenduoti SSK už pvz. konkurencijos pažeidimus kitose srityse – piliečiai bus apsaugoti.</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Tematinis bendradarbiavimas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Sutarta dėl apsikeitimo klasifikuota informacija, sveikatos apsaugos (bendradarbiavimas svarbus ypač COVID-19 kontekste) ir bendradarbiavimo kibernetinio saugumo srityse.</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 xml:space="preserve">ES programos </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 xml:space="preserve">Sistema panaši į tai, ką ES turi su kitomis trečiosiomis šalimis, ES siekė nesudaryti atskiros, naujos ES programų sistemos su JK. Įvesta viena naujovė – dalyvavimo mokes (angl. </w:t>
      </w:r>
      <w:r w:rsidRPr="00934767">
        <w:rPr>
          <w:rFonts w:ascii="Times New Roman" w:hAnsi="Times New Roman" w:cs="Times New Roman"/>
          <w:i/>
          <w:sz w:val="24"/>
          <w:szCs w:val="24"/>
        </w:rPr>
        <w:t>phase-in</w:t>
      </w:r>
      <w:r w:rsidRPr="00934767">
        <w:rPr>
          <w:rFonts w:ascii="Times New Roman" w:hAnsi="Times New Roman" w:cs="Times New Roman"/>
          <w:sz w:val="24"/>
          <w:szCs w:val="24"/>
        </w:rPr>
        <w:t>), kuris pakeis ankstesnes įmokas pagal BVP. JK partvirtino, kad nori dalyvauti Horizont, ITE (Euroatomo programa), Kopernikus ir SST (</w:t>
      </w:r>
      <w:r w:rsidRPr="00934767">
        <w:rPr>
          <w:rFonts w:ascii="Times New Roman" w:hAnsi="Times New Roman" w:cs="Times New Roman"/>
          <w:i/>
          <w:sz w:val="24"/>
          <w:szCs w:val="24"/>
        </w:rPr>
        <w:t>to services based aspects (inventory and tracking of objects in space</w:t>
      </w:r>
      <w:r w:rsidRPr="00934767">
        <w:rPr>
          <w:rFonts w:ascii="Times New Roman" w:hAnsi="Times New Roman" w:cs="Times New Roman"/>
          <w:sz w:val="24"/>
          <w:szCs w:val="24"/>
        </w:rPr>
        <w:t>) programose.</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rPr>
        <w:t>JK patvirtino savo Peace Plus įsipareigojimus. Dar neaišku dėl ERASMUS - JK būtų linkę nesijungti (nes planuoja savo studentų mainų sistemą), bet dar svarsto.</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b/>
          <w:sz w:val="24"/>
          <w:szCs w:val="24"/>
          <w:u w:val="single"/>
        </w:rPr>
        <w:t>Susitarimo valdymas (ginčų sprendimas)</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 xml:space="preserve">Svarbu, kad JK sutiko su greitu ir efektyviu ir teisiškai įpareigojančiu ginčų sprendimo mechanizmu, įskaitant dinaminį suspendavimą (angl. </w:t>
      </w:r>
      <w:r w:rsidRPr="00934767">
        <w:rPr>
          <w:rFonts w:ascii="Times New Roman" w:hAnsi="Times New Roman" w:cs="Times New Roman"/>
          <w:i/>
          <w:sz w:val="24"/>
          <w:szCs w:val="24"/>
          <w:u w:val="single"/>
        </w:rPr>
        <w:t>cros-suspension</w:t>
      </w:r>
      <w:r w:rsidRPr="00934767">
        <w:rPr>
          <w:rFonts w:ascii="Times New Roman" w:hAnsi="Times New Roman" w:cs="Times New Roman"/>
          <w:sz w:val="24"/>
          <w:szCs w:val="24"/>
          <w:u w:val="single"/>
        </w:rPr>
        <w:t>) įvairiose srityse</w:t>
      </w:r>
      <w:r w:rsidRPr="00934767">
        <w:rPr>
          <w:rFonts w:ascii="Times New Roman" w:hAnsi="Times New Roman" w:cs="Times New Roman"/>
          <w:sz w:val="24"/>
          <w:szCs w:val="24"/>
        </w:rPr>
        <w:t xml:space="preserve">. Pvz.: Jei JK pažeis ES šalių </w:t>
      </w:r>
      <w:r w:rsidRPr="00934767">
        <w:rPr>
          <w:rFonts w:ascii="Times New Roman" w:hAnsi="Times New Roman" w:cs="Times New Roman"/>
          <w:sz w:val="24"/>
          <w:szCs w:val="24"/>
        </w:rPr>
        <w:lastRenderedPageBreak/>
        <w:t xml:space="preserve">interesus žuvininkystės srityje, ES VN galės kreiptis į arbitrus ir per 2 mėn. suspenduoti nebūtinai tą patį žuvininkystės sektorių, tačiau esant reikalui ir kitą ekonomikos sektorių – t. y. sugrąžinti tarifus ar kvotas JK prekėms ar pan. </w:t>
      </w:r>
      <w:r w:rsidRPr="00934767">
        <w:rPr>
          <w:rFonts w:ascii="Times New Roman" w:hAnsi="Times New Roman" w:cs="Times New Roman"/>
          <w:sz w:val="24"/>
          <w:szCs w:val="24"/>
          <w:u w:val="single"/>
        </w:rPr>
        <w:t>Šis suspendavimas negalės būti taikomas SSK ar teisėsaugos bendradarbiavimo sektoriuose (jų negalima suspenduoti dėl ekonominių nesutarimų).</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Sutarime nėra numatyta finansinių sankcijų sistema</w:t>
      </w:r>
      <w:r w:rsidRPr="00934767">
        <w:rPr>
          <w:rFonts w:ascii="Times New Roman" w:hAnsi="Times New Roman" w:cs="Times New Roman"/>
          <w:sz w:val="24"/>
          <w:szCs w:val="24"/>
        </w:rPr>
        <w:t xml:space="preserve"> – ES siekė, bet tokios nuostatos būtų per daug panašios į ES pažeidimo procedūrą, JK buvo nepriimtina.</w:t>
      </w:r>
    </w:p>
    <w:p w:rsidR="00934767" w:rsidRPr="00934767" w:rsidRDefault="00934767" w:rsidP="00934767">
      <w:pPr>
        <w:spacing w:line="240" w:lineRule="auto"/>
        <w:jc w:val="both"/>
        <w:rPr>
          <w:rFonts w:ascii="Times New Roman" w:hAnsi="Times New Roman" w:cs="Times New Roman"/>
          <w:sz w:val="24"/>
          <w:szCs w:val="24"/>
        </w:rPr>
      </w:pPr>
      <w:r w:rsidRPr="00934767">
        <w:rPr>
          <w:rFonts w:ascii="Times New Roman" w:hAnsi="Times New Roman" w:cs="Times New Roman"/>
          <w:sz w:val="24"/>
          <w:szCs w:val="24"/>
          <w:u w:val="single"/>
        </w:rPr>
        <w:t>JK taip pat atsisakė Europos Sąjungos Teisingumo teismo vaidmens įtraukimo.</w:t>
      </w:r>
    </w:p>
    <w:p w:rsidR="00934767" w:rsidRPr="00934767" w:rsidRDefault="00934767" w:rsidP="00934767">
      <w:pPr>
        <w:spacing w:line="240" w:lineRule="auto"/>
        <w:rPr>
          <w:rFonts w:ascii="Times New Roman" w:hAnsi="Times New Roman" w:cs="Times New Roman"/>
          <w:sz w:val="24"/>
          <w:szCs w:val="24"/>
        </w:rPr>
      </w:pPr>
      <w:r w:rsidRPr="00934767">
        <w:rPr>
          <w:rFonts w:ascii="Times New Roman" w:hAnsi="Times New Roman" w:cs="Times New Roman"/>
          <w:sz w:val="24"/>
          <w:szCs w:val="24"/>
        </w:rPr>
        <w:t>Nors dėl individualių skundų greičiausias būdas visgi kreiptis į teismus, dėl sisteminių pažeidimų galima kreiptis į arbitrų panelį, bet tai ilgesnė procedūra. Dinaminį suspendavimą bus galima apskųsti arbitrams, kurie spręs ar ši priemonė proporcinga. Numatyta „kaskadinė“ suspendavimo sistema – t. y. dėl pažeidimų pvz.: prekybos prekėmis srityje pirmiausia reikia siekti suspenduoti tos pačios srities skyrius ir tik vėliau – kitus. Minimaliai suspendavimo procedūra gali užimti 2 mėn. po arbitražo sprendimo.</w:t>
      </w:r>
    </w:p>
    <w:p w:rsidR="00934767" w:rsidRPr="00934767" w:rsidRDefault="00934767" w:rsidP="00934767">
      <w:pPr>
        <w:pStyle w:val="Heading1"/>
        <w:numPr>
          <w:ilvl w:val="0"/>
          <w:numId w:val="8"/>
        </w:numPr>
        <w:spacing w:line="240" w:lineRule="auto"/>
        <w:rPr>
          <w:rFonts w:ascii="Times New Roman" w:hAnsi="Times New Roman" w:cs="Times New Roman"/>
          <w:b/>
          <w:color w:val="auto"/>
          <w:sz w:val="24"/>
          <w:szCs w:val="24"/>
          <w:u w:val="single"/>
        </w:rPr>
      </w:pPr>
      <w:bookmarkStart w:id="2" w:name="_ES-JK_susitarimas_dėl"/>
      <w:bookmarkEnd w:id="2"/>
      <w:r w:rsidRPr="00934767">
        <w:rPr>
          <w:rFonts w:ascii="Times New Roman" w:hAnsi="Times New Roman" w:cs="Times New Roman"/>
          <w:b/>
          <w:color w:val="auto"/>
          <w:sz w:val="24"/>
          <w:szCs w:val="24"/>
          <w:u w:val="single"/>
        </w:rPr>
        <w:t>ES-JK susitarimas dėl saugumo procedūrų dėl pasikeitimo slapta informacija ir jos saugumo užtikrinimo</w:t>
      </w:r>
    </w:p>
    <w:p w:rsidR="00934767" w:rsidRPr="00934767" w:rsidRDefault="00934767" w:rsidP="00934767">
      <w:pPr>
        <w:spacing w:line="240" w:lineRule="auto"/>
        <w:rPr>
          <w:rFonts w:ascii="Times New Roman" w:hAnsi="Times New Roman" w:cs="Times New Roman"/>
          <w:sz w:val="24"/>
          <w:szCs w:val="24"/>
        </w:rPr>
      </w:pPr>
      <w:r w:rsidRPr="00934767">
        <w:rPr>
          <w:rFonts w:ascii="Times New Roman" w:hAnsi="Times New Roman" w:cs="Times New Roman"/>
          <w:sz w:val="24"/>
          <w:szCs w:val="24"/>
        </w:rPr>
        <w:t>Įslaptintos informacijos mainai tarp ES ir JK yra svarbus įrankis, siekiant kovoti su bendromis grėsmėmis. Jeigu iškyla bendra saugumo grėsmė, tam tikri ES įslaptinti dokumentai gali būti perduodami trečiosioms valstybėms, tačiau tik sprendžiant kiekvienu atveju atskirai. Tokiems mainams taip pat būtinas Informacijos saugumo susitarimas tarp ES ir trečiosios valstybės.</w:t>
      </w:r>
    </w:p>
    <w:p w:rsidR="00934767" w:rsidRPr="00934767" w:rsidRDefault="00934767" w:rsidP="00934767">
      <w:pPr>
        <w:spacing w:line="240" w:lineRule="auto"/>
        <w:rPr>
          <w:rFonts w:ascii="Times New Roman" w:hAnsi="Times New Roman" w:cs="Times New Roman"/>
          <w:sz w:val="24"/>
          <w:szCs w:val="24"/>
        </w:rPr>
      </w:pPr>
      <w:r w:rsidRPr="00934767">
        <w:rPr>
          <w:rFonts w:ascii="Times New Roman" w:hAnsi="Times New Roman" w:cs="Times New Roman"/>
          <w:sz w:val="24"/>
          <w:szCs w:val="24"/>
        </w:rPr>
        <w:t>Atsižvelgiant į tai, ES ir JK sudarė Informacijos saugumo susitarimą. Šis susitarimas įgalina ES ir JK keistis įslaptinta informacija, numato griežtas apsaugos procedūras, skirtas perduodamai įslaptintai informacijai apsaugoti.</w:t>
      </w:r>
    </w:p>
    <w:p w:rsidR="00934767" w:rsidRPr="00934767" w:rsidRDefault="00934767" w:rsidP="00934767">
      <w:pPr>
        <w:pStyle w:val="Heading1"/>
        <w:numPr>
          <w:ilvl w:val="0"/>
          <w:numId w:val="8"/>
        </w:numPr>
        <w:spacing w:line="240" w:lineRule="auto"/>
        <w:rPr>
          <w:rFonts w:ascii="Times New Roman" w:hAnsi="Times New Roman" w:cs="Times New Roman"/>
          <w:b/>
          <w:color w:val="auto"/>
          <w:sz w:val="24"/>
          <w:szCs w:val="24"/>
          <w:u w:val="single"/>
        </w:rPr>
      </w:pPr>
      <w:bookmarkStart w:id="3" w:name="_Susitarimas_tarp_JK"/>
      <w:bookmarkEnd w:id="3"/>
      <w:r w:rsidRPr="00934767">
        <w:rPr>
          <w:rFonts w:ascii="Times New Roman" w:hAnsi="Times New Roman" w:cs="Times New Roman"/>
          <w:b/>
          <w:color w:val="auto"/>
          <w:sz w:val="24"/>
          <w:szCs w:val="24"/>
          <w:u w:val="single"/>
        </w:rPr>
        <w:t>Susitarimas tarp JK Vyriausybės ir Europos atominės energijos bendrijos dėl bendradarbiavimo dėl saugaus ir taikaus atominės energijos naudojimo</w:t>
      </w:r>
    </w:p>
    <w:p w:rsidR="00934767" w:rsidRPr="00934767" w:rsidRDefault="00934767" w:rsidP="00934767">
      <w:pPr>
        <w:spacing w:line="240" w:lineRule="auto"/>
        <w:rPr>
          <w:rFonts w:ascii="Times New Roman" w:hAnsi="Times New Roman" w:cs="Times New Roman"/>
          <w:sz w:val="24"/>
          <w:szCs w:val="24"/>
        </w:rPr>
      </w:pPr>
      <w:r w:rsidRPr="00934767">
        <w:rPr>
          <w:rFonts w:ascii="Times New Roman" w:hAnsi="Times New Roman" w:cs="Times New Roman"/>
          <w:sz w:val="24"/>
          <w:szCs w:val="24"/>
        </w:rPr>
        <w:t>Susitarimas užtikrina, kad abi sutariančios pusės naudos atominę energiją tik taikiais ir saugiais būdais, laikysis tarptautinių neplatinimo įsipareigojimų ir išlaikys aukštus branduolinės energetikos saugumo standartus.</w:t>
      </w:r>
    </w:p>
    <w:p w:rsidR="00934767" w:rsidRPr="00934767" w:rsidRDefault="00934767" w:rsidP="00934767">
      <w:pPr>
        <w:spacing w:line="240" w:lineRule="auto"/>
        <w:rPr>
          <w:rFonts w:ascii="Times New Roman" w:hAnsi="Times New Roman" w:cs="Times New Roman"/>
          <w:sz w:val="24"/>
          <w:szCs w:val="24"/>
        </w:rPr>
      </w:pPr>
      <w:r w:rsidRPr="00934767">
        <w:rPr>
          <w:rFonts w:ascii="Times New Roman" w:hAnsi="Times New Roman" w:cs="Times New Roman"/>
          <w:sz w:val="24"/>
          <w:szCs w:val="24"/>
        </w:rPr>
        <w:t>Susitarimas įgalina:</w:t>
      </w:r>
    </w:p>
    <w:p w:rsidR="00934767" w:rsidRPr="00934767" w:rsidRDefault="00934767" w:rsidP="00934767">
      <w:pPr>
        <w:numPr>
          <w:ilvl w:val="0"/>
          <w:numId w:val="4"/>
        </w:numPr>
        <w:spacing w:after="0" w:line="240" w:lineRule="auto"/>
        <w:rPr>
          <w:rFonts w:ascii="Times New Roman" w:hAnsi="Times New Roman" w:cs="Times New Roman"/>
          <w:sz w:val="24"/>
          <w:szCs w:val="24"/>
        </w:rPr>
      </w:pPr>
      <w:r w:rsidRPr="00934767">
        <w:rPr>
          <w:rFonts w:ascii="Times New Roman" w:hAnsi="Times New Roman" w:cs="Times New Roman"/>
          <w:sz w:val="24"/>
          <w:szCs w:val="24"/>
        </w:rPr>
        <w:t>Branduolinių ir nebranduolinių medžiagų, su jomis susijusių technologijų ir įrenginių tiekimą ir perkėlimą;</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Prekybą ir komercinį bendradarbiavimą, susijusį su branduolinio kuro ciklu;</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Bendradarbiavimą panaudoto branduolinio kuro ir radioaktyvių atliekų tvarkymo srityje;</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Bendradarbiavimą branduolinio saugumo ir radiacinės saugos srityse;</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Bendradarbiavimą radioizotopų ir radiacijos naudojimo žemės ūkio, pramonės ir medicinos srityse;</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Bendradarbiavimą geologinių ir geofizinių tyrimų srityje;</w:t>
      </w:r>
    </w:p>
    <w:p w:rsidR="00934767" w:rsidRDefault="00934767" w:rsidP="00934767">
      <w:pPr>
        <w:numPr>
          <w:ilvl w:val="0"/>
          <w:numId w:val="4"/>
        </w:numPr>
        <w:spacing w:after="0" w:line="240" w:lineRule="auto"/>
        <w:rPr>
          <w:rFonts w:ascii="Times New Roman" w:hAnsi="Times New Roman"/>
          <w:sz w:val="24"/>
        </w:rPr>
      </w:pPr>
      <w:r>
        <w:rPr>
          <w:rFonts w:ascii="Times New Roman" w:hAnsi="Times New Roman"/>
          <w:color w:val="000000"/>
          <w:sz w:val="24"/>
        </w:rPr>
        <w:t>Urano resursų tobulinimą, gamybą ir tolimesnį perdirbimą.</w:t>
      </w:r>
    </w:p>
    <w:p w:rsidR="00934767" w:rsidRDefault="00934767" w:rsidP="00934767">
      <w:pPr>
        <w:rPr>
          <w:rFonts w:ascii="Times New Roman" w:hAnsi="Times New Roman"/>
          <w:sz w:val="24"/>
        </w:rPr>
      </w:pPr>
      <w:r>
        <w:rPr>
          <w:rFonts w:ascii="Times New Roman" w:hAnsi="Times New Roman"/>
          <w:color w:val="000000"/>
          <w:sz w:val="24"/>
        </w:rPr>
        <w:t>Susitarimas taip pat įgalina tęstinį bendradarbiavimą tarp ES ir JK Europos bendrijos skubios radiologinės informacijos mainuose (ECURIE) ar Europos radiologijos duomenų keitimosi platformoje (EURDEP). Tai leis tiek JK, tiek ES valstybėms narėms gauti ankstyvus pranešimus ir patikimą radiologinę informaciją nutikus branduoliniam incidentui. Tolimesnis bendradarbiavimas šiose srityse taip pat įgalins greitą, koordinuotą atsaką ra</w:t>
      </w:r>
      <w:r w:rsidR="00C26C90">
        <w:rPr>
          <w:rFonts w:ascii="Times New Roman" w:hAnsi="Times New Roman"/>
          <w:color w:val="000000"/>
          <w:sz w:val="24"/>
        </w:rPr>
        <w:t>d</w:t>
      </w:r>
      <w:r>
        <w:rPr>
          <w:rFonts w:ascii="Times New Roman" w:hAnsi="Times New Roman"/>
          <w:color w:val="000000"/>
          <w:sz w:val="24"/>
        </w:rPr>
        <w:t>iologinėms grėsmėms keičiantis duomenimis realiu laiku.</w:t>
      </w:r>
    </w:p>
    <w:p w:rsidR="00934767" w:rsidRPr="00885781" w:rsidRDefault="00934767" w:rsidP="00885781">
      <w:pPr>
        <w:spacing w:line="240" w:lineRule="auto"/>
        <w:rPr>
          <w:rFonts w:ascii="Times New Roman" w:hAnsi="Times New Roman"/>
          <w:sz w:val="24"/>
        </w:rPr>
      </w:pPr>
      <w:r>
        <w:rPr>
          <w:rFonts w:ascii="Times New Roman" w:hAnsi="Times New Roman"/>
          <w:color w:val="000000"/>
          <w:sz w:val="24"/>
        </w:rPr>
        <w:lastRenderedPageBreak/>
        <w:t>Susitarimas numato, kad apie pusės griežtai įsipareigoja nemažinti esamų atominės energetikos saugos srityse, taip pat numato abipusiu įsipareigojimus dėl tarptautinių atominės energetikos saugos standartų įgyvendinimo.</w:t>
      </w:r>
    </w:p>
    <w:p w:rsidR="00F4231F" w:rsidRPr="00A77C22" w:rsidRDefault="00F4231F" w:rsidP="00A77C22">
      <w:pPr>
        <w:pStyle w:val="Heading1"/>
        <w:spacing w:line="240" w:lineRule="auto"/>
        <w:rPr>
          <w:rFonts w:ascii="Times New Roman" w:hAnsi="Times New Roman" w:cs="Times New Roman"/>
          <w:b/>
          <w:color w:val="auto"/>
          <w:sz w:val="24"/>
          <w:szCs w:val="24"/>
          <w:u w:val="single"/>
        </w:rPr>
      </w:pPr>
      <w:bookmarkStart w:id="4" w:name="_ES-JK_pasiektų_susitarimų"/>
      <w:bookmarkStart w:id="5" w:name="_ES_Tarybos_sprendimai"/>
      <w:bookmarkEnd w:id="4"/>
      <w:bookmarkEnd w:id="5"/>
      <w:r w:rsidRPr="00F4231F">
        <w:rPr>
          <w:rFonts w:ascii="Times New Roman" w:hAnsi="Times New Roman" w:cs="Times New Roman"/>
          <w:b/>
          <w:color w:val="auto"/>
          <w:sz w:val="24"/>
          <w:szCs w:val="24"/>
          <w:u w:val="single"/>
        </w:rPr>
        <w:t>ES Tarybos sprendimai dėl ES-JK susitarimų</w:t>
      </w:r>
    </w:p>
    <w:p w:rsidR="00F4231F" w:rsidRDefault="00F4231F" w:rsidP="00885781">
      <w:pPr>
        <w:spacing w:line="240" w:lineRule="auto"/>
        <w:rPr>
          <w:rFonts w:ascii="Times New Roman" w:hAnsi="Times New Roman" w:cs="Times New Roman"/>
          <w:sz w:val="24"/>
          <w:szCs w:val="24"/>
        </w:rPr>
      </w:pPr>
      <w:r w:rsidRPr="00F4231F">
        <w:rPr>
          <w:rFonts w:ascii="Times New Roman" w:hAnsi="Times New Roman" w:cs="Times New Roman"/>
          <w:sz w:val="24"/>
          <w:szCs w:val="24"/>
        </w:rPr>
        <w:t>Europos Komisijos siūlymu yra parengti du ES Tarybos sprendimai, susiję su pasiektų trijų ES-JK susitarimų teisiniais formalumais:</w:t>
      </w:r>
    </w:p>
    <w:p w:rsidR="00F4231F" w:rsidRPr="00A80C6D" w:rsidRDefault="00F4231F" w:rsidP="00885781">
      <w:pPr>
        <w:pStyle w:val="NormalWeb"/>
        <w:numPr>
          <w:ilvl w:val="0"/>
          <w:numId w:val="9"/>
        </w:numPr>
        <w:jc w:val="both"/>
        <w:rPr>
          <w:color w:val="000000"/>
        </w:rPr>
      </w:pPr>
      <w:r w:rsidRPr="00A80C6D">
        <w:rPr>
          <w:color w:val="000000"/>
        </w:rPr>
        <w:t>Eur</w:t>
      </w:r>
      <w:r w:rsidR="00885781">
        <w:rPr>
          <w:color w:val="000000"/>
        </w:rPr>
        <w:t>opos Sąjungos Tarybos sprendimas</w:t>
      </w:r>
      <w:r w:rsidRPr="00A80C6D">
        <w:rPr>
          <w:color w:val="000000"/>
        </w:rPr>
        <w:t xml:space="preserve"> dėl Europos Sąjungos bei Europos atominės energijos bendrijos ir Jungtinės Didžiosios Britanijos ir Šiaurės Airijos Karalystės prekybos ir bendradarbiavimo susitarimo ir Europos Sąjungos ir Jungtinės Didžiosios Britanijos ir Šiaurės Airijos Karalystės susitarimo dėl keitimosi įslaptinta informacija ir jos apsaugos saugumo procedūrų pasirašymo Sąjungos vardu ir laikino taikymo</w:t>
      </w:r>
      <w:r w:rsidR="00885781">
        <w:rPr>
          <w:color w:val="000000"/>
        </w:rPr>
        <w:t>.</w:t>
      </w:r>
    </w:p>
    <w:p w:rsidR="00F4231F" w:rsidRDefault="00F4231F" w:rsidP="00885781">
      <w:pPr>
        <w:spacing w:line="240" w:lineRule="auto"/>
        <w:rPr>
          <w:rFonts w:ascii="Times New Roman" w:hAnsi="Times New Roman" w:cs="Times New Roman"/>
          <w:sz w:val="24"/>
          <w:szCs w:val="24"/>
        </w:rPr>
      </w:pPr>
      <w:r>
        <w:rPr>
          <w:rFonts w:ascii="Times New Roman" w:hAnsi="Times New Roman" w:cs="Times New Roman"/>
          <w:sz w:val="24"/>
          <w:szCs w:val="24"/>
        </w:rPr>
        <w:t>Šiuo ES Tarybos sprendimu:</w:t>
      </w:r>
    </w:p>
    <w:p w:rsidR="00F4231F" w:rsidRDefault="00F4231F" w:rsidP="00885781">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Pritariama prekybos ir bendradarbiavimo ir įslaptintos informacijos mainų susitarimų pasirašymui.</w:t>
      </w:r>
    </w:p>
    <w:p w:rsidR="00F4231F" w:rsidRDefault="00F4231F" w:rsidP="00885781">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Pritariama prekybos ir bendradarbiavimo ir įslaptintos informacijos mainų susitarimų laikinam taikymui. Numatytas terminas – 2 mėnesiai, su galimybe laikino taikymo terminą pratęsti.</w:t>
      </w:r>
    </w:p>
    <w:p w:rsidR="00F4231F" w:rsidRDefault="00F4231F" w:rsidP="00885781">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Išreiškiamas pritarimas 2 ES Tarybos deklaracijoms, </w:t>
      </w:r>
      <w:r w:rsidR="002D4DF1">
        <w:rPr>
          <w:rFonts w:ascii="Times New Roman" w:hAnsi="Times New Roman" w:cs="Times New Roman"/>
          <w:sz w:val="24"/>
          <w:szCs w:val="24"/>
        </w:rPr>
        <w:t xml:space="preserve">kurie </w:t>
      </w:r>
      <w:r>
        <w:rPr>
          <w:rFonts w:ascii="Times New Roman" w:hAnsi="Times New Roman" w:cs="Times New Roman"/>
          <w:sz w:val="24"/>
          <w:szCs w:val="24"/>
        </w:rPr>
        <w:t>lydi pasiektus ES-JK susitarimus:</w:t>
      </w:r>
    </w:p>
    <w:p w:rsidR="00F4231F" w:rsidRPr="00885781" w:rsidRDefault="00F4231F" w:rsidP="00885781">
      <w:pPr>
        <w:pStyle w:val="ListParagraph"/>
        <w:numPr>
          <w:ilvl w:val="1"/>
          <w:numId w:val="10"/>
        </w:numPr>
        <w:spacing w:line="240" w:lineRule="auto"/>
        <w:jc w:val="both"/>
        <w:rPr>
          <w:rFonts w:ascii="Times New Roman" w:hAnsi="Times New Roman" w:cs="Times New Roman"/>
          <w:color w:val="000000"/>
          <w:sz w:val="24"/>
          <w:szCs w:val="24"/>
        </w:rPr>
      </w:pPr>
      <w:r w:rsidRPr="00885781">
        <w:rPr>
          <w:rFonts w:ascii="Times New Roman" w:hAnsi="Times New Roman" w:cs="Times New Roman"/>
          <w:sz w:val="24"/>
          <w:szCs w:val="24"/>
        </w:rPr>
        <w:t>Deklaracija dėl susitarimo teisinio pobūdžio</w:t>
      </w:r>
      <w:r w:rsidR="00885781" w:rsidRPr="00885781">
        <w:rPr>
          <w:rFonts w:ascii="Times New Roman" w:hAnsi="Times New Roman" w:cs="Times New Roman"/>
          <w:sz w:val="24"/>
          <w:szCs w:val="24"/>
        </w:rPr>
        <w:t xml:space="preserve">. </w:t>
      </w:r>
      <w:r w:rsidR="00885781" w:rsidRPr="00885781">
        <w:rPr>
          <w:rFonts w:ascii="Times New Roman" w:hAnsi="Times New Roman" w:cs="Times New Roman"/>
          <w:color w:val="000000"/>
          <w:sz w:val="24"/>
          <w:szCs w:val="24"/>
        </w:rPr>
        <w:t>Deklaracija dėl ES-JK prekybos ir bendradarbiavimo susitarimo teisinio pobūdžio pabrėžiama, kad, nepaisant to, kad į  prekybos ir bendradarbiavimo susitarimą yra įtrauktos tam tikros ES ir valstybių narių pasidalintos kompetencijos sritys, susitarimas yra laikomas ES išskirtinės kompetencijos susitarimu. Tačiau ši situacija nesukuria precedento, kuriuo ES ir valstybių narių pasidalintos kompetencijos sritys būtų perleistos ES. Toks teisinis žingsnis skirtas tam, kad būtų suspėta pradėti laikinai taikyti prekybos ir bendradarbiavimo susitarimą nuo sausio 1 d., taip išvengiant situacijos, kuomet ES ir JK santykių nereglamentuotų joks susitarimas.</w:t>
      </w:r>
    </w:p>
    <w:p w:rsidR="00885781" w:rsidRPr="00885781" w:rsidRDefault="00F4231F" w:rsidP="00885781">
      <w:pPr>
        <w:pStyle w:val="ListParagraph"/>
        <w:numPr>
          <w:ilvl w:val="1"/>
          <w:numId w:val="10"/>
        </w:numPr>
        <w:spacing w:line="240" w:lineRule="auto"/>
        <w:jc w:val="both"/>
        <w:rPr>
          <w:rFonts w:ascii="Times New Roman" w:hAnsi="Times New Roman" w:cs="Times New Roman"/>
          <w:color w:val="000000"/>
          <w:sz w:val="24"/>
          <w:szCs w:val="24"/>
        </w:rPr>
      </w:pPr>
      <w:r w:rsidRPr="00885781">
        <w:rPr>
          <w:rFonts w:ascii="Times New Roman" w:hAnsi="Times New Roman" w:cs="Times New Roman"/>
          <w:sz w:val="24"/>
          <w:szCs w:val="24"/>
        </w:rPr>
        <w:t>Deklaracija dėl laikino taikymo</w:t>
      </w:r>
      <w:r w:rsidR="00885781" w:rsidRPr="00885781">
        <w:rPr>
          <w:rFonts w:ascii="Times New Roman" w:hAnsi="Times New Roman" w:cs="Times New Roman"/>
          <w:sz w:val="24"/>
          <w:szCs w:val="24"/>
        </w:rPr>
        <w:t xml:space="preserve">. Deklaracija </w:t>
      </w:r>
      <w:r w:rsidR="00885781" w:rsidRPr="00885781">
        <w:rPr>
          <w:rFonts w:ascii="Times New Roman" w:hAnsi="Times New Roman" w:cs="Times New Roman"/>
          <w:color w:val="000000"/>
          <w:sz w:val="24"/>
          <w:szCs w:val="24"/>
        </w:rPr>
        <w:t>numato, kad ES Tarybos sprendimu bus pradėtas prekybos ir bendradarbiavimo ir įslaptintos informacijos keitimosi susitarimų laikinas taikymas nuo sausio 1 dienos. Laikino taikymo laikotarpis bus skirtas Europos Parlamentui atlikti reikiamas procedūras bei pritarti susitarimams bei teisininkams lingvistams atlikti susitarimų vertimus į visas oficialias ES kalbas. Baigiantis laikino taikymo laikotarpiui, kuriam šiuo metu skirti 2 mėnesiai (su galimybe pratęsti).</w:t>
      </w:r>
    </w:p>
    <w:p w:rsidR="00885781" w:rsidRPr="00A80C6D" w:rsidRDefault="00885781" w:rsidP="00885781">
      <w:pPr>
        <w:pStyle w:val="NormalWeb"/>
        <w:numPr>
          <w:ilvl w:val="0"/>
          <w:numId w:val="9"/>
        </w:numPr>
        <w:jc w:val="both"/>
        <w:rPr>
          <w:color w:val="000000"/>
        </w:rPr>
      </w:pPr>
      <w:r w:rsidRPr="00A80C6D">
        <w:rPr>
          <w:color w:val="000000"/>
        </w:rPr>
        <w:t>Eur</w:t>
      </w:r>
      <w:r>
        <w:rPr>
          <w:color w:val="000000"/>
        </w:rPr>
        <w:t>opos Sąjungos Tarybos sprendimas</w:t>
      </w:r>
      <w:r w:rsidRPr="00A80C6D">
        <w:rPr>
          <w:color w:val="000000"/>
        </w:rPr>
        <w:t>, kuriuo pritariama tam, kad Europos Komisija sudarytų Jungtinės Didžiosios Britanijos ir Šiaurės Airijos Karalystės Vyriausybės ir Europos atominės energijos bendrijos susitarimą dėl bendradarbiavimo saugaus ir taikaus branduolinės energijos naudojimo srityje ir kad Europos Komisija Europos atominės energijos bendrijos vardu sudarytų Europos Sąjungos bei Europos atominės energijos bendrijos ir Jungtinės Didžiosios Britanijos ir Šiaurės Airijos Karalystės prekybos ir bendradarbiavimo susitarimą.</w:t>
      </w:r>
    </w:p>
    <w:p w:rsidR="00885781" w:rsidRDefault="00885781" w:rsidP="00885781">
      <w:pPr>
        <w:spacing w:line="240" w:lineRule="auto"/>
        <w:rPr>
          <w:rFonts w:ascii="Times New Roman" w:hAnsi="Times New Roman" w:cs="Times New Roman"/>
          <w:sz w:val="24"/>
          <w:szCs w:val="24"/>
        </w:rPr>
      </w:pPr>
      <w:r w:rsidRPr="00885781">
        <w:rPr>
          <w:rFonts w:ascii="Times New Roman" w:hAnsi="Times New Roman" w:cs="Times New Roman"/>
          <w:sz w:val="24"/>
          <w:szCs w:val="24"/>
        </w:rPr>
        <w:t>Šiuo ES Tarybos sprendimu:</w:t>
      </w:r>
    </w:p>
    <w:p w:rsidR="00885781" w:rsidRDefault="00885781" w:rsidP="0088578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Pritariama ES-JK susitarimui branduolinės energetikos srityje.</w:t>
      </w:r>
    </w:p>
    <w:p w:rsidR="00885781" w:rsidRDefault="00885781" w:rsidP="0088578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Pritariama šio susitarimo laikinam taikymui.</w:t>
      </w:r>
    </w:p>
    <w:p w:rsidR="004620C7" w:rsidRPr="00885781" w:rsidRDefault="004620C7" w:rsidP="0088578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Šalia šio sprendimo, ES-JK apsikeitė laiškais dėl šio susitarimo laikino taikymo.</w:t>
      </w:r>
    </w:p>
    <w:p w:rsidR="00934767" w:rsidRDefault="00934767" w:rsidP="00934767">
      <w:pPr>
        <w:pStyle w:val="Heading1"/>
        <w:rPr>
          <w:rFonts w:ascii="Times New Roman" w:hAnsi="Times New Roman" w:cs="Times New Roman"/>
          <w:b/>
          <w:color w:val="auto"/>
          <w:sz w:val="24"/>
          <w:u w:val="single"/>
        </w:rPr>
      </w:pPr>
      <w:r w:rsidRPr="00934767">
        <w:rPr>
          <w:rFonts w:ascii="Times New Roman" w:hAnsi="Times New Roman" w:cs="Times New Roman"/>
          <w:b/>
          <w:color w:val="auto"/>
          <w:sz w:val="24"/>
          <w:u w:val="single"/>
        </w:rPr>
        <w:lastRenderedPageBreak/>
        <w:t>ES-JK pasiektų susitarimų priėmimo procedūros ES ir Lietuvoje</w:t>
      </w:r>
    </w:p>
    <w:p w:rsidR="00AD2A80" w:rsidRDefault="00AD2A80" w:rsidP="00AD2A80"/>
    <w:tbl>
      <w:tblPr>
        <w:tblStyle w:val="TableGrid"/>
        <w:tblW w:w="0" w:type="auto"/>
        <w:tblLook w:val="04A0" w:firstRow="1" w:lastRow="0" w:firstColumn="1" w:lastColumn="0" w:noHBand="0" w:noVBand="1"/>
      </w:tblPr>
      <w:tblGrid>
        <w:gridCol w:w="3210"/>
        <w:gridCol w:w="3209"/>
        <w:gridCol w:w="3209"/>
      </w:tblGrid>
      <w:tr w:rsidR="00B679CA" w:rsidTr="00331F4D">
        <w:tc>
          <w:tcPr>
            <w:tcW w:w="3210" w:type="dxa"/>
            <w:vMerge w:val="restart"/>
          </w:tcPr>
          <w:p w:rsidR="00B679CA" w:rsidRPr="00B679CA" w:rsidRDefault="00B679CA" w:rsidP="00B679CA">
            <w:pPr>
              <w:jc w:val="center"/>
              <w:rPr>
                <w:rFonts w:ascii="Times New Roman" w:hAnsi="Times New Roman" w:cs="Times New Roman"/>
                <w:sz w:val="24"/>
              </w:rPr>
            </w:pPr>
            <w:r w:rsidRPr="00B679CA">
              <w:rPr>
                <w:rFonts w:ascii="Times New Roman" w:hAnsi="Times New Roman" w:cs="Times New Roman"/>
                <w:b/>
                <w:sz w:val="24"/>
              </w:rPr>
              <w:t>Data</w:t>
            </w:r>
          </w:p>
        </w:tc>
        <w:tc>
          <w:tcPr>
            <w:tcW w:w="3209" w:type="dxa"/>
          </w:tcPr>
          <w:p w:rsidR="00B679CA" w:rsidRPr="00B679CA" w:rsidRDefault="00B679CA" w:rsidP="00B679CA">
            <w:pPr>
              <w:jc w:val="center"/>
              <w:rPr>
                <w:rFonts w:ascii="Times New Roman" w:hAnsi="Times New Roman" w:cs="Times New Roman"/>
                <w:b/>
                <w:sz w:val="24"/>
              </w:rPr>
            </w:pPr>
            <w:r w:rsidRPr="00B679CA">
              <w:rPr>
                <w:rFonts w:ascii="Times New Roman" w:hAnsi="Times New Roman" w:cs="Times New Roman"/>
                <w:b/>
                <w:sz w:val="24"/>
              </w:rPr>
              <w:t>Procedūros ES</w:t>
            </w:r>
          </w:p>
        </w:tc>
        <w:tc>
          <w:tcPr>
            <w:tcW w:w="3209" w:type="dxa"/>
          </w:tcPr>
          <w:p w:rsidR="00B679CA" w:rsidRPr="00B679CA" w:rsidRDefault="00B679CA" w:rsidP="00B679CA">
            <w:pPr>
              <w:jc w:val="center"/>
              <w:rPr>
                <w:rFonts w:ascii="Times New Roman" w:hAnsi="Times New Roman" w:cs="Times New Roman"/>
                <w:b/>
                <w:sz w:val="24"/>
              </w:rPr>
            </w:pPr>
            <w:r w:rsidRPr="00B679CA">
              <w:rPr>
                <w:rFonts w:ascii="Times New Roman" w:hAnsi="Times New Roman" w:cs="Times New Roman"/>
                <w:b/>
                <w:sz w:val="24"/>
              </w:rPr>
              <w:t>Procedūros Lietuvoje</w:t>
            </w:r>
          </w:p>
        </w:tc>
      </w:tr>
      <w:tr w:rsidR="00B679CA" w:rsidTr="00BD47E0">
        <w:tc>
          <w:tcPr>
            <w:tcW w:w="3210" w:type="dxa"/>
            <w:vMerge/>
          </w:tcPr>
          <w:p w:rsidR="00B679CA" w:rsidRPr="00B679CA" w:rsidRDefault="00B679CA" w:rsidP="00B679CA">
            <w:pPr>
              <w:jc w:val="center"/>
              <w:rPr>
                <w:rFonts w:ascii="Times New Roman" w:hAnsi="Times New Roman" w:cs="Times New Roman"/>
                <w:b/>
                <w:sz w:val="24"/>
              </w:rPr>
            </w:pPr>
          </w:p>
        </w:tc>
        <w:tc>
          <w:tcPr>
            <w:tcW w:w="6418" w:type="dxa"/>
            <w:gridSpan w:val="2"/>
          </w:tcPr>
          <w:p w:rsidR="00B679CA" w:rsidRPr="00B679CA" w:rsidRDefault="00B679CA" w:rsidP="00AD2A80">
            <w:pPr>
              <w:rPr>
                <w:rFonts w:ascii="Times New Roman" w:hAnsi="Times New Roman" w:cs="Times New Roman"/>
                <w:sz w:val="24"/>
              </w:rPr>
            </w:pP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24 d.</w:t>
            </w:r>
          </w:p>
        </w:tc>
        <w:tc>
          <w:tcPr>
            <w:tcW w:w="3209" w:type="dxa"/>
          </w:tcPr>
          <w:p w:rsidR="00331F4D" w:rsidRPr="00B679CA" w:rsidRDefault="00331F4D" w:rsidP="00B679CA">
            <w:pPr>
              <w:jc w:val="both"/>
              <w:rPr>
                <w:rFonts w:ascii="Times New Roman" w:hAnsi="Times New Roman" w:cs="Times New Roman"/>
                <w:sz w:val="24"/>
              </w:rPr>
            </w:pPr>
            <w:r w:rsidRPr="00B679CA">
              <w:rPr>
                <w:rFonts w:ascii="Times New Roman" w:hAnsi="Times New Roman" w:cs="Times New Roman"/>
                <w:sz w:val="24"/>
              </w:rPr>
              <w:t>Pasiekti trys susitarimai tarp ES-JK derybininkų lygiu.</w:t>
            </w:r>
          </w:p>
        </w:tc>
        <w:tc>
          <w:tcPr>
            <w:tcW w:w="3209" w:type="dxa"/>
          </w:tcPr>
          <w:p w:rsidR="00331F4D" w:rsidRPr="00B679CA" w:rsidRDefault="00C7148D" w:rsidP="00B679CA">
            <w:pPr>
              <w:jc w:val="both"/>
              <w:rPr>
                <w:rFonts w:ascii="Times New Roman" w:hAnsi="Times New Roman" w:cs="Times New Roman"/>
                <w:sz w:val="24"/>
              </w:rPr>
            </w:pPr>
            <w:r>
              <w:rPr>
                <w:rFonts w:ascii="Times New Roman" w:hAnsi="Times New Roman" w:cs="Times New Roman"/>
                <w:sz w:val="24"/>
              </w:rPr>
              <w:t>ES-JK susitarimų tekstai išplatinami visoms LR ministerijoms ir susijusioms institucijoms.</w:t>
            </w: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25 d.</w:t>
            </w:r>
          </w:p>
        </w:tc>
        <w:tc>
          <w:tcPr>
            <w:tcW w:w="3209" w:type="dxa"/>
          </w:tcPr>
          <w:p w:rsidR="00331F4D" w:rsidRDefault="00B679CA" w:rsidP="00B679CA">
            <w:pPr>
              <w:jc w:val="both"/>
              <w:rPr>
                <w:rFonts w:ascii="Times New Roman" w:hAnsi="Times New Roman" w:cs="Times New Roman"/>
                <w:sz w:val="24"/>
              </w:rPr>
            </w:pPr>
            <w:r w:rsidRPr="00B679CA">
              <w:rPr>
                <w:rFonts w:ascii="Times New Roman" w:hAnsi="Times New Roman" w:cs="Times New Roman"/>
                <w:sz w:val="24"/>
              </w:rPr>
              <w:t>Pasiekti susitarimai pristat</w:t>
            </w:r>
            <w:r w:rsidR="00C26C90">
              <w:rPr>
                <w:rFonts w:ascii="Times New Roman" w:hAnsi="Times New Roman" w:cs="Times New Roman"/>
                <w:sz w:val="24"/>
              </w:rPr>
              <w:t>yti</w:t>
            </w:r>
            <w:r w:rsidRPr="00B679CA">
              <w:rPr>
                <w:rFonts w:ascii="Times New Roman" w:hAnsi="Times New Roman" w:cs="Times New Roman"/>
                <w:sz w:val="24"/>
              </w:rPr>
              <w:t xml:space="preserve"> COREPER lygiu, Europos Komisija pristat</w:t>
            </w:r>
            <w:r w:rsidR="00C26C90">
              <w:rPr>
                <w:rFonts w:ascii="Times New Roman" w:hAnsi="Times New Roman" w:cs="Times New Roman"/>
                <w:sz w:val="24"/>
              </w:rPr>
              <w:t>ė</w:t>
            </w:r>
            <w:r w:rsidRPr="00B679CA">
              <w:rPr>
                <w:rFonts w:ascii="Times New Roman" w:hAnsi="Times New Roman" w:cs="Times New Roman"/>
                <w:sz w:val="24"/>
              </w:rPr>
              <w:t xml:space="preserve"> pasiūlymus dėl Tarybos dviejų Tarybos sprendimų.</w:t>
            </w:r>
          </w:p>
          <w:p w:rsidR="00C7148D" w:rsidRDefault="00C7148D" w:rsidP="00B679CA">
            <w:pPr>
              <w:jc w:val="both"/>
              <w:rPr>
                <w:rFonts w:ascii="Times New Roman" w:hAnsi="Times New Roman" w:cs="Times New Roman"/>
                <w:sz w:val="24"/>
              </w:rPr>
            </w:pPr>
          </w:p>
          <w:p w:rsidR="00C7148D" w:rsidRPr="00B679CA" w:rsidRDefault="00C7148D" w:rsidP="00C7148D">
            <w:pPr>
              <w:jc w:val="both"/>
              <w:rPr>
                <w:rFonts w:ascii="Times New Roman" w:hAnsi="Times New Roman" w:cs="Times New Roman"/>
                <w:sz w:val="24"/>
              </w:rPr>
            </w:pPr>
            <w:r>
              <w:rPr>
                <w:rFonts w:ascii="Times New Roman" w:hAnsi="Times New Roman" w:cs="Times New Roman"/>
                <w:sz w:val="24"/>
              </w:rPr>
              <w:t>Europos Parlamentas COREPER patvirtintu laišku informuojamas apie visas su susitarimais susijusias procedūras.</w:t>
            </w:r>
          </w:p>
        </w:tc>
        <w:tc>
          <w:tcPr>
            <w:tcW w:w="3209" w:type="dxa"/>
          </w:tcPr>
          <w:p w:rsidR="00331F4D" w:rsidRPr="00B679CA" w:rsidRDefault="00331F4D" w:rsidP="00B679CA">
            <w:pPr>
              <w:jc w:val="both"/>
              <w:rPr>
                <w:rFonts w:ascii="Times New Roman" w:hAnsi="Times New Roman" w:cs="Times New Roman"/>
                <w:sz w:val="24"/>
              </w:rPr>
            </w:pPr>
            <w:r w:rsidRPr="00B679CA">
              <w:rPr>
                <w:rFonts w:ascii="Times New Roman" w:hAnsi="Times New Roman" w:cs="Times New Roman"/>
                <w:sz w:val="24"/>
              </w:rPr>
              <w:t>Lietuvos narystės Europos Sąjungoje informacinėje sistemoje pradėtas nacionalinės Lietuvos pozicijos dėl pasiektų ES-JK susitarimų</w:t>
            </w:r>
            <w:r w:rsidR="00CA2699">
              <w:rPr>
                <w:rFonts w:ascii="Times New Roman" w:hAnsi="Times New Roman" w:cs="Times New Roman"/>
                <w:sz w:val="24"/>
              </w:rPr>
              <w:t xml:space="preserve"> derinimas</w:t>
            </w:r>
            <w:r w:rsidRPr="00B679CA">
              <w:rPr>
                <w:rFonts w:ascii="Times New Roman" w:hAnsi="Times New Roman" w:cs="Times New Roman"/>
                <w:sz w:val="24"/>
              </w:rPr>
              <w:t>.</w:t>
            </w: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26 d.</w:t>
            </w:r>
          </w:p>
        </w:tc>
        <w:tc>
          <w:tcPr>
            <w:tcW w:w="3209" w:type="dxa"/>
          </w:tcPr>
          <w:p w:rsidR="00331F4D" w:rsidRPr="00B679CA" w:rsidRDefault="00331F4D" w:rsidP="00B679CA">
            <w:pPr>
              <w:jc w:val="both"/>
              <w:rPr>
                <w:rFonts w:ascii="Times New Roman" w:hAnsi="Times New Roman" w:cs="Times New Roman"/>
                <w:sz w:val="24"/>
              </w:rPr>
            </w:pPr>
          </w:p>
        </w:tc>
        <w:tc>
          <w:tcPr>
            <w:tcW w:w="3209" w:type="dxa"/>
          </w:tcPr>
          <w:p w:rsidR="00331F4D" w:rsidRPr="00B679CA" w:rsidRDefault="00331F4D" w:rsidP="00B679CA">
            <w:pPr>
              <w:jc w:val="both"/>
              <w:rPr>
                <w:rFonts w:ascii="Times New Roman" w:hAnsi="Times New Roman" w:cs="Times New Roman"/>
                <w:sz w:val="24"/>
              </w:rPr>
            </w:pP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27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Jungtinės Karalystės klausimų darbo grupės lygiu pritar</w:t>
            </w:r>
            <w:r w:rsidR="00CA2699">
              <w:rPr>
                <w:rFonts w:ascii="Times New Roman" w:hAnsi="Times New Roman" w:cs="Times New Roman"/>
                <w:sz w:val="24"/>
              </w:rPr>
              <w:t>t</w:t>
            </w:r>
            <w:r w:rsidRPr="00B679CA">
              <w:rPr>
                <w:rFonts w:ascii="Times New Roman" w:hAnsi="Times New Roman" w:cs="Times New Roman"/>
                <w:sz w:val="24"/>
              </w:rPr>
              <w:t>a Tarybos sprendimams.</w:t>
            </w:r>
          </w:p>
        </w:tc>
        <w:tc>
          <w:tcPr>
            <w:tcW w:w="3209" w:type="dxa"/>
          </w:tcPr>
          <w:p w:rsidR="00331F4D" w:rsidRPr="00B679CA" w:rsidRDefault="00331F4D" w:rsidP="00B679CA">
            <w:pPr>
              <w:jc w:val="both"/>
              <w:rPr>
                <w:rFonts w:ascii="Times New Roman" w:hAnsi="Times New Roman" w:cs="Times New Roman"/>
                <w:sz w:val="24"/>
              </w:rPr>
            </w:pP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28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COREPER lygiu pritariama Tarybos sprendimams.</w:t>
            </w:r>
          </w:p>
          <w:p w:rsidR="00B679CA" w:rsidRPr="00B679CA" w:rsidRDefault="00B679CA" w:rsidP="00B679CA">
            <w:pPr>
              <w:jc w:val="both"/>
              <w:rPr>
                <w:rFonts w:ascii="Times New Roman" w:hAnsi="Times New Roman" w:cs="Times New Roman"/>
                <w:sz w:val="24"/>
              </w:rPr>
            </w:pPr>
          </w:p>
          <w:p w:rsidR="00B679CA"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Skelbiama ES Tarybos rašytinė procedūra dėl dviejų ES Tarybos sprendimų priėmimo.</w:t>
            </w:r>
          </w:p>
        </w:tc>
        <w:tc>
          <w:tcPr>
            <w:tcW w:w="3209" w:type="dxa"/>
          </w:tcPr>
          <w:p w:rsidR="00B679CA"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Baigiama formuoti Lietuvos nacionalinė pozicija.</w:t>
            </w:r>
          </w:p>
          <w:p w:rsidR="00B679CA" w:rsidRPr="00B679CA" w:rsidRDefault="00B679CA" w:rsidP="00B679CA">
            <w:pPr>
              <w:jc w:val="both"/>
              <w:rPr>
                <w:rFonts w:ascii="Times New Roman" w:hAnsi="Times New Roman" w:cs="Times New Roman"/>
                <w:sz w:val="24"/>
              </w:rPr>
            </w:pPr>
          </w:p>
          <w:p w:rsidR="00331F4D" w:rsidRPr="00B679CA" w:rsidRDefault="00331F4D" w:rsidP="00B679CA">
            <w:pPr>
              <w:jc w:val="both"/>
              <w:rPr>
                <w:rFonts w:ascii="Times New Roman" w:hAnsi="Times New Roman" w:cs="Times New Roman"/>
                <w:sz w:val="24"/>
              </w:rPr>
            </w:pPr>
            <w:r w:rsidRPr="00B679CA">
              <w:rPr>
                <w:rFonts w:ascii="Times New Roman" w:hAnsi="Times New Roman" w:cs="Times New Roman"/>
                <w:sz w:val="24"/>
              </w:rPr>
              <w:t>LRV pasitarimo metu pritariama pasiektiems ES-JK susitarimams bei dviem ES Tarybos sprendimams.</w:t>
            </w: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29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Baigiama rašytinė procedūra Tarybos sprendimams.</w:t>
            </w:r>
          </w:p>
          <w:p w:rsidR="00B679CA" w:rsidRPr="00B679CA" w:rsidRDefault="00B679CA" w:rsidP="00B679CA">
            <w:pPr>
              <w:jc w:val="both"/>
              <w:rPr>
                <w:rFonts w:ascii="Times New Roman" w:hAnsi="Times New Roman" w:cs="Times New Roman"/>
                <w:sz w:val="24"/>
              </w:rPr>
            </w:pPr>
          </w:p>
          <w:p w:rsidR="00B679CA"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Taryba perduoda priimtus sprendimus Europos Parlamentui.</w:t>
            </w:r>
          </w:p>
        </w:tc>
        <w:tc>
          <w:tcPr>
            <w:tcW w:w="3209" w:type="dxa"/>
          </w:tcPr>
          <w:p w:rsidR="00331F4D" w:rsidRPr="00B679CA" w:rsidRDefault="00331F4D" w:rsidP="00B679CA">
            <w:pPr>
              <w:jc w:val="both"/>
              <w:rPr>
                <w:rFonts w:ascii="Times New Roman" w:hAnsi="Times New Roman" w:cs="Times New Roman"/>
                <w:sz w:val="24"/>
              </w:rPr>
            </w:pPr>
            <w:r w:rsidRPr="00B679CA">
              <w:rPr>
                <w:rFonts w:ascii="Times New Roman" w:hAnsi="Times New Roman" w:cs="Times New Roman"/>
                <w:sz w:val="24"/>
              </w:rPr>
              <w:t>Pritariama ES Tarybos rašytinėms procedūroms dėl ES Tarybos sprendimų dėl pasiektų ES-JK susitarimų.</w:t>
            </w: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30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Pasirašomi visi trys ES-JK susitarimai. ES pusėje pasirašo EK ir EVT Pirmininkai.</w:t>
            </w:r>
          </w:p>
        </w:tc>
        <w:tc>
          <w:tcPr>
            <w:tcW w:w="3209" w:type="dxa"/>
          </w:tcPr>
          <w:p w:rsidR="00331F4D" w:rsidRPr="00B679CA" w:rsidRDefault="00331F4D" w:rsidP="00B679CA">
            <w:pPr>
              <w:jc w:val="both"/>
              <w:rPr>
                <w:rFonts w:ascii="Times New Roman" w:hAnsi="Times New Roman" w:cs="Times New Roman"/>
                <w:sz w:val="24"/>
              </w:rPr>
            </w:pP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Gruodžio 31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Visi dokumentai paskelbiami Oficialiame ES žurnale.</w:t>
            </w:r>
          </w:p>
          <w:p w:rsidR="00B679CA" w:rsidRPr="00B679CA" w:rsidRDefault="00B679CA" w:rsidP="00B679CA">
            <w:pPr>
              <w:jc w:val="both"/>
              <w:rPr>
                <w:rFonts w:ascii="Times New Roman" w:hAnsi="Times New Roman" w:cs="Times New Roman"/>
                <w:sz w:val="24"/>
              </w:rPr>
            </w:pPr>
          </w:p>
          <w:p w:rsidR="00B679CA"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Baigiasi pereinamasis laikotarpis.</w:t>
            </w:r>
          </w:p>
        </w:tc>
        <w:tc>
          <w:tcPr>
            <w:tcW w:w="3209" w:type="dxa"/>
          </w:tcPr>
          <w:p w:rsidR="00331F4D" w:rsidRPr="00B679CA" w:rsidRDefault="00331F4D" w:rsidP="00B679CA">
            <w:pPr>
              <w:jc w:val="both"/>
              <w:rPr>
                <w:rFonts w:ascii="Times New Roman" w:hAnsi="Times New Roman" w:cs="Times New Roman"/>
                <w:sz w:val="24"/>
              </w:rPr>
            </w:pPr>
          </w:p>
        </w:tc>
      </w:tr>
      <w:tr w:rsidR="00331F4D" w:rsidTr="00331F4D">
        <w:tc>
          <w:tcPr>
            <w:tcW w:w="3210" w:type="dxa"/>
          </w:tcPr>
          <w:p w:rsidR="00331F4D" w:rsidRPr="00B679CA" w:rsidRDefault="00331F4D" w:rsidP="00AD2A80">
            <w:pPr>
              <w:rPr>
                <w:rFonts w:ascii="Times New Roman" w:hAnsi="Times New Roman" w:cs="Times New Roman"/>
                <w:b/>
                <w:sz w:val="24"/>
              </w:rPr>
            </w:pPr>
            <w:r w:rsidRPr="00B679CA">
              <w:rPr>
                <w:rFonts w:ascii="Times New Roman" w:hAnsi="Times New Roman" w:cs="Times New Roman"/>
                <w:b/>
                <w:sz w:val="24"/>
              </w:rPr>
              <w:t>Sausio 1 d.</w:t>
            </w:r>
          </w:p>
        </w:tc>
        <w:tc>
          <w:tcPr>
            <w:tcW w:w="3209" w:type="dxa"/>
          </w:tcPr>
          <w:p w:rsidR="00331F4D" w:rsidRPr="00B679CA" w:rsidRDefault="00B679CA" w:rsidP="00B679CA">
            <w:pPr>
              <w:jc w:val="both"/>
              <w:rPr>
                <w:rFonts w:ascii="Times New Roman" w:hAnsi="Times New Roman" w:cs="Times New Roman"/>
                <w:sz w:val="24"/>
              </w:rPr>
            </w:pPr>
            <w:r w:rsidRPr="00B679CA">
              <w:rPr>
                <w:rFonts w:ascii="Times New Roman" w:hAnsi="Times New Roman" w:cs="Times New Roman"/>
                <w:sz w:val="24"/>
              </w:rPr>
              <w:t>Prasideda visų trijų ES-JK susitarimų laikinas taikymas.</w:t>
            </w:r>
          </w:p>
        </w:tc>
        <w:tc>
          <w:tcPr>
            <w:tcW w:w="3209" w:type="dxa"/>
          </w:tcPr>
          <w:p w:rsidR="00331F4D" w:rsidRPr="00B679CA" w:rsidRDefault="00331F4D" w:rsidP="00B679CA">
            <w:pPr>
              <w:jc w:val="both"/>
              <w:rPr>
                <w:rFonts w:ascii="Times New Roman" w:hAnsi="Times New Roman" w:cs="Times New Roman"/>
                <w:sz w:val="24"/>
              </w:rPr>
            </w:pPr>
          </w:p>
        </w:tc>
      </w:tr>
      <w:bookmarkEnd w:id="0"/>
    </w:tbl>
    <w:p w:rsidR="00331F4D" w:rsidRPr="00AD2A80" w:rsidRDefault="00331F4D" w:rsidP="00AD2A80"/>
    <w:sectPr w:rsidR="00331F4D" w:rsidRPr="00AD2A8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466" w:rsidRDefault="009B3466" w:rsidP="00742FFF">
      <w:pPr>
        <w:spacing w:after="0" w:line="240" w:lineRule="auto"/>
      </w:pPr>
      <w:r>
        <w:separator/>
      </w:r>
    </w:p>
  </w:endnote>
  <w:endnote w:type="continuationSeparator" w:id="0">
    <w:p w:rsidR="009B3466" w:rsidRDefault="009B3466" w:rsidP="0074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774433388"/>
      <w:docPartObj>
        <w:docPartGallery w:val="Page Numbers (Bottom of Page)"/>
        <w:docPartUnique/>
      </w:docPartObj>
    </w:sdtPr>
    <w:sdtEndPr>
      <w:rPr>
        <w:noProof/>
      </w:rPr>
    </w:sdtEndPr>
    <w:sdtContent>
      <w:p w:rsidR="00742FFF" w:rsidRPr="00742FFF" w:rsidRDefault="00742FFF">
        <w:pPr>
          <w:pStyle w:val="Footer"/>
          <w:jc w:val="right"/>
          <w:rPr>
            <w:rFonts w:ascii="Times New Roman" w:hAnsi="Times New Roman" w:cs="Times New Roman"/>
            <w:sz w:val="24"/>
          </w:rPr>
        </w:pPr>
        <w:r w:rsidRPr="00742FFF">
          <w:rPr>
            <w:rFonts w:ascii="Times New Roman" w:hAnsi="Times New Roman" w:cs="Times New Roman"/>
            <w:sz w:val="24"/>
          </w:rPr>
          <w:fldChar w:fldCharType="begin"/>
        </w:r>
        <w:r w:rsidRPr="00742FFF">
          <w:rPr>
            <w:rFonts w:ascii="Times New Roman" w:hAnsi="Times New Roman" w:cs="Times New Roman"/>
            <w:sz w:val="24"/>
          </w:rPr>
          <w:instrText xml:space="preserve"> PAGE   \* MERGEFORMAT </w:instrText>
        </w:r>
        <w:r w:rsidRPr="00742FFF">
          <w:rPr>
            <w:rFonts w:ascii="Times New Roman" w:hAnsi="Times New Roman" w:cs="Times New Roman"/>
            <w:sz w:val="24"/>
          </w:rPr>
          <w:fldChar w:fldCharType="separate"/>
        </w:r>
        <w:r w:rsidR="00CF4A47">
          <w:rPr>
            <w:rFonts w:ascii="Times New Roman" w:hAnsi="Times New Roman" w:cs="Times New Roman"/>
            <w:noProof/>
            <w:sz w:val="24"/>
          </w:rPr>
          <w:t>1</w:t>
        </w:r>
        <w:r w:rsidRPr="00742FFF">
          <w:rPr>
            <w:rFonts w:ascii="Times New Roman" w:hAnsi="Times New Roman" w:cs="Times New Roman"/>
            <w:noProof/>
            <w:sz w:val="24"/>
          </w:rPr>
          <w:fldChar w:fldCharType="end"/>
        </w:r>
      </w:p>
    </w:sdtContent>
  </w:sdt>
  <w:p w:rsidR="00742FFF" w:rsidRPr="00742FFF" w:rsidRDefault="00742FFF">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466" w:rsidRDefault="009B3466" w:rsidP="00742FFF">
      <w:pPr>
        <w:spacing w:after="0" w:line="240" w:lineRule="auto"/>
      </w:pPr>
      <w:r>
        <w:separator/>
      </w:r>
    </w:p>
  </w:footnote>
  <w:footnote w:type="continuationSeparator" w:id="0">
    <w:p w:rsidR="009B3466" w:rsidRDefault="009B3466" w:rsidP="00742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8C"/>
    <w:multiLevelType w:val="hybridMultilevel"/>
    <w:tmpl w:val="53F2EA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B7566"/>
    <w:multiLevelType w:val="hybridMultilevel"/>
    <w:tmpl w:val="4AF0306C"/>
    <w:lvl w:ilvl="0" w:tplc="707AD935">
      <w:start w:val="1"/>
      <w:numFmt w:val="bullet"/>
      <w:lvlText w:val="·"/>
      <w:lvlJc w:val="left"/>
      <w:pPr>
        <w:ind w:left="720" w:hanging="360"/>
      </w:pPr>
      <w:rPr>
        <w:rFonts w:ascii="Symbol" w:hAnsi="Symbol"/>
      </w:rPr>
    </w:lvl>
    <w:lvl w:ilvl="1" w:tplc="0A071A9A">
      <w:start w:val="1"/>
      <w:numFmt w:val="bullet"/>
      <w:lvlText w:val="o"/>
      <w:lvlJc w:val="left"/>
      <w:pPr>
        <w:ind w:left="1440" w:hanging="360"/>
      </w:pPr>
      <w:rPr>
        <w:rFonts w:ascii="Symbol" w:hAnsi="Symbol"/>
      </w:rPr>
    </w:lvl>
    <w:lvl w:ilvl="2" w:tplc="37A64C5F">
      <w:start w:val="1"/>
      <w:numFmt w:val="bullet"/>
      <w:lvlText w:val="·"/>
      <w:lvlJc w:val="left"/>
      <w:pPr>
        <w:ind w:left="2160" w:hanging="360"/>
      </w:pPr>
      <w:rPr>
        <w:rFonts w:ascii="Symbol" w:hAnsi="Symbol"/>
      </w:rPr>
    </w:lvl>
    <w:lvl w:ilvl="3" w:tplc="6AE3FA8C">
      <w:start w:val="1"/>
      <w:numFmt w:val="bullet"/>
      <w:lvlText w:val="o"/>
      <w:lvlJc w:val="left"/>
      <w:pPr>
        <w:ind w:left="2880" w:hanging="360"/>
      </w:pPr>
      <w:rPr>
        <w:rFonts w:ascii="Symbol" w:hAnsi="Symbol"/>
      </w:rPr>
    </w:lvl>
    <w:lvl w:ilvl="4" w:tplc="2ED0AFB4">
      <w:start w:val="1"/>
      <w:numFmt w:val="bullet"/>
      <w:lvlText w:val="·"/>
      <w:lvlJc w:val="left"/>
      <w:pPr>
        <w:ind w:left="3600" w:hanging="360"/>
      </w:pPr>
      <w:rPr>
        <w:rFonts w:ascii="Symbol" w:hAnsi="Symbol"/>
      </w:rPr>
    </w:lvl>
    <w:lvl w:ilvl="5" w:tplc="45225385">
      <w:start w:val="1"/>
      <w:numFmt w:val="bullet"/>
      <w:lvlText w:val="o"/>
      <w:lvlJc w:val="left"/>
      <w:pPr>
        <w:ind w:left="4320" w:hanging="360"/>
      </w:pPr>
      <w:rPr>
        <w:rFonts w:ascii="Symbol" w:hAnsi="Symbol"/>
      </w:rPr>
    </w:lvl>
    <w:lvl w:ilvl="6" w:tplc="6F0EFA04">
      <w:start w:val="1"/>
      <w:numFmt w:val="bullet"/>
      <w:lvlText w:val="·"/>
      <w:lvlJc w:val="left"/>
      <w:pPr>
        <w:ind w:left="5040" w:hanging="360"/>
      </w:pPr>
      <w:rPr>
        <w:rFonts w:ascii="Symbol" w:hAnsi="Symbol"/>
      </w:rPr>
    </w:lvl>
    <w:lvl w:ilvl="7" w:tplc="2BA0FB55">
      <w:start w:val="1"/>
      <w:numFmt w:val="bullet"/>
      <w:lvlText w:val="o"/>
      <w:lvlJc w:val="left"/>
      <w:pPr>
        <w:ind w:left="5760" w:hanging="360"/>
      </w:pPr>
      <w:rPr>
        <w:rFonts w:ascii="Symbol" w:hAnsi="Symbol"/>
      </w:rPr>
    </w:lvl>
    <w:lvl w:ilvl="8" w:tplc="5804F2ED">
      <w:start w:val="1"/>
      <w:numFmt w:val="bullet"/>
      <w:lvlText w:val="·"/>
      <w:lvlJc w:val="left"/>
      <w:pPr>
        <w:ind w:left="6480" w:hanging="360"/>
      </w:pPr>
      <w:rPr>
        <w:rFonts w:ascii="Symbol" w:hAnsi="Symbol"/>
      </w:rPr>
    </w:lvl>
  </w:abstractNum>
  <w:abstractNum w:abstractNumId="2" w15:restartNumberingAfterBreak="0">
    <w:nsid w:val="097D3E0A"/>
    <w:multiLevelType w:val="hybridMultilevel"/>
    <w:tmpl w:val="16EA8D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67A57E"/>
    <w:multiLevelType w:val="hybridMultilevel"/>
    <w:tmpl w:val="CD44443C"/>
    <w:lvl w:ilvl="0" w:tplc="184C9990">
      <w:start w:val="1"/>
      <w:numFmt w:val="bullet"/>
      <w:lvlText w:val="·"/>
      <w:lvlJc w:val="left"/>
      <w:pPr>
        <w:ind w:left="720" w:hanging="360"/>
      </w:pPr>
      <w:rPr>
        <w:rFonts w:ascii="Symbol" w:hAnsi="Symbol"/>
      </w:rPr>
    </w:lvl>
    <w:lvl w:ilvl="1" w:tplc="7A9946F0">
      <w:start w:val="1"/>
      <w:numFmt w:val="bullet"/>
      <w:lvlText w:val="o"/>
      <w:lvlJc w:val="left"/>
      <w:pPr>
        <w:ind w:left="1440" w:hanging="360"/>
      </w:pPr>
      <w:rPr>
        <w:rFonts w:ascii="Symbol" w:hAnsi="Symbol"/>
      </w:rPr>
    </w:lvl>
    <w:lvl w:ilvl="2" w:tplc="062DD69C">
      <w:start w:val="1"/>
      <w:numFmt w:val="bullet"/>
      <w:lvlText w:val="·"/>
      <w:lvlJc w:val="left"/>
      <w:pPr>
        <w:ind w:left="2160" w:hanging="360"/>
      </w:pPr>
      <w:rPr>
        <w:rFonts w:ascii="Symbol" w:hAnsi="Symbol"/>
      </w:rPr>
    </w:lvl>
    <w:lvl w:ilvl="3" w:tplc="51FAD45C">
      <w:start w:val="1"/>
      <w:numFmt w:val="bullet"/>
      <w:lvlText w:val="o"/>
      <w:lvlJc w:val="left"/>
      <w:pPr>
        <w:ind w:left="2880" w:hanging="360"/>
      </w:pPr>
      <w:rPr>
        <w:rFonts w:ascii="Symbol" w:hAnsi="Symbol"/>
      </w:rPr>
    </w:lvl>
    <w:lvl w:ilvl="4" w:tplc="2A231FDD">
      <w:start w:val="1"/>
      <w:numFmt w:val="bullet"/>
      <w:lvlText w:val="·"/>
      <w:lvlJc w:val="left"/>
      <w:pPr>
        <w:ind w:left="3600" w:hanging="360"/>
      </w:pPr>
      <w:rPr>
        <w:rFonts w:ascii="Symbol" w:hAnsi="Symbol"/>
      </w:rPr>
    </w:lvl>
    <w:lvl w:ilvl="5" w:tplc="42372C9B">
      <w:start w:val="1"/>
      <w:numFmt w:val="bullet"/>
      <w:lvlText w:val="o"/>
      <w:lvlJc w:val="left"/>
      <w:pPr>
        <w:ind w:left="4320" w:hanging="360"/>
      </w:pPr>
      <w:rPr>
        <w:rFonts w:ascii="Symbol" w:hAnsi="Symbol"/>
      </w:rPr>
    </w:lvl>
    <w:lvl w:ilvl="6" w:tplc="6E610A8D">
      <w:start w:val="1"/>
      <w:numFmt w:val="bullet"/>
      <w:lvlText w:val="·"/>
      <w:lvlJc w:val="left"/>
      <w:pPr>
        <w:ind w:left="5040" w:hanging="360"/>
      </w:pPr>
      <w:rPr>
        <w:rFonts w:ascii="Symbol" w:hAnsi="Symbol"/>
      </w:rPr>
    </w:lvl>
    <w:lvl w:ilvl="7" w:tplc="2159075E">
      <w:start w:val="1"/>
      <w:numFmt w:val="bullet"/>
      <w:lvlText w:val="o"/>
      <w:lvlJc w:val="left"/>
      <w:pPr>
        <w:ind w:left="5760" w:hanging="360"/>
      </w:pPr>
      <w:rPr>
        <w:rFonts w:ascii="Symbol" w:hAnsi="Symbol"/>
      </w:rPr>
    </w:lvl>
    <w:lvl w:ilvl="8" w:tplc="312D7FC9">
      <w:start w:val="1"/>
      <w:numFmt w:val="bullet"/>
      <w:lvlText w:val="·"/>
      <w:lvlJc w:val="left"/>
      <w:pPr>
        <w:ind w:left="6480" w:hanging="360"/>
      </w:pPr>
      <w:rPr>
        <w:rFonts w:ascii="Symbol" w:hAnsi="Symbol"/>
      </w:rPr>
    </w:lvl>
  </w:abstractNum>
  <w:abstractNum w:abstractNumId="4" w15:restartNumberingAfterBreak="0">
    <w:nsid w:val="3C9E4C44"/>
    <w:multiLevelType w:val="hybridMultilevel"/>
    <w:tmpl w:val="0FF6B9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7BA240"/>
    <w:multiLevelType w:val="hybridMultilevel"/>
    <w:tmpl w:val="E326C352"/>
    <w:lvl w:ilvl="0" w:tplc="5068E0D7">
      <w:start w:val="1"/>
      <w:numFmt w:val="bullet"/>
      <w:lvlText w:val="·"/>
      <w:lvlJc w:val="left"/>
      <w:pPr>
        <w:ind w:left="720" w:hanging="360"/>
      </w:pPr>
      <w:rPr>
        <w:rFonts w:ascii="Symbol" w:hAnsi="Symbol"/>
      </w:rPr>
    </w:lvl>
    <w:lvl w:ilvl="1" w:tplc="43421B54">
      <w:start w:val="1"/>
      <w:numFmt w:val="bullet"/>
      <w:lvlText w:val="o"/>
      <w:lvlJc w:val="left"/>
      <w:pPr>
        <w:ind w:left="1440" w:hanging="360"/>
      </w:pPr>
      <w:rPr>
        <w:rFonts w:ascii="Symbol" w:hAnsi="Symbol"/>
      </w:rPr>
    </w:lvl>
    <w:lvl w:ilvl="2" w:tplc="13C7BA09">
      <w:start w:val="1"/>
      <w:numFmt w:val="bullet"/>
      <w:lvlText w:val="·"/>
      <w:lvlJc w:val="left"/>
      <w:pPr>
        <w:ind w:left="2160" w:hanging="360"/>
      </w:pPr>
      <w:rPr>
        <w:rFonts w:ascii="Symbol" w:hAnsi="Symbol"/>
      </w:rPr>
    </w:lvl>
    <w:lvl w:ilvl="3" w:tplc="0A384FC4">
      <w:start w:val="1"/>
      <w:numFmt w:val="bullet"/>
      <w:lvlText w:val="o"/>
      <w:lvlJc w:val="left"/>
      <w:pPr>
        <w:ind w:left="2880" w:hanging="360"/>
      </w:pPr>
      <w:rPr>
        <w:rFonts w:ascii="Symbol" w:hAnsi="Symbol"/>
      </w:rPr>
    </w:lvl>
    <w:lvl w:ilvl="4" w:tplc="69B3FAD9">
      <w:start w:val="1"/>
      <w:numFmt w:val="bullet"/>
      <w:lvlText w:val="·"/>
      <w:lvlJc w:val="left"/>
      <w:pPr>
        <w:ind w:left="3600" w:hanging="360"/>
      </w:pPr>
      <w:rPr>
        <w:rFonts w:ascii="Symbol" w:hAnsi="Symbol"/>
      </w:rPr>
    </w:lvl>
    <w:lvl w:ilvl="5" w:tplc="28F340EE">
      <w:start w:val="1"/>
      <w:numFmt w:val="bullet"/>
      <w:lvlText w:val="o"/>
      <w:lvlJc w:val="left"/>
      <w:pPr>
        <w:ind w:left="4320" w:hanging="360"/>
      </w:pPr>
      <w:rPr>
        <w:rFonts w:ascii="Symbol" w:hAnsi="Symbol"/>
      </w:rPr>
    </w:lvl>
    <w:lvl w:ilvl="6" w:tplc="2B6D76F9">
      <w:start w:val="1"/>
      <w:numFmt w:val="bullet"/>
      <w:lvlText w:val="·"/>
      <w:lvlJc w:val="left"/>
      <w:pPr>
        <w:ind w:left="5040" w:hanging="360"/>
      </w:pPr>
      <w:rPr>
        <w:rFonts w:ascii="Symbol" w:hAnsi="Symbol"/>
      </w:rPr>
    </w:lvl>
    <w:lvl w:ilvl="7" w:tplc="06177E4E">
      <w:start w:val="1"/>
      <w:numFmt w:val="bullet"/>
      <w:lvlText w:val="o"/>
      <w:lvlJc w:val="left"/>
      <w:pPr>
        <w:ind w:left="5760" w:hanging="360"/>
      </w:pPr>
      <w:rPr>
        <w:rFonts w:ascii="Symbol" w:hAnsi="Symbol"/>
      </w:rPr>
    </w:lvl>
    <w:lvl w:ilvl="8" w:tplc="441B8D40">
      <w:start w:val="1"/>
      <w:numFmt w:val="bullet"/>
      <w:lvlText w:val="·"/>
      <w:lvlJc w:val="left"/>
      <w:pPr>
        <w:ind w:left="6480" w:hanging="360"/>
      </w:pPr>
      <w:rPr>
        <w:rFonts w:ascii="Symbol" w:hAnsi="Symbol"/>
      </w:rPr>
    </w:lvl>
  </w:abstractNum>
  <w:abstractNum w:abstractNumId="6" w15:restartNumberingAfterBreak="0">
    <w:nsid w:val="5569537D"/>
    <w:multiLevelType w:val="hybridMultilevel"/>
    <w:tmpl w:val="871CA6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379AD"/>
    <w:multiLevelType w:val="hybridMultilevel"/>
    <w:tmpl w:val="6CAEE3F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A23096"/>
    <w:multiLevelType w:val="hybridMultilevel"/>
    <w:tmpl w:val="6A20E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740817"/>
    <w:multiLevelType w:val="hybridMultilevel"/>
    <w:tmpl w:val="1D767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F73025"/>
    <w:multiLevelType w:val="hybridMultilevel"/>
    <w:tmpl w:val="A992C5D0"/>
    <w:lvl w:ilvl="0" w:tplc="2A56312E">
      <w:start w:val="1"/>
      <w:numFmt w:val="bullet"/>
      <w:lvlText w:val="·"/>
      <w:lvlJc w:val="left"/>
      <w:pPr>
        <w:ind w:left="720" w:hanging="360"/>
      </w:pPr>
      <w:rPr>
        <w:rFonts w:ascii="Symbol" w:hAnsi="Symbol"/>
      </w:rPr>
    </w:lvl>
    <w:lvl w:ilvl="1" w:tplc="1F073C79">
      <w:start w:val="1"/>
      <w:numFmt w:val="bullet"/>
      <w:lvlText w:val="o"/>
      <w:lvlJc w:val="left"/>
      <w:pPr>
        <w:ind w:left="1440" w:hanging="360"/>
      </w:pPr>
      <w:rPr>
        <w:rFonts w:ascii="Symbol" w:hAnsi="Symbol"/>
      </w:rPr>
    </w:lvl>
    <w:lvl w:ilvl="2" w:tplc="7E0FAC27">
      <w:start w:val="1"/>
      <w:numFmt w:val="bullet"/>
      <w:lvlText w:val="·"/>
      <w:lvlJc w:val="left"/>
      <w:pPr>
        <w:ind w:left="2160" w:hanging="360"/>
      </w:pPr>
      <w:rPr>
        <w:rFonts w:ascii="Symbol" w:hAnsi="Symbol"/>
      </w:rPr>
    </w:lvl>
    <w:lvl w:ilvl="3" w:tplc="25AF8317">
      <w:start w:val="1"/>
      <w:numFmt w:val="bullet"/>
      <w:lvlText w:val="o"/>
      <w:lvlJc w:val="left"/>
      <w:pPr>
        <w:ind w:left="2880" w:hanging="360"/>
      </w:pPr>
      <w:rPr>
        <w:rFonts w:ascii="Symbol" w:hAnsi="Symbol"/>
      </w:rPr>
    </w:lvl>
    <w:lvl w:ilvl="4" w:tplc="4CB632A8">
      <w:start w:val="1"/>
      <w:numFmt w:val="bullet"/>
      <w:lvlText w:val="·"/>
      <w:lvlJc w:val="left"/>
      <w:pPr>
        <w:ind w:left="3600" w:hanging="360"/>
      </w:pPr>
      <w:rPr>
        <w:rFonts w:ascii="Symbol" w:hAnsi="Symbol"/>
      </w:rPr>
    </w:lvl>
    <w:lvl w:ilvl="5" w:tplc="3D68DB85">
      <w:start w:val="1"/>
      <w:numFmt w:val="bullet"/>
      <w:lvlText w:val="o"/>
      <w:lvlJc w:val="left"/>
      <w:pPr>
        <w:ind w:left="4320" w:hanging="360"/>
      </w:pPr>
      <w:rPr>
        <w:rFonts w:ascii="Symbol" w:hAnsi="Symbol"/>
      </w:rPr>
    </w:lvl>
    <w:lvl w:ilvl="6" w:tplc="38E6741F">
      <w:start w:val="1"/>
      <w:numFmt w:val="bullet"/>
      <w:lvlText w:val="·"/>
      <w:lvlJc w:val="left"/>
      <w:pPr>
        <w:ind w:left="5040" w:hanging="360"/>
      </w:pPr>
      <w:rPr>
        <w:rFonts w:ascii="Symbol" w:hAnsi="Symbol"/>
      </w:rPr>
    </w:lvl>
    <w:lvl w:ilvl="7" w:tplc="13BE30F8">
      <w:start w:val="1"/>
      <w:numFmt w:val="bullet"/>
      <w:lvlText w:val="o"/>
      <w:lvlJc w:val="left"/>
      <w:pPr>
        <w:ind w:left="5760" w:hanging="360"/>
      </w:pPr>
      <w:rPr>
        <w:rFonts w:ascii="Symbol" w:hAnsi="Symbol"/>
      </w:rPr>
    </w:lvl>
    <w:lvl w:ilvl="8" w:tplc="27A5773F">
      <w:start w:val="1"/>
      <w:numFmt w:val="bullet"/>
      <w:lvlText w:val="·"/>
      <w:lvlJc w:val="left"/>
      <w:pPr>
        <w:ind w:left="6480" w:hanging="360"/>
      </w:pPr>
      <w:rPr>
        <w:rFonts w:ascii="Symbol" w:hAnsi="Symbol"/>
      </w:rPr>
    </w:lvl>
  </w:abstractNum>
  <w:num w:numId="1">
    <w:abstractNumId w:val="3"/>
  </w:num>
  <w:num w:numId="2">
    <w:abstractNumId w:val="1"/>
  </w:num>
  <w:num w:numId="3">
    <w:abstractNumId w:val="5"/>
  </w:num>
  <w:num w:numId="4">
    <w:abstractNumId w:val="10"/>
  </w:num>
  <w:num w:numId="5">
    <w:abstractNumId w:val="4"/>
  </w:num>
  <w:num w:numId="6">
    <w:abstractNumId w:val="9"/>
  </w:num>
  <w:num w:numId="7">
    <w:abstractNumId w:val="8"/>
  </w:num>
  <w:num w:numId="8">
    <w:abstractNumId w:val="6"/>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67"/>
    <w:rsid w:val="002D4DF1"/>
    <w:rsid w:val="00331F4D"/>
    <w:rsid w:val="003B2331"/>
    <w:rsid w:val="00431A6F"/>
    <w:rsid w:val="00452D07"/>
    <w:rsid w:val="004536BB"/>
    <w:rsid w:val="004620C7"/>
    <w:rsid w:val="00563EF6"/>
    <w:rsid w:val="00742FFF"/>
    <w:rsid w:val="007761E1"/>
    <w:rsid w:val="00805770"/>
    <w:rsid w:val="00885781"/>
    <w:rsid w:val="008E0417"/>
    <w:rsid w:val="00934767"/>
    <w:rsid w:val="009B3466"/>
    <w:rsid w:val="009E3FF4"/>
    <w:rsid w:val="00A77C22"/>
    <w:rsid w:val="00AD2A80"/>
    <w:rsid w:val="00B679CA"/>
    <w:rsid w:val="00C26C90"/>
    <w:rsid w:val="00C7148D"/>
    <w:rsid w:val="00CA2699"/>
    <w:rsid w:val="00CF4A47"/>
    <w:rsid w:val="00EB75A9"/>
    <w:rsid w:val="00F42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26998-99EE-47DE-8705-6D209D8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767"/>
    <w:pPr>
      <w:ind w:left="720"/>
      <w:contextualSpacing/>
    </w:pPr>
  </w:style>
  <w:style w:type="character" w:customStyle="1" w:styleId="Heading1Char">
    <w:name w:val="Heading 1 Char"/>
    <w:basedOn w:val="DefaultParagraphFont"/>
    <w:link w:val="Heading1"/>
    <w:uiPriority w:val="9"/>
    <w:rsid w:val="009347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4767"/>
    <w:rPr>
      <w:color w:val="0563C1" w:themeColor="hyperlink"/>
      <w:u w:val="single"/>
    </w:rPr>
  </w:style>
  <w:style w:type="table" w:styleId="TableGrid">
    <w:name w:val="Table Grid"/>
    <w:basedOn w:val="TableNormal"/>
    <w:uiPriority w:val="39"/>
    <w:rsid w:val="0093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423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742F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2FFF"/>
  </w:style>
  <w:style w:type="paragraph" w:styleId="Footer">
    <w:name w:val="footer"/>
    <w:basedOn w:val="Normal"/>
    <w:link w:val="FooterChar"/>
    <w:uiPriority w:val="99"/>
    <w:unhideWhenUsed/>
    <w:rsid w:val="00742F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12898</Words>
  <Characters>7352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2020-12-28T07:49:00Z</dcterms:created>
  <dc:creator>Dominykas Goda</dc:creator>
  <cp:lastModifiedBy>Dominykas Goda</cp:lastModifiedBy>
  <dcterms:modified xsi:type="dcterms:W3CDTF">2020-12-28T08:10:00Z</dcterms:modified>
  <cp:revision>4</cp:revision>
</cp:coreProperties>
</file>