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3FA" w:rsidRPr="00F25A78" w:rsidRDefault="003B579F" w:rsidP="005F43FA">
      <w:pPr>
        <w:spacing w:after="0" w:line="240" w:lineRule="auto"/>
        <w:jc w:val="center"/>
        <w:outlineLvl w:val="0"/>
        <w:rPr>
          <w:rFonts w:eastAsia="Calibri" w:cs="Times New Roman"/>
          <w:b/>
          <w:caps/>
          <w:szCs w:val="24"/>
        </w:rPr>
      </w:pPr>
      <w:r w:rsidRPr="00F25A78">
        <w:rPr>
          <w:rFonts w:eastAsia="Calibri" w:cs="Times New Roman"/>
          <w:b/>
          <w:caps/>
          <w:szCs w:val="24"/>
        </w:rPr>
        <w:t>Derinimo pažyma</w:t>
      </w:r>
      <w:r w:rsidR="00DC7AFD" w:rsidRPr="00F25A78">
        <w:rPr>
          <w:rFonts w:eastAsia="Calibri" w:cs="Times New Roman"/>
          <w:b/>
          <w:caps/>
          <w:szCs w:val="24"/>
        </w:rPr>
        <w:t xml:space="preserve"> </w:t>
      </w:r>
    </w:p>
    <w:p w:rsidR="00C35AC2" w:rsidRPr="00F25A78" w:rsidRDefault="00C35AC2" w:rsidP="00C35AC2">
      <w:pPr>
        <w:pStyle w:val="Preformatted"/>
        <w:spacing w:line="320" w:lineRule="atLeast"/>
        <w:ind w:firstLine="720"/>
        <w:jc w:val="center"/>
        <w:rPr>
          <w:rFonts w:ascii="Times New Roman" w:hAnsi="Times New Roman"/>
          <w:b/>
          <w:sz w:val="24"/>
          <w:szCs w:val="24"/>
        </w:rPr>
      </w:pPr>
      <w:r w:rsidRPr="00F25A78">
        <w:rPr>
          <w:rFonts w:ascii="Times New Roman" w:hAnsi="Times New Roman"/>
          <w:b/>
          <w:sz w:val="24"/>
          <w:szCs w:val="24"/>
        </w:rPr>
        <w:t xml:space="preserve">DĖL LIETUVOS RESPUBLIKOS VYRIAUSYBĖS NUTARIMO „DĖL LIETUVOS RESPUBLIKOS ADMINISTRACINIŲ NUSIŽENGIMŲ KODEKSO </w:t>
      </w:r>
    </w:p>
    <w:p w:rsidR="00C35AC2" w:rsidRPr="00F25A78" w:rsidRDefault="00C35AC2" w:rsidP="00C35AC2">
      <w:pPr>
        <w:pStyle w:val="Preformatted"/>
        <w:spacing w:line="320" w:lineRule="atLeast"/>
        <w:ind w:firstLine="720"/>
        <w:jc w:val="center"/>
        <w:rPr>
          <w:rFonts w:ascii="Times New Roman" w:hAnsi="Times New Roman"/>
          <w:b/>
          <w:sz w:val="24"/>
          <w:szCs w:val="24"/>
        </w:rPr>
      </w:pPr>
      <w:r w:rsidRPr="00F25A78">
        <w:rPr>
          <w:rFonts w:ascii="Times New Roman" w:hAnsi="Times New Roman"/>
          <w:b/>
          <w:sz w:val="24"/>
          <w:szCs w:val="24"/>
          <w:lang w:val="en-GB"/>
        </w:rPr>
        <w:t>71</w:t>
      </w:r>
      <w:r w:rsidRPr="00F25A78">
        <w:rPr>
          <w:rFonts w:ascii="Times New Roman" w:hAnsi="Times New Roman"/>
          <w:b/>
          <w:sz w:val="24"/>
          <w:szCs w:val="24"/>
        </w:rPr>
        <w:t xml:space="preserve"> STRAIPSNIO PAKEITIMO ĮSTATYMO PROJEKTO NR. XIVP-95 IR LIETUVOS RESPUBLIKOS BAUDŽIAMOJO KODEKSO 259 STRAIPSNIO PAKEITIMO ĮSTATYMO PROJEKTO NR. XIVP-96“ PROJEKTO</w:t>
      </w:r>
    </w:p>
    <w:p w:rsidR="00D748EB" w:rsidRPr="00F25A78" w:rsidRDefault="00D748EB" w:rsidP="00C35AC2">
      <w:pPr>
        <w:pStyle w:val="Preformatted"/>
        <w:spacing w:line="320" w:lineRule="atLeast"/>
        <w:ind w:firstLine="720"/>
        <w:jc w:val="center"/>
        <w:rPr>
          <w:rFonts w:ascii="Times New Roman" w:hAnsi="Times New Roman"/>
          <w:b/>
          <w:sz w:val="24"/>
          <w:szCs w:val="24"/>
        </w:rPr>
      </w:pPr>
    </w:p>
    <w:tbl>
      <w:tblPr>
        <w:tblStyle w:val="TableGrid"/>
        <w:tblW w:w="15593" w:type="dxa"/>
        <w:tblInd w:w="-1139" w:type="dxa"/>
        <w:tblLook w:val="04A0" w:firstRow="1" w:lastRow="0" w:firstColumn="1" w:lastColumn="0" w:noHBand="0" w:noVBand="1"/>
      </w:tblPr>
      <w:tblGrid>
        <w:gridCol w:w="2127"/>
        <w:gridCol w:w="5670"/>
        <w:gridCol w:w="7796"/>
      </w:tblGrid>
      <w:tr w:rsidR="006959FE" w:rsidRPr="00F25A78" w:rsidTr="005F43FA">
        <w:tc>
          <w:tcPr>
            <w:tcW w:w="2127" w:type="dxa"/>
            <w:tcBorders>
              <w:top w:val="single" w:sz="4" w:space="0" w:color="auto"/>
              <w:left w:val="single" w:sz="4" w:space="0" w:color="auto"/>
              <w:bottom w:val="single" w:sz="4" w:space="0" w:color="auto"/>
              <w:right w:val="single" w:sz="4" w:space="0" w:color="auto"/>
            </w:tcBorders>
          </w:tcPr>
          <w:p w:rsidR="005D4147" w:rsidRPr="00F25A78" w:rsidRDefault="00502EF6" w:rsidP="00CF2553">
            <w:pPr>
              <w:rPr>
                <w:rFonts w:cs="Times New Roman"/>
                <w:szCs w:val="24"/>
              </w:rPr>
            </w:pPr>
            <w:r w:rsidRPr="00F25A78">
              <w:rPr>
                <w:rFonts w:cs="Times New Roman"/>
                <w:szCs w:val="24"/>
              </w:rPr>
              <w:t xml:space="preserve">Institucija </w:t>
            </w:r>
          </w:p>
        </w:tc>
        <w:tc>
          <w:tcPr>
            <w:tcW w:w="5670" w:type="dxa"/>
            <w:tcBorders>
              <w:top w:val="single" w:sz="4" w:space="0" w:color="auto"/>
              <w:left w:val="single" w:sz="4" w:space="0" w:color="auto"/>
              <w:bottom w:val="single" w:sz="4" w:space="0" w:color="auto"/>
              <w:right w:val="single" w:sz="4" w:space="0" w:color="auto"/>
            </w:tcBorders>
          </w:tcPr>
          <w:p w:rsidR="005D4147" w:rsidRPr="00F25A78" w:rsidRDefault="005D4147" w:rsidP="00CF2553">
            <w:pPr>
              <w:pStyle w:val="Preformatted"/>
              <w:tabs>
                <w:tab w:val="clear" w:pos="959"/>
                <w:tab w:val="clear" w:pos="1918"/>
                <w:tab w:val="left" w:pos="1276"/>
              </w:tabs>
              <w:ind w:left="709"/>
              <w:jc w:val="both"/>
              <w:rPr>
                <w:rFonts w:ascii="Times New Roman" w:hAnsi="Times New Roman"/>
                <w:sz w:val="24"/>
                <w:szCs w:val="24"/>
              </w:rPr>
            </w:pPr>
            <w:r w:rsidRPr="00F25A78">
              <w:rPr>
                <w:rFonts w:ascii="Times New Roman" w:hAnsi="Times New Roman"/>
                <w:sz w:val="24"/>
                <w:szCs w:val="24"/>
              </w:rPr>
              <w:t>Pastabos</w:t>
            </w:r>
          </w:p>
        </w:tc>
        <w:tc>
          <w:tcPr>
            <w:tcW w:w="7796" w:type="dxa"/>
            <w:tcBorders>
              <w:top w:val="single" w:sz="4" w:space="0" w:color="auto"/>
              <w:left w:val="single" w:sz="4" w:space="0" w:color="auto"/>
              <w:bottom w:val="single" w:sz="4" w:space="0" w:color="auto"/>
              <w:right w:val="single" w:sz="4" w:space="0" w:color="auto"/>
            </w:tcBorders>
          </w:tcPr>
          <w:p w:rsidR="005D4147" w:rsidRPr="00F25A78" w:rsidRDefault="005D4147" w:rsidP="00CF2553">
            <w:pPr>
              <w:rPr>
                <w:rFonts w:cs="Times New Roman"/>
                <w:szCs w:val="24"/>
              </w:rPr>
            </w:pPr>
            <w:r w:rsidRPr="00F25A78">
              <w:rPr>
                <w:rFonts w:cs="Times New Roman"/>
                <w:szCs w:val="24"/>
              </w:rPr>
              <w:t>Įvertinimas</w:t>
            </w:r>
          </w:p>
        </w:tc>
      </w:tr>
      <w:tr w:rsidR="009724AE" w:rsidRPr="00F25A78" w:rsidTr="005F43FA">
        <w:tc>
          <w:tcPr>
            <w:tcW w:w="2127" w:type="dxa"/>
            <w:tcBorders>
              <w:top w:val="single" w:sz="4" w:space="0" w:color="auto"/>
              <w:left w:val="single" w:sz="4" w:space="0" w:color="auto"/>
              <w:bottom w:val="single" w:sz="4" w:space="0" w:color="auto"/>
              <w:right w:val="single" w:sz="4" w:space="0" w:color="auto"/>
            </w:tcBorders>
          </w:tcPr>
          <w:p w:rsidR="009724AE" w:rsidRPr="00F25A78" w:rsidRDefault="004A2871" w:rsidP="00A527E6">
            <w:pPr>
              <w:rPr>
                <w:rFonts w:cs="Times New Roman"/>
                <w:szCs w:val="24"/>
              </w:rPr>
            </w:pPr>
            <w:r w:rsidRPr="00F25A78">
              <w:rPr>
                <w:rFonts w:cs="Times New Roman"/>
                <w:szCs w:val="24"/>
              </w:rPr>
              <w:t>Lietuvos Respublikos Vyriausybės kanceliarijos Viešojo valdymo grupės 2020-02-</w:t>
            </w:r>
            <w:r w:rsidR="00A527E6" w:rsidRPr="00F25A78">
              <w:rPr>
                <w:rFonts w:cs="Times New Roman"/>
                <w:szCs w:val="24"/>
              </w:rPr>
              <w:t>10</w:t>
            </w:r>
            <w:r w:rsidRPr="00F25A78">
              <w:rPr>
                <w:rFonts w:cs="Times New Roman"/>
                <w:szCs w:val="24"/>
              </w:rPr>
              <w:t xml:space="preserve"> pažyma Nr. NV-</w:t>
            </w:r>
            <w:r w:rsidR="00A527E6" w:rsidRPr="00F25A78">
              <w:rPr>
                <w:rFonts w:cs="Times New Roman"/>
                <w:szCs w:val="24"/>
              </w:rPr>
              <w:t>280</w:t>
            </w:r>
          </w:p>
        </w:tc>
        <w:tc>
          <w:tcPr>
            <w:tcW w:w="5670" w:type="dxa"/>
            <w:tcBorders>
              <w:top w:val="single" w:sz="4" w:space="0" w:color="auto"/>
              <w:left w:val="single" w:sz="4" w:space="0" w:color="auto"/>
              <w:bottom w:val="single" w:sz="4" w:space="0" w:color="auto"/>
              <w:right w:val="single" w:sz="4" w:space="0" w:color="auto"/>
            </w:tcBorders>
          </w:tcPr>
          <w:p w:rsidR="00A527E6" w:rsidRPr="00F25A78" w:rsidRDefault="00EF707C" w:rsidP="00F25A78">
            <w:pPr>
              <w:pStyle w:val="Adresas"/>
              <w:tabs>
                <w:tab w:val="left" w:pos="8505"/>
                <w:tab w:val="left" w:pos="9072"/>
              </w:tabs>
              <w:ind w:right="0"/>
              <w:jc w:val="both"/>
              <w:rPr>
                <w:bCs/>
              </w:rPr>
            </w:pPr>
            <w:r>
              <w:rPr>
                <w:rStyle w:val="normaltextrun1"/>
              </w:rPr>
              <w:t>1</w:t>
            </w:r>
            <w:r w:rsidR="00B00C8B" w:rsidRPr="00F25A78">
              <w:rPr>
                <w:rStyle w:val="normaltextrun1"/>
              </w:rPr>
              <w:t xml:space="preserve">. </w:t>
            </w:r>
            <w:r w:rsidR="00A527E6" w:rsidRPr="00F25A78">
              <w:rPr>
                <w:rStyle w:val="normaltextrun1"/>
              </w:rPr>
              <w:t xml:space="preserve">Nepritariame Projekto 1 punktui, kuriuo siūloma BK 259 straipsnyje atsisakyti požymio </w:t>
            </w:r>
            <w:r w:rsidR="00A527E6" w:rsidRPr="00F25A78">
              <w:rPr>
                <w:bCs/>
              </w:rPr>
              <w:t xml:space="preserve">„didesnis nei nedidelis kiekis“. </w:t>
            </w:r>
          </w:p>
          <w:p w:rsidR="00A527E6" w:rsidRPr="00F25A78" w:rsidRDefault="00A527E6" w:rsidP="004E0455">
            <w:pPr>
              <w:pStyle w:val="Adresas"/>
              <w:tabs>
                <w:tab w:val="left" w:pos="8505"/>
                <w:tab w:val="left" w:pos="9072"/>
              </w:tabs>
              <w:ind w:right="0" w:firstLine="567"/>
              <w:jc w:val="both"/>
            </w:pPr>
            <w:r w:rsidRPr="00F25A78">
              <w:rPr>
                <w:bCs/>
              </w:rPr>
              <w:t xml:space="preserve">Pabrėžtina, kad, kaip nurodoma įstatymų projektų aiškinamajame rašte, projektais siekiama </w:t>
            </w:r>
            <w:proofErr w:type="spellStart"/>
            <w:r w:rsidRPr="00F25A78">
              <w:rPr>
                <w:bCs/>
                <w:i/>
                <w:iCs/>
              </w:rPr>
              <w:t>inter</w:t>
            </w:r>
            <w:proofErr w:type="spellEnd"/>
            <w:r w:rsidRPr="00F25A78">
              <w:rPr>
                <w:bCs/>
                <w:i/>
                <w:iCs/>
              </w:rPr>
              <w:t xml:space="preserve"> alia</w:t>
            </w:r>
            <w:r w:rsidRPr="00F25A78">
              <w:rPr>
                <w:bCs/>
              </w:rPr>
              <w:t xml:space="preserve"> taisyti ydingą situaciją, kuri susidarė </w:t>
            </w:r>
            <w:r w:rsidRPr="00F25A78">
              <w:t>2017 m. sausio 1 d. įsigaliojus ANK pakeitimams, kuriais įstatymų leidėjas savo ruožtu stengėsi išspręsti lig tol egzistavusią kitą ydingą situaciją, - teisinę koliziją tarp BK ir ANK normų numatančių atsakomybę už disponavimą nedideliu kiekiu narkotinių medžiagų.</w:t>
            </w:r>
          </w:p>
          <w:p w:rsidR="00A527E6" w:rsidRPr="00F25A78" w:rsidRDefault="00A527E6" w:rsidP="004E0455">
            <w:pPr>
              <w:pStyle w:val="Adresas"/>
              <w:tabs>
                <w:tab w:val="left" w:pos="8505"/>
                <w:tab w:val="left" w:pos="9072"/>
              </w:tabs>
              <w:ind w:right="0" w:firstLine="567"/>
              <w:jc w:val="both"/>
            </w:pPr>
            <w:r w:rsidRPr="00F25A78">
              <w:t xml:space="preserve">Pabrėžtina, kad atsisakius aukščiau minimo požymio, būtų sugražinta kolizija tarp BK ir ANK normų, nes tiek ANK 71 straipsnis, tiek ir (nesant atitinkamos išimties dėl kiekių!) BK 259 straipsnis numatytų atsakomybę už disponavimą nedidelio kiekių narkotinių medžiagų be tikslo jas platinti. Ši atsiradusi kolizija turėtų būti sprendžiama vadovaujantis ANK 5 straipsnio 2 dalimi, kuri nustato, kad „asmuo už padarytą teisės pažeidimą, atitinkantį šiame kodekse numatyto administracinio nusižengimo požymius, atsako administracine tvarka pagal šį kodeksą, jeigu šis padarytas teisės pažeidimas neužtraukia baudžiamosios atsakomybės“.  Tai yra atitinkamo požymio atsisakymas </w:t>
            </w:r>
            <w:r w:rsidRPr="00F25A78">
              <w:rPr>
                <w:i/>
                <w:iCs/>
              </w:rPr>
              <w:t>de facto</w:t>
            </w:r>
            <w:r w:rsidRPr="00F25A78">
              <w:t xml:space="preserve"> padarytu neįmanomu įstatymų projektais keliamus tikslų pasiekimą ir tam tikrų veikų </w:t>
            </w:r>
            <w:proofErr w:type="spellStart"/>
            <w:r w:rsidRPr="00F25A78">
              <w:t>dekriminalizavimą</w:t>
            </w:r>
            <w:proofErr w:type="spellEnd"/>
            <w:r w:rsidRPr="00F25A78">
              <w:t>.</w:t>
            </w:r>
          </w:p>
          <w:p w:rsidR="00A527E6" w:rsidRPr="00F25A78" w:rsidRDefault="00A527E6" w:rsidP="004E0455">
            <w:pPr>
              <w:pStyle w:val="Adresas"/>
              <w:tabs>
                <w:tab w:val="left" w:pos="8505"/>
                <w:tab w:val="left" w:pos="9072"/>
              </w:tabs>
              <w:ind w:right="0" w:firstLine="567"/>
              <w:jc w:val="both"/>
            </w:pPr>
            <w:r w:rsidRPr="00F25A78">
              <w:t xml:space="preserve">Atkreiptinas dėmesys taip pat į tai, kad formuluote </w:t>
            </w:r>
            <w:r w:rsidRPr="00F25A78">
              <w:rPr>
                <w:bCs/>
              </w:rPr>
              <w:t xml:space="preserve">„didesnis nei nedidelis kiekis“ nėra įvedamas joks naujas, </w:t>
            </w:r>
            <w:r w:rsidRPr="00F25A78">
              <w:rPr>
                <w:bCs/>
              </w:rPr>
              <w:lastRenderedPageBreak/>
              <w:t>lig tol baudžiamajame įstatyme neegzistavęs, kiekio apibrėžimas, o tiesiog yra referuojama į įprastą BK „nedidelio kiekio“ sąvoką.</w:t>
            </w:r>
          </w:p>
          <w:p w:rsidR="009724AE" w:rsidRPr="00F25A78" w:rsidRDefault="009724AE" w:rsidP="004E0455">
            <w:pPr>
              <w:jc w:val="both"/>
              <w:rPr>
                <w:szCs w:val="24"/>
              </w:rPr>
            </w:pPr>
          </w:p>
        </w:tc>
        <w:tc>
          <w:tcPr>
            <w:tcW w:w="7796" w:type="dxa"/>
            <w:tcBorders>
              <w:top w:val="single" w:sz="4" w:space="0" w:color="auto"/>
              <w:left w:val="single" w:sz="4" w:space="0" w:color="auto"/>
              <w:bottom w:val="single" w:sz="4" w:space="0" w:color="auto"/>
              <w:right w:val="single" w:sz="4" w:space="0" w:color="auto"/>
            </w:tcBorders>
          </w:tcPr>
          <w:p w:rsidR="00B138AC" w:rsidRDefault="009724AE" w:rsidP="0035619D">
            <w:pPr>
              <w:jc w:val="both"/>
              <w:rPr>
                <w:rFonts w:cs="Times New Roman"/>
                <w:b/>
                <w:szCs w:val="24"/>
              </w:rPr>
            </w:pPr>
            <w:r w:rsidRPr="00F25A78">
              <w:rPr>
                <w:rFonts w:cs="Times New Roman"/>
                <w:b/>
                <w:szCs w:val="24"/>
              </w:rPr>
              <w:lastRenderedPageBreak/>
              <w:t>Neatsižvelgta</w:t>
            </w:r>
          </w:p>
          <w:p w:rsidR="00DA7672" w:rsidRPr="00F25A78" w:rsidRDefault="00DA7672" w:rsidP="0035619D">
            <w:pPr>
              <w:jc w:val="both"/>
              <w:rPr>
                <w:rFonts w:cs="Times New Roman"/>
                <w:b/>
                <w:szCs w:val="24"/>
              </w:rPr>
            </w:pPr>
          </w:p>
          <w:p w:rsidR="002B032C" w:rsidRPr="00F25A78" w:rsidRDefault="002B032C" w:rsidP="002B032C">
            <w:pPr>
              <w:ind w:firstLine="452"/>
              <w:jc w:val="both"/>
              <w:rPr>
                <w:rFonts w:cs="Times New Roman"/>
                <w:szCs w:val="24"/>
              </w:rPr>
            </w:pPr>
            <w:r w:rsidRPr="00F25A78">
              <w:rPr>
                <w:rFonts w:cs="Times New Roman"/>
                <w:szCs w:val="24"/>
              </w:rPr>
              <w:t>Tiek BK, tiek ANK būtų įtvirtintos visiškai skirtingos veikų sudėtys, kurios tarpusavyje koreliuotu tik bendrosios ir specialios (privilegijuotos) normų santykyje. ANK 5 straipsnio 2 dalyje įtvirtinta administracinės ir baudžiamosios atsakomybės atskyrimo taisyklė nepanaikina normų konkurencijos taisyklių ir šio principo (</w:t>
            </w:r>
            <w:proofErr w:type="spellStart"/>
            <w:r w:rsidRPr="00F25A78">
              <w:rPr>
                <w:rFonts w:cs="Times New Roman"/>
                <w:szCs w:val="24"/>
              </w:rPr>
              <w:t>lot</w:t>
            </w:r>
            <w:proofErr w:type="spellEnd"/>
            <w:r w:rsidRPr="00F25A78">
              <w:rPr>
                <w:rFonts w:cs="Times New Roman"/>
                <w:szCs w:val="24"/>
              </w:rPr>
              <w:t>. </w:t>
            </w:r>
            <w:proofErr w:type="spellStart"/>
            <w:r w:rsidRPr="00F25A78">
              <w:rPr>
                <w:rFonts w:cs="Times New Roman"/>
                <w:i/>
                <w:iCs/>
                <w:szCs w:val="24"/>
              </w:rPr>
              <w:t>lex</w:t>
            </w:r>
            <w:proofErr w:type="spellEnd"/>
            <w:r w:rsidRPr="00F25A78">
              <w:rPr>
                <w:rFonts w:cs="Times New Roman"/>
                <w:i/>
                <w:iCs/>
                <w:szCs w:val="24"/>
              </w:rPr>
              <w:t xml:space="preserve"> </w:t>
            </w:r>
            <w:proofErr w:type="spellStart"/>
            <w:r w:rsidRPr="00F25A78">
              <w:rPr>
                <w:rFonts w:cs="Times New Roman"/>
                <w:i/>
                <w:iCs/>
                <w:szCs w:val="24"/>
              </w:rPr>
              <w:t>specialis</w:t>
            </w:r>
            <w:proofErr w:type="spellEnd"/>
            <w:r w:rsidRPr="00F25A78">
              <w:rPr>
                <w:rFonts w:cs="Times New Roman"/>
                <w:i/>
                <w:iCs/>
                <w:szCs w:val="24"/>
              </w:rPr>
              <w:t xml:space="preserve"> </w:t>
            </w:r>
            <w:proofErr w:type="spellStart"/>
            <w:r w:rsidRPr="00F25A78">
              <w:rPr>
                <w:rFonts w:cs="Times New Roman"/>
                <w:i/>
                <w:iCs/>
                <w:szCs w:val="24"/>
              </w:rPr>
              <w:t>derogat</w:t>
            </w:r>
            <w:proofErr w:type="spellEnd"/>
            <w:r w:rsidRPr="00F25A78">
              <w:rPr>
                <w:rFonts w:cs="Times New Roman"/>
                <w:i/>
                <w:iCs/>
                <w:szCs w:val="24"/>
              </w:rPr>
              <w:t xml:space="preserve"> </w:t>
            </w:r>
            <w:proofErr w:type="spellStart"/>
            <w:r w:rsidRPr="00F25A78">
              <w:rPr>
                <w:rFonts w:cs="Times New Roman"/>
                <w:i/>
                <w:iCs/>
                <w:szCs w:val="24"/>
              </w:rPr>
              <w:t>legi</w:t>
            </w:r>
            <w:proofErr w:type="spellEnd"/>
            <w:r w:rsidRPr="00F25A78">
              <w:rPr>
                <w:rFonts w:cs="Times New Roman"/>
                <w:i/>
                <w:iCs/>
                <w:szCs w:val="24"/>
              </w:rPr>
              <w:t xml:space="preserve"> </w:t>
            </w:r>
            <w:proofErr w:type="spellStart"/>
            <w:r w:rsidRPr="00F25A78">
              <w:rPr>
                <w:rFonts w:cs="Times New Roman"/>
                <w:i/>
                <w:iCs/>
                <w:szCs w:val="24"/>
              </w:rPr>
              <w:t>generali</w:t>
            </w:r>
            <w:proofErr w:type="spellEnd"/>
            <w:r w:rsidRPr="00F25A78">
              <w:rPr>
                <w:rFonts w:cs="Times New Roman"/>
                <w:i/>
                <w:iCs/>
                <w:szCs w:val="24"/>
              </w:rPr>
              <w:t>) </w:t>
            </w:r>
            <w:r w:rsidRPr="00F25A78">
              <w:rPr>
                <w:rFonts w:cs="Times New Roman"/>
                <w:szCs w:val="24"/>
              </w:rPr>
              <w:t>galiojimo, kurio pagrindinė esmė yra ta, kad esant bendrosios ir specialiosios normų konkurencijai yra taikoma specialioji norma. Šiame kontekste pažymėtina, kad tuo atveju, jeigu konkuruoja BK įtvirtinta bendroji norma su specialia norma, įtvirtinta ANK, turėtų būti taikoma specialioji norma, nepriklausomai nuo to, kad ji yra įtvirtinta ANK, kadangi normos gali konkuruoti ne tik tapačiame teisės akte. </w:t>
            </w:r>
          </w:p>
          <w:p w:rsidR="002B032C" w:rsidRPr="00F25A78" w:rsidRDefault="002B032C" w:rsidP="002B032C">
            <w:pPr>
              <w:ind w:firstLine="452"/>
              <w:jc w:val="both"/>
              <w:rPr>
                <w:rFonts w:cs="Times New Roman"/>
                <w:szCs w:val="24"/>
              </w:rPr>
            </w:pPr>
            <w:r w:rsidRPr="00F25A78">
              <w:rPr>
                <w:rFonts w:cs="Times New Roman"/>
                <w:szCs w:val="24"/>
              </w:rPr>
              <w:t>Aptariamu atveju, Įstatymo projektu ANK 71 straipsnyje yra siūloma įtvirtinti sp</w:t>
            </w:r>
            <w:r>
              <w:rPr>
                <w:rFonts w:cs="Times New Roman"/>
                <w:szCs w:val="24"/>
              </w:rPr>
              <w:t>ecialią privilegijuotą normą,</w:t>
            </w:r>
            <w:r w:rsidRPr="00F25A78">
              <w:rPr>
                <w:rFonts w:cs="Times New Roman"/>
                <w:szCs w:val="24"/>
              </w:rPr>
              <w:t xml:space="preserve"> BK 259 straipsnio 1 dalies atžvilgiu, todėl nustačius, kad asmuo atlieka neteisėtus veiksmus su nedideliu kiekiu narkotinių medžiagų, jo atžvilgiu būtų taikoma administracinė atsakomybė. Priešingu atveju, ignoruojant bendrosios ir specialios normos santykį, galėtų susidaryti tokia situacija, kad bendros normos apimtų visas specialias, tiek kvalifikuotas, tiek privilegijuotas BK, ANK normas, kas iš esmės užkirstų kelią diferencijuoti asmeniui taikomos atsakomybės rūšį bei pobūdį, prieštarautų kertiniams normų konkurencijos pri</w:t>
            </w:r>
            <w:r>
              <w:rPr>
                <w:rFonts w:cs="Times New Roman"/>
                <w:szCs w:val="24"/>
              </w:rPr>
              <w:t>ncipams ir šių taisyklių esmei.</w:t>
            </w:r>
          </w:p>
          <w:p w:rsidR="002B032C" w:rsidRPr="00F25A78" w:rsidRDefault="002B032C" w:rsidP="002B032C">
            <w:pPr>
              <w:ind w:firstLine="452"/>
              <w:jc w:val="both"/>
              <w:rPr>
                <w:rFonts w:cs="Times New Roman"/>
                <w:szCs w:val="24"/>
              </w:rPr>
            </w:pPr>
            <w:r w:rsidRPr="00F25A78">
              <w:rPr>
                <w:rFonts w:cs="Times New Roman"/>
                <w:szCs w:val="24"/>
              </w:rPr>
              <w:t>Bendrosios BK normos ir specialios ANK normos konkurencijos egzistavimą galima vaizdžiai iliustruoti pasitelkiant BK 178 straipsnio 1 dalyje įtvirtintą bendrą vagystės sudėtį. Šiame straipsnyje yra įtvirtinama baudžiamoji atsakomybė už svetimo turto pagrobimą,</w:t>
            </w:r>
            <w:r w:rsidRPr="00F25A78">
              <w:rPr>
                <w:rFonts w:cs="Times New Roman"/>
                <w:b/>
                <w:bCs/>
                <w:szCs w:val="24"/>
              </w:rPr>
              <w:t> nedetalizuojant, kokia pagrobto turto vertė laikoma nusikaltimu. </w:t>
            </w:r>
            <w:r w:rsidRPr="00F25A78">
              <w:rPr>
                <w:rFonts w:cs="Times New Roman"/>
                <w:szCs w:val="24"/>
              </w:rPr>
              <w:t>Atsižvelgiant į tai, bendroji vagystės norma numato baudžiamąją atsakomybę </w:t>
            </w:r>
            <w:r w:rsidRPr="00F25A78">
              <w:rPr>
                <w:rFonts w:cs="Times New Roman"/>
                <w:b/>
                <w:bCs/>
                <w:szCs w:val="24"/>
              </w:rPr>
              <w:t>už bet kokio dydžio svetimo turto vagystę</w:t>
            </w:r>
            <w:r w:rsidRPr="00F25A78">
              <w:rPr>
                <w:rFonts w:cs="Times New Roman"/>
                <w:szCs w:val="24"/>
              </w:rPr>
              <w:t xml:space="preserve">, išskyrus už turto, kurios dydis įtvirtintas BK 178 straipsnio 3 (nuo 3 iki 5 MGL) </w:t>
            </w:r>
            <w:r w:rsidRPr="00F25A78">
              <w:rPr>
                <w:rFonts w:cs="Times New Roman"/>
                <w:szCs w:val="24"/>
              </w:rPr>
              <w:lastRenderedPageBreak/>
              <w:t xml:space="preserve">ir 4 (virš 250 MGL) dalyse, o ANK iki 3 BBND (MGL). </w:t>
            </w:r>
            <w:r w:rsidR="00864323">
              <w:rPr>
                <w:rFonts w:cs="Times New Roman"/>
                <w:szCs w:val="24"/>
              </w:rPr>
              <w:t>Taigi,</w:t>
            </w:r>
            <w:r w:rsidRPr="00F25A78">
              <w:rPr>
                <w:rFonts w:cs="Times New Roman"/>
                <w:szCs w:val="24"/>
              </w:rPr>
              <w:t xml:space="preserve"> dar</w:t>
            </w:r>
            <w:r w:rsidR="00864323">
              <w:rPr>
                <w:rFonts w:cs="Times New Roman"/>
                <w:szCs w:val="24"/>
              </w:rPr>
              <w:t>ytina</w:t>
            </w:r>
            <w:r w:rsidRPr="00F25A78">
              <w:rPr>
                <w:rFonts w:cs="Times New Roman"/>
                <w:szCs w:val="24"/>
              </w:rPr>
              <w:t xml:space="preserve"> pagrįst</w:t>
            </w:r>
            <w:r w:rsidR="00864323">
              <w:rPr>
                <w:rFonts w:cs="Times New Roman"/>
                <w:szCs w:val="24"/>
              </w:rPr>
              <w:t>a</w:t>
            </w:r>
            <w:r w:rsidRPr="00F25A78">
              <w:rPr>
                <w:rFonts w:cs="Times New Roman"/>
                <w:szCs w:val="24"/>
              </w:rPr>
              <w:t xml:space="preserve"> išvad</w:t>
            </w:r>
            <w:r w:rsidR="00864323">
              <w:rPr>
                <w:rFonts w:cs="Times New Roman"/>
                <w:szCs w:val="24"/>
              </w:rPr>
              <w:t>a</w:t>
            </w:r>
            <w:r w:rsidRPr="00F25A78">
              <w:rPr>
                <w:rFonts w:cs="Times New Roman"/>
                <w:szCs w:val="24"/>
              </w:rPr>
              <w:t>, kad BK 178 straipsnio 1 dalis taikoma tik už didesnio negu 5 ir mažesnio negu 250 MGL turto vagystę. Tačiau BK nėra įtvirtinta atsakomybė už s</w:t>
            </w:r>
            <w:r>
              <w:rPr>
                <w:rFonts w:cs="Times New Roman"/>
                <w:szCs w:val="24"/>
              </w:rPr>
              <w:t>vetimo turto vagystę iki 3 MGL.</w:t>
            </w:r>
          </w:p>
          <w:p w:rsidR="002B032C" w:rsidRPr="00F25A78" w:rsidRDefault="002B032C" w:rsidP="002B032C">
            <w:pPr>
              <w:ind w:firstLine="452"/>
              <w:jc w:val="both"/>
              <w:rPr>
                <w:rFonts w:cs="Times New Roman"/>
                <w:szCs w:val="24"/>
              </w:rPr>
            </w:pPr>
            <w:r w:rsidRPr="00F25A78">
              <w:rPr>
                <w:rFonts w:cs="Times New Roman"/>
                <w:szCs w:val="24"/>
              </w:rPr>
              <w:t xml:space="preserve">Atsižvelgiant į </w:t>
            </w:r>
            <w:r>
              <w:rPr>
                <w:rFonts w:cs="Times New Roman"/>
                <w:szCs w:val="24"/>
              </w:rPr>
              <w:t>tai</w:t>
            </w:r>
            <w:r w:rsidRPr="00F25A78">
              <w:rPr>
                <w:rFonts w:cs="Times New Roman"/>
                <w:szCs w:val="24"/>
              </w:rPr>
              <w:t>, kadangi BK 178 straipsnio 1 dalyje įtvirtinta bendroji norma numato baudžiamąją atsakomybę </w:t>
            </w:r>
            <w:r w:rsidRPr="00F25A78">
              <w:rPr>
                <w:rFonts w:cs="Times New Roman"/>
                <w:b/>
                <w:bCs/>
                <w:szCs w:val="24"/>
              </w:rPr>
              <w:t>už bet kokio svetimo turto</w:t>
            </w:r>
            <w:r w:rsidRPr="00F25A78">
              <w:rPr>
                <w:rFonts w:cs="Times New Roman"/>
                <w:szCs w:val="24"/>
              </w:rPr>
              <w:t>, išskyrus šio straipsnio 3 ir 4 dalyse numatyto turto, pagrobimą, tai už mažesnio, negu 3 MGL turto pagrobimą taip pat turėtų būti taikoma ne ANK 108 straipsnyje įtvirtinta speciali, itin privilegijuota norma, bet bendroji, BK 178 straipsnio 1 dalyje įtvirtinta nusikaltimo sudėtis, kadangi ANK 5 straipsnio 2 dalis visuomet suponuoja baudžiamosios atsakomybės taikymo prioritetą, net ir bendrosios ir specialiosios normų s</w:t>
            </w:r>
            <w:r>
              <w:rPr>
                <w:rFonts w:cs="Times New Roman"/>
                <w:szCs w:val="24"/>
              </w:rPr>
              <w:t>antykio kontekste. Kaip ir minėta,</w:t>
            </w:r>
            <w:r w:rsidRPr="00F25A78">
              <w:rPr>
                <w:rFonts w:cs="Times New Roman"/>
                <w:szCs w:val="24"/>
              </w:rPr>
              <w:t xml:space="preserve"> pateiktas tik iliustracinis pavyzdys, kuris atskleidžia bendrų ir specialių no</w:t>
            </w:r>
            <w:r>
              <w:rPr>
                <w:rFonts w:cs="Times New Roman"/>
                <w:szCs w:val="24"/>
              </w:rPr>
              <w:t>rmų santykį.</w:t>
            </w:r>
          </w:p>
          <w:p w:rsidR="002B032C" w:rsidRPr="00F25A78" w:rsidRDefault="002B032C" w:rsidP="002B032C">
            <w:pPr>
              <w:ind w:firstLine="452"/>
              <w:jc w:val="both"/>
              <w:rPr>
                <w:rFonts w:cs="Times New Roman"/>
                <w:szCs w:val="24"/>
              </w:rPr>
            </w:pPr>
            <w:r w:rsidRPr="00F25A78">
              <w:rPr>
                <w:rFonts w:cs="Times New Roman"/>
                <w:szCs w:val="24"/>
              </w:rPr>
              <w:t>Šiame kontekste taip pat pažymėtina ir tai, kad ANK 5 straipsnio 2 dalyje įtvirtinta taisyklė iš esmės turėtų būti taikoma</w:t>
            </w:r>
            <w:r>
              <w:rPr>
                <w:rFonts w:cs="Times New Roman"/>
                <w:szCs w:val="24"/>
              </w:rPr>
              <w:t xml:space="preserve"> tik</w:t>
            </w:r>
            <w:r w:rsidRPr="00F25A78">
              <w:rPr>
                <w:rFonts w:cs="Times New Roman"/>
                <w:szCs w:val="24"/>
              </w:rPr>
              <w:t xml:space="preserve"> tapataus pobūdžio normų atribojimui, o ne savo pobūdžiu, aprašymu bei pavojingumo laipsniu visiškai skirtingų normų atžvilgiu. </w:t>
            </w:r>
            <w:r>
              <w:rPr>
                <w:rFonts w:cs="Times New Roman"/>
                <w:szCs w:val="24"/>
              </w:rPr>
              <w:t>V</w:t>
            </w:r>
            <w:r w:rsidRPr="00F25A78">
              <w:rPr>
                <w:rFonts w:cs="Times New Roman"/>
                <w:szCs w:val="24"/>
              </w:rPr>
              <w:t xml:space="preserve">ertinant ANK ir BK normų santykį, galima rasti ir daugiau bendrųjų/specialiųjų normų konkurencijos pavyzdžių, kurių metu net nekyla abejonių dėl taikytinos atsakomybės rūšies. Pavyzdžiui, BK 300 straipsnio 1 dalyje yra įtvirtinta bendra norma, </w:t>
            </w:r>
            <w:proofErr w:type="spellStart"/>
            <w:r w:rsidRPr="00F25A78">
              <w:rPr>
                <w:rFonts w:cs="Times New Roman"/>
                <w:szCs w:val="24"/>
              </w:rPr>
              <w:t>kriminalizuojanti</w:t>
            </w:r>
            <w:proofErr w:type="spellEnd"/>
            <w:r w:rsidRPr="00F25A78">
              <w:rPr>
                <w:rFonts w:cs="Times New Roman"/>
                <w:szCs w:val="24"/>
              </w:rPr>
              <w:t xml:space="preserve"> bet kokių dokumentų klastojimą, o ANK 158 straipsnyje įtvirtinta speciali privilegijuota prekių dokumentų klastojimo norma, ANK 214 straipsnyje taip pat įtvirtinta speciali norma, numatanti administracinę atsakomybę už naudojimąsi suklastotais prekių gabenimo dokumentais, tačiau aptariamų administracinių nusižengimų atveju, nėra net svarstoma galimybė taikyti bendrą, BK 300 straipsnyje įtvirtintą normą, nors pagal pateiktą teisės aiškinimą, bendrajai baudžiamajai normai visada turėtų būti teikiamas prioritetas. </w:t>
            </w:r>
          </w:p>
          <w:p w:rsidR="002B032C" w:rsidRDefault="00BD2BC9" w:rsidP="002B032C">
            <w:pPr>
              <w:ind w:firstLine="452"/>
              <w:jc w:val="both"/>
              <w:rPr>
                <w:rFonts w:cs="Times New Roman"/>
                <w:szCs w:val="24"/>
              </w:rPr>
            </w:pPr>
            <w:r>
              <w:rPr>
                <w:rFonts w:cs="Times New Roman"/>
                <w:szCs w:val="24"/>
              </w:rPr>
              <w:t>A</w:t>
            </w:r>
            <w:r w:rsidR="002B032C" w:rsidRPr="00F25A78">
              <w:rPr>
                <w:rFonts w:cs="Times New Roman"/>
                <w:szCs w:val="24"/>
              </w:rPr>
              <w:t>nalogiškam</w:t>
            </w:r>
            <w:r w:rsidR="002B032C">
              <w:rPr>
                <w:rFonts w:cs="Times New Roman"/>
                <w:szCs w:val="24"/>
              </w:rPr>
              <w:t xml:space="preserve"> BK 259 straipsnio pakeitimo</w:t>
            </w:r>
            <w:r w:rsidR="002B032C" w:rsidRPr="00F25A78">
              <w:rPr>
                <w:rFonts w:cs="Times New Roman"/>
                <w:szCs w:val="24"/>
              </w:rPr>
              <w:t xml:space="preserve"> projektui, kuris </w:t>
            </w:r>
            <w:r w:rsidR="002B032C">
              <w:rPr>
                <w:rFonts w:cs="Times New Roman"/>
                <w:szCs w:val="24"/>
              </w:rPr>
              <w:t>atitinka pateiktą pasiūlymą (</w:t>
            </w:r>
            <w:r w:rsidR="002B032C" w:rsidRPr="00F25A78">
              <w:rPr>
                <w:rFonts w:cs="Times New Roman"/>
                <w:szCs w:val="24"/>
              </w:rPr>
              <w:t> </w:t>
            </w:r>
            <w:hyperlink r:id="rId8" w:tgtFrame="_blank" w:history="1">
              <w:r w:rsidR="002B032C" w:rsidRPr="00F25A78">
                <w:rPr>
                  <w:rStyle w:val="Hyperlink"/>
                  <w:rFonts w:cs="Times New Roman"/>
                  <w:szCs w:val="24"/>
                </w:rPr>
                <w:t>https://e-seimas.lrs.lt/portal/legalAct/lt/TAP/6492d81089e611eaa51db668f0092944</w:t>
              </w:r>
            </w:hyperlink>
            <w:r w:rsidR="002B032C">
              <w:rPr>
                <w:rFonts w:cs="Times New Roman"/>
                <w:szCs w:val="24"/>
              </w:rPr>
              <w:t xml:space="preserve">), </w:t>
            </w:r>
            <w:r w:rsidR="002B032C" w:rsidRPr="00F25A78">
              <w:rPr>
                <w:rFonts w:cs="Times New Roman"/>
                <w:szCs w:val="24"/>
              </w:rPr>
              <w:t>pastabų dėl BK taikymo pirmumo prieš ANK pateikta nebuvo.</w:t>
            </w:r>
          </w:p>
          <w:p w:rsidR="006A1487" w:rsidRPr="00F25A78" w:rsidRDefault="006A1487" w:rsidP="002B032C">
            <w:pPr>
              <w:ind w:firstLine="452"/>
              <w:jc w:val="both"/>
              <w:rPr>
                <w:rFonts w:cs="Times New Roman"/>
                <w:szCs w:val="24"/>
              </w:rPr>
            </w:pPr>
            <w:r w:rsidRPr="00F25A78">
              <w:rPr>
                <w:rFonts w:cs="Times New Roman"/>
                <w:szCs w:val="24"/>
              </w:rPr>
              <w:t>Taip pat atkreiptinas dėmesys į tai, kad aptariama BK ir ATPK normų kolizija kilo dėl to, kad tiek BK 259 straipsnio 2 dal</w:t>
            </w:r>
            <w:r w:rsidR="00D61B88" w:rsidRPr="00F25A78">
              <w:rPr>
                <w:rFonts w:cs="Times New Roman"/>
                <w:szCs w:val="24"/>
              </w:rPr>
              <w:t>is</w:t>
            </w:r>
            <w:r w:rsidRPr="00F25A78">
              <w:rPr>
                <w:rFonts w:cs="Times New Roman"/>
                <w:szCs w:val="24"/>
              </w:rPr>
              <w:t xml:space="preserve">, tiek ATPK 44 straipsnis numatė </w:t>
            </w:r>
            <w:r w:rsidRPr="00F25A78">
              <w:rPr>
                <w:rFonts w:cs="Times New Roman"/>
                <w:b/>
                <w:szCs w:val="24"/>
              </w:rPr>
              <w:t>identiškas</w:t>
            </w:r>
            <w:r w:rsidRPr="00F25A78">
              <w:rPr>
                <w:rFonts w:cs="Times New Roman"/>
                <w:szCs w:val="24"/>
              </w:rPr>
              <w:t xml:space="preserve"> veikų sudėtis.</w:t>
            </w:r>
            <w:r w:rsidRPr="00F25A78">
              <w:rPr>
                <w:rFonts w:cs="Times New Roman"/>
                <w:b/>
                <w:szCs w:val="24"/>
              </w:rPr>
              <w:t xml:space="preserve"> </w:t>
            </w:r>
            <w:r w:rsidRPr="00F25A78">
              <w:rPr>
                <w:rFonts w:cs="Times New Roman"/>
                <w:szCs w:val="24"/>
              </w:rPr>
              <w:t xml:space="preserve">Kartu pažymėtina ir tai, kad net be atliktų įstatymų pakeitimų, ši kolizija buvo sėkmingai išspręsta teismų praktikoje, prioritetą suteikiant ATPK normos, nustatančios administracinę atsakomybę už </w:t>
            </w:r>
            <w:r w:rsidRPr="00F25A78">
              <w:rPr>
                <w:rFonts w:cs="Times New Roman"/>
                <w:szCs w:val="24"/>
              </w:rPr>
              <w:lastRenderedPageBreak/>
              <w:t>neteisėtus veiksmus su nedideliu kiekiu narkotinių medžiagų, taikymui. Išsamus šios kolizijos sprendimas pateiktas Kasacinė nutartyje baudžiamojoje byloje Nr. 2K-7-84/2012.</w:t>
            </w:r>
            <w:r w:rsidR="00D61B88" w:rsidRPr="00F25A78">
              <w:rPr>
                <w:rFonts w:cs="Times New Roman"/>
                <w:szCs w:val="24"/>
              </w:rPr>
              <w:t xml:space="preserve"> Šiuo atveju, tiek BK 259 straipsnio 1 dalyje, tiek ANK 71 straipsnio yra </w:t>
            </w:r>
            <w:r w:rsidR="005C1224">
              <w:rPr>
                <w:rFonts w:cs="Times New Roman"/>
                <w:szCs w:val="24"/>
              </w:rPr>
              <w:t xml:space="preserve">įtvirtinamos </w:t>
            </w:r>
            <w:r w:rsidR="00D61B88" w:rsidRPr="00F25A78">
              <w:rPr>
                <w:rFonts w:cs="Times New Roman"/>
                <w:szCs w:val="24"/>
              </w:rPr>
              <w:t>visiškai skirtingos</w:t>
            </w:r>
            <w:r w:rsidR="005C1224">
              <w:rPr>
                <w:rFonts w:cs="Times New Roman"/>
                <w:szCs w:val="24"/>
              </w:rPr>
              <w:t xml:space="preserve"> sudėtys</w:t>
            </w:r>
            <w:r w:rsidR="00D61B88" w:rsidRPr="00F25A78">
              <w:rPr>
                <w:rFonts w:cs="Times New Roman"/>
                <w:szCs w:val="24"/>
              </w:rPr>
              <w:t>, todėl refer</w:t>
            </w:r>
            <w:r w:rsidR="005C1224">
              <w:rPr>
                <w:rFonts w:cs="Times New Roman"/>
                <w:szCs w:val="24"/>
              </w:rPr>
              <w:t>uoti</w:t>
            </w:r>
            <w:r w:rsidR="00D61B88" w:rsidRPr="00F25A78">
              <w:rPr>
                <w:rFonts w:cs="Times New Roman"/>
                <w:szCs w:val="24"/>
              </w:rPr>
              <w:t xml:space="preserve"> į koliziją, kuri buvo </w:t>
            </w:r>
            <w:r w:rsidR="00996D42" w:rsidRPr="00F25A78">
              <w:rPr>
                <w:rFonts w:cs="Times New Roman"/>
                <w:szCs w:val="24"/>
              </w:rPr>
              <w:t xml:space="preserve">iš esmės </w:t>
            </w:r>
            <w:r w:rsidR="00D61B88" w:rsidRPr="00F25A78">
              <w:rPr>
                <w:rFonts w:cs="Times New Roman"/>
                <w:szCs w:val="24"/>
              </w:rPr>
              <w:t>išspręsta net jos</w:t>
            </w:r>
            <w:r w:rsidR="005C1224">
              <w:rPr>
                <w:rFonts w:cs="Times New Roman"/>
                <w:szCs w:val="24"/>
              </w:rPr>
              <w:t xml:space="preserve"> galiojimo metu, nėra tikslinga</w:t>
            </w:r>
            <w:r w:rsidR="00D61B88" w:rsidRPr="00F25A78">
              <w:rPr>
                <w:rFonts w:cs="Times New Roman"/>
                <w:szCs w:val="24"/>
              </w:rPr>
              <w:t>.</w:t>
            </w:r>
          </w:p>
          <w:p w:rsidR="006A1487" w:rsidRPr="00F25A78" w:rsidRDefault="00D61B88" w:rsidP="005C1224">
            <w:pPr>
              <w:jc w:val="both"/>
              <w:rPr>
                <w:rFonts w:cs="Times New Roman"/>
                <w:szCs w:val="24"/>
              </w:rPr>
            </w:pPr>
            <w:r w:rsidRPr="00F25A78">
              <w:rPr>
                <w:rFonts w:cs="Times New Roman"/>
                <w:szCs w:val="24"/>
              </w:rPr>
              <w:t xml:space="preserve">Pažymėtina, kad formuluotė </w:t>
            </w:r>
            <w:r w:rsidRPr="00F25A78">
              <w:rPr>
                <w:bCs/>
                <w:szCs w:val="24"/>
              </w:rPr>
              <w:t>„didesnis nei nedidelis kiekis“ yra visiškai svetima baudžiamajam įstatymui, kadangi nei į kiekius, nei į dydžius, jokiame kitame BK straipsnyje nėra referuojama</w:t>
            </w:r>
            <w:r w:rsidR="005C1224">
              <w:rPr>
                <w:bCs/>
                <w:szCs w:val="24"/>
              </w:rPr>
              <w:t xml:space="preserve"> pasitelkiant aptariamą juridinę teisės techniką</w:t>
            </w:r>
            <w:r w:rsidRPr="00F25A78">
              <w:rPr>
                <w:bCs/>
                <w:szCs w:val="24"/>
              </w:rPr>
              <w:t xml:space="preserve">. Kartu atkreiptinas dėmesys į tai, kad </w:t>
            </w:r>
            <w:r w:rsidRPr="00F25A78">
              <w:rPr>
                <w:rFonts w:cs="Times New Roman"/>
                <w:szCs w:val="24"/>
              </w:rPr>
              <w:t>Lietuvos Respublikos Vyriausybės kanceliarijos Teisės grupės 2020-02-09 išvadoje Nr. NV-271, pritariama Teisingumo ministerijos požiūriui šiuo klausimu.</w:t>
            </w:r>
          </w:p>
        </w:tc>
      </w:tr>
      <w:tr w:rsidR="0035619D" w:rsidRPr="00F25A78" w:rsidTr="005F43FA">
        <w:tc>
          <w:tcPr>
            <w:tcW w:w="2127" w:type="dxa"/>
            <w:tcBorders>
              <w:top w:val="single" w:sz="4" w:space="0" w:color="auto"/>
              <w:left w:val="single" w:sz="4" w:space="0" w:color="auto"/>
              <w:bottom w:val="single" w:sz="4" w:space="0" w:color="auto"/>
              <w:right w:val="single" w:sz="4" w:space="0" w:color="auto"/>
            </w:tcBorders>
          </w:tcPr>
          <w:p w:rsidR="0035619D" w:rsidRPr="00F25A78" w:rsidRDefault="0035619D" w:rsidP="00A527E6">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rsidR="0035619D" w:rsidRPr="00F25A78" w:rsidRDefault="00EF707C" w:rsidP="00F25A78">
            <w:pPr>
              <w:pStyle w:val="adresas0"/>
              <w:spacing w:before="0" w:beforeAutospacing="0" w:after="0" w:afterAutospacing="0"/>
              <w:jc w:val="both"/>
              <w:rPr>
                <w:color w:val="000000"/>
              </w:rPr>
            </w:pPr>
            <w:r>
              <w:rPr>
                <w:color w:val="000000"/>
                <w:lang w:val="lt-LT"/>
              </w:rPr>
              <w:t>2</w:t>
            </w:r>
            <w:r w:rsidR="0035619D" w:rsidRPr="00F25A78">
              <w:rPr>
                <w:color w:val="000000"/>
                <w:lang w:val="lt-LT"/>
              </w:rPr>
              <w:t xml:space="preserve">. Siūlome atsisakyti Projekto 4 punkte dėstomo siūlymo griežtinti ANK projekte atsakomybę (baudą) už disponavimą nedideliu kiekiu narkotinių medžiagų be tikslo jas platinti. Pabrėžtina, kad toks pasiūlymas būtų </w:t>
            </w:r>
            <w:proofErr w:type="spellStart"/>
            <w:r w:rsidR="0035619D" w:rsidRPr="00F25A78">
              <w:rPr>
                <w:color w:val="000000"/>
                <w:lang w:val="lt-LT"/>
              </w:rPr>
              <w:t>kontraproduktyvus</w:t>
            </w:r>
            <w:proofErr w:type="spellEnd"/>
            <w:r w:rsidR="0035619D" w:rsidRPr="00F25A78">
              <w:rPr>
                <w:color w:val="000000"/>
                <w:lang w:val="lt-LT"/>
              </w:rPr>
              <w:t xml:space="preserve"> įstatymų projektų siekių atžvilgiu, nes ne tik ir ne tiek veikos formalus priskyrimas administracinei ar baudžiamajai atsakomybei praktikoje yra svarbiausias, kiek už tokią veiką kylanti atsakomybė.</w:t>
            </w:r>
          </w:p>
          <w:p w:rsidR="0035619D" w:rsidRPr="00F25A78" w:rsidRDefault="0035619D" w:rsidP="004E0455">
            <w:pPr>
              <w:pStyle w:val="adresas0"/>
              <w:spacing w:before="0" w:beforeAutospacing="0" w:after="0" w:afterAutospacing="0"/>
              <w:ind w:firstLine="567"/>
              <w:jc w:val="both"/>
              <w:rPr>
                <w:color w:val="000000"/>
              </w:rPr>
            </w:pPr>
            <w:r w:rsidRPr="00F25A78">
              <w:rPr>
                <w:color w:val="000000"/>
                <w:lang w:val="lt-LT"/>
              </w:rPr>
              <w:t>Atitinkamą doktriną yra suformulavęs Europos žmogaus teisių teismas, kuris 1976 m. byloje </w:t>
            </w:r>
            <w:proofErr w:type="spellStart"/>
            <w:r w:rsidRPr="00F25A78">
              <w:rPr>
                <w:i/>
                <w:iCs/>
                <w:color w:val="000000"/>
                <w:lang w:val="lt-LT"/>
              </w:rPr>
              <w:t>Engel</w:t>
            </w:r>
            <w:proofErr w:type="spellEnd"/>
            <w:r w:rsidRPr="00F25A78">
              <w:rPr>
                <w:i/>
                <w:iCs/>
                <w:color w:val="000000"/>
                <w:lang w:val="lt-LT"/>
              </w:rPr>
              <w:t xml:space="preserve"> ir kiti prieš Nyderlandus</w:t>
            </w:r>
            <w:r w:rsidRPr="00F25A78">
              <w:rPr>
                <w:color w:val="000000"/>
                <w:lang w:val="lt-LT"/>
              </w:rPr>
              <w:t> suformulavo tris požymius, kuriais vadovaujantis nustatoma, koks persekiojimas iš valstybės pusės yra „baudžiamojo” pobūdžio persekiojimas: pirma, formalus veikos priskyrimas baudžiamajai ar administracinei atsakomybei atitinkamoje valstybėje (šis kriterijus teismo vertintinas kaip mažiausios svarbos); antra, pačios veikos pobūdis (pažeidimo prigimtis); trečia, už veiką numatomos atsakomybės griežtumas.</w:t>
            </w:r>
          </w:p>
          <w:p w:rsidR="0035619D" w:rsidRPr="00F25A78" w:rsidRDefault="0035619D" w:rsidP="004E0455">
            <w:pPr>
              <w:pStyle w:val="adresas0"/>
              <w:spacing w:before="0" w:beforeAutospacing="0" w:after="0" w:afterAutospacing="0"/>
              <w:ind w:firstLine="567"/>
              <w:jc w:val="both"/>
              <w:rPr>
                <w:rStyle w:val="normaltextrun1"/>
                <w:color w:val="000000"/>
              </w:rPr>
            </w:pPr>
            <w:r w:rsidRPr="00F25A78">
              <w:rPr>
                <w:color w:val="000000"/>
                <w:lang w:val="lt-LT"/>
              </w:rPr>
              <w:t xml:space="preserve">Vadinasi reikia pabrėžti, kad vien formalus tam tikros veikos „perkėlimas“ iš BK į ANK, esminiai nekoreguojant už atitinkamą veiką numatytos atsakomybės, negalėtų būti vertinamas kaip tikras (ne tik formalus) tam tikros veikos </w:t>
            </w:r>
            <w:proofErr w:type="spellStart"/>
            <w:r w:rsidRPr="00F25A78">
              <w:rPr>
                <w:color w:val="000000"/>
                <w:lang w:val="lt-LT"/>
              </w:rPr>
              <w:t>dekriminalizavimas</w:t>
            </w:r>
            <w:proofErr w:type="spellEnd"/>
            <w:r w:rsidRPr="00F25A78">
              <w:rPr>
                <w:color w:val="000000"/>
                <w:lang w:val="lt-LT"/>
              </w:rPr>
              <w:t xml:space="preserve">. Atsižvelgiant į tai, siūlomas esminis numatomos </w:t>
            </w:r>
            <w:r w:rsidRPr="00F25A78">
              <w:rPr>
                <w:color w:val="000000"/>
                <w:lang w:val="lt-LT"/>
              </w:rPr>
              <w:lastRenderedPageBreak/>
              <w:t>atsakomybės (baudos) švelninimas vertintinas kaip nuoseklus ir pagrįstas.</w:t>
            </w:r>
          </w:p>
        </w:tc>
        <w:tc>
          <w:tcPr>
            <w:tcW w:w="7796" w:type="dxa"/>
            <w:tcBorders>
              <w:top w:val="single" w:sz="4" w:space="0" w:color="auto"/>
              <w:left w:val="single" w:sz="4" w:space="0" w:color="auto"/>
              <w:bottom w:val="single" w:sz="4" w:space="0" w:color="auto"/>
              <w:right w:val="single" w:sz="4" w:space="0" w:color="auto"/>
            </w:tcBorders>
          </w:tcPr>
          <w:p w:rsidR="0035619D" w:rsidRPr="00F25A78" w:rsidRDefault="0035619D" w:rsidP="00F30811">
            <w:pPr>
              <w:jc w:val="both"/>
              <w:rPr>
                <w:rFonts w:cs="Times New Roman"/>
                <w:b/>
                <w:szCs w:val="24"/>
              </w:rPr>
            </w:pPr>
            <w:r w:rsidRPr="002B032C">
              <w:rPr>
                <w:rFonts w:cs="Times New Roman"/>
                <w:b/>
                <w:szCs w:val="24"/>
              </w:rPr>
              <w:lastRenderedPageBreak/>
              <w:t>Neatsižvelgta</w:t>
            </w:r>
          </w:p>
          <w:p w:rsidR="0035619D" w:rsidRPr="00F25A78" w:rsidRDefault="0035619D" w:rsidP="0035619D">
            <w:pPr>
              <w:ind w:firstLine="432"/>
              <w:jc w:val="both"/>
              <w:rPr>
                <w:rFonts w:cs="Times New Roman"/>
                <w:szCs w:val="24"/>
              </w:rPr>
            </w:pPr>
          </w:p>
          <w:p w:rsidR="0035619D" w:rsidRPr="00F25A78" w:rsidRDefault="0035619D" w:rsidP="00F30811">
            <w:pPr>
              <w:jc w:val="both"/>
              <w:rPr>
                <w:rFonts w:cs="Times New Roman"/>
                <w:b/>
                <w:szCs w:val="24"/>
              </w:rPr>
            </w:pPr>
            <w:r w:rsidRPr="00F25A78">
              <w:rPr>
                <w:rFonts w:cs="Times New Roman"/>
                <w:szCs w:val="24"/>
              </w:rPr>
              <w:t xml:space="preserve">Nutarimo projekte siūloma detaliau pagrįsti ANK projekte siekiamą nustatyti baudos už nedidelio kiekio narkotinių, psichotropinių ar kitų psichiką veikiančių medžiagų disponavimą be tikslo jas platinti dydį arba spręsti dėl </w:t>
            </w:r>
            <w:r w:rsidRPr="00F25A78">
              <w:rPr>
                <w:rFonts w:cs="Times New Roman"/>
                <w:szCs w:val="24"/>
                <w:lang w:eastAsia="lt-LT"/>
              </w:rPr>
              <w:t xml:space="preserve">ANK projekte numatyto maksimalaus baudos dydžio padidinimo, jį labiau priartinat prie </w:t>
            </w:r>
            <w:proofErr w:type="spellStart"/>
            <w:r w:rsidRPr="00F25A78">
              <w:rPr>
                <w:rFonts w:cs="Times New Roman"/>
                <w:szCs w:val="24"/>
                <w:lang w:eastAsia="lt-LT"/>
              </w:rPr>
              <w:t>dekriminalizuojamo</w:t>
            </w:r>
            <w:proofErr w:type="spellEnd"/>
            <w:r w:rsidRPr="00F25A78">
              <w:rPr>
                <w:rFonts w:cs="Times New Roman"/>
                <w:szCs w:val="24"/>
                <w:lang w:eastAsia="lt-LT"/>
              </w:rPr>
              <w:t xml:space="preserve"> baudžiamojo nusižengimo minimalios baudos ribos. Toks siūlymas negali būti laikomas nei kategorišku, nei leidžiančiu suprasti, kad ANK siekiamas numatyti baudos maksimumas turėtų būti toks pat, kaip BK nustatytas baudos minimumas ar pan. Taigi,</w:t>
            </w:r>
            <w:r w:rsidRPr="00F25A78">
              <w:rPr>
                <w:rFonts w:cs="Times New Roman"/>
                <w:szCs w:val="24"/>
              </w:rPr>
              <w:t xml:space="preserve"> Nutarimo projekte nesiūloma „perkelti“ veiką iš BK į ANK su analogiško dydžio baudomis ir tai laikyti </w:t>
            </w:r>
            <w:proofErr w:type="spellStart"/>
            <w:r w:rsidRPr="00F25A78">
              <w:rPr>
                <w:rFonts w:cs="Times New Roman"/>
                <w:szCs w:val="24"/>
              </w:rPr>
              <w:t>dekriminalizavimu</w:t>
            </w:r>
            <w:proofErr w:type="spellEnd"/>
            <w:r w:rsidRPr="00F25A78">
              <w:rPr>
                <w:rFonts w:cs="Times New Roman"/>
                <w:szCs w:val="24"/>
              </w:rPr>
              <w:t>.</w:t>
            </w:r>
          </w:p>
        </w:tc>
      </w:tr>
      <w:tr w:rsidR="000D6662" w:rsidRPr="00F25A78" w:rsidTr="005F43FA">
        <w:tc>
          <w:tcPr>
            <w:tcW w:w="2127" w:type="dxa"/>
            <w:tcBorders>
              <w:top w:val="single" w:sz="4" w:space="0" w:color="auto"/>
              <w:left w:val="single" w:sz="4" w:space="0" w:color="auto"/>
              <w:bottom w:val="single" w:sz="4" w:space="0" w:color="auto"/>
              <w:right w:val="single" w:sz="4" w:space="0" w:color="auto"/>
            </w:tcBorders>
          </w:tcPr>
          <w:p w:rsidR="000D6662" w:rsidRPr="00F25A78" w:rsidRDefault="00821F8A" w:rsidP="00A527E6">
            <w:pPr>
              <w:rPr>
                <w:rFonts w:cs="Times New Roman"/>
                <w:szCs w:val="24"/>
              </w:rPr>
            </w:pPr>
            <w:r w:rsidRPr="00F25A78">
              <w:rPr>
                <w:rFonts w:cs="Times New Roman"/>
                <w:szCs w:val="24"/>
              </w:rPr>
              <w:t xml:space="preserve">Lietuvos Respublikos vidaus reikalų </w:t>
            </w:r>
            <w:r w:rsidR="00DA7672">
              <w:rPr>
                <w:rFonts w:cs="Times New Roman"/>
                <w:szCs w:val="24"/>
              </w:rPr>
              <w:t>ministerijos 2020 m. vasario 18 </w:t>
            </w:r>
            <w:r w:rsidRPr="00F25A78">
              <w:rPr>
                <w:rFonts w:cs="Times New Roman"/>
                <w:szCs w:val="24"/>
              </w:rPr>
              <w:t>d. raštas Nr. (1.36Mr)2T-131</w:t>
            </w:r>
          </w:p>
        </w:tc>
        <w:tc>
          <w:tcPr>
            <w:tcW w:w="5670" w:type="dxa"/>
            <w:tcBorders>
              <w:top w:val="single" w:sz="4" w:space="0" w:color="auto"/>
              <w:left w:val="single" w:sz="4" w:space="0" w:color="auto"/>
              <w:bottom w:val="single" w:sz="4" w:space="0" w:color="auto"/>
              <w:right w:val="single" w:sz="4" w:space="0" w:color="auto"/>
            </w:tcBorders>
          </w:tcPr>
          <w:p w:rsidR="00821F8A" w:rsidRPr="00F25A78" w:rsidRDefault="00EF707C" w:rsidP="00F25A78">
            <w:pPr>
              <w:pStyle w:val="adresas0"/>
              <w:jc w:val="both"/>
              <w:rPr>
                <w:color w:val="000000"/>
                <w:lang w:val="lt-LT"/>
              </w:rPr>
            </w:pPr>
            <w:r>
              <w:rPr>
                <w:color w:val="000000"/>
                <w:lang w:val="lt-LT"/>
              </w:rPr>
              <w:t>3</w:t>
            </w:r>
            <w:r w:rsidR="00F25A78" w:rsidRPr="00F25A78">
              <w:rPr>
                <w:color w:val="000000"/>
                <w:lang w:val="lt-LT"/>
              </w:rPr>
              <w:t xml:space="preserve">. </w:t>
            </w:r>
            <w:r w:rsidR="00821F8A" w:rsidRPr="00F25A78">
              <w:rPr>
                <w:color w:val="000000"/>
                <w:lang w:val="lt-LT"/>
              </w:rPr>
              <w:t>Iš esmės pritardami Lietuvos Respublikos Vyriausybės kanceliarijos Teisės grupės 2021 m. vasario 9 d. išvados Nr. NV-271 6 punkte pateiktoms pastaboms dėl Lietuvos Respublikos administracinių nusižengimų kodekso 71 straipsnio pakeitimo ir papildymo 483</w:t>
            </w:r>
            <w:r w:rsidR="00821F8A" w:rsidRPr="00F25A78">
              <w:rPr>
                <w:color w:val="000000"/>
                <w:vertAlign w:val="superscript"/>
                <w:lang w:val="lt-LT"/>
              </w:rPr>
              <w:t>1</w:t>
            </w:r>
            <w:r w:rsidR="00821F8A" w:rsidRPr="00F25A78">
              <w:rPr>
                <w:color w:val="000000"/>
                <w:lang w:val="lt-LT"/>
              </w:rPr>
              <w:t xml:space="preserve"> straipsniu įstatymo projekto Nr. XIVP-95, siūlome patikslinti minėto nutarimo projekto 6 punktą ir pasiūlyti Administracinių nusižengimų kodekse neapibrėžti konkrečių vietų, kuriose draudžiama vartoti narkotines, psichotropines ar kitas psichiką veikiančias medžiagas.</w:t>
            </w:r>
          </w:p>
          <w:p w:rsidR="000D6662" w:rsidRPr="00F25A78" w:rsidRDefault="000D6662" w:rsidP="004E0455">
            <w:pPr>
              <w:pStyle w:val="adresas0"/>
              <w:spacing w:before="0" w:beforeAutospacing="0" w:after="0" w:afterAutospacing="0"/>
              <w:ind w:firstLine="567"/>
              <w:jc w:val="both"/>
              <w:rPr>
                <w:color w:val="000000"/>
                <w:lang w:val="lt-LT"/>
              </w:rPr>
            </w:pPr>
          </w:p>
        </w:tc>
        <w:tc>
          <w:tcPr>
            <w:tcW w:w="7796" w:type="dxa"/>
            <w:tcBorders>
              <w:top w:val="single" w:sz="4" w:space="0" w:color="auto"/>
              <w:left w:val="single" w:sz="4" w:space="0" w:color="auto"/>
              <w:bottom w:val="single" w:sz="4" w:space="0" w:color="auto"/>
              <w:right w:val="single" w:sz="4" w:space="0" w:color="auto"/>
            </w:tcBorders>
          </w:tcPr>
          <w:p w:rsidR="00DA7672" w:rsidRDefault="00DA7672" w:rsidP="002B032C">
            <w:pPr>
              <w:jc w:val="both"/>
              <w:rPr>
                <w:rFonts w:cs="Times New Roman"/>
                <w:b/>
                <w:szCs w:val="24"/>
              </w:rPr>
            </w:pPr>
            <w:r w:rsidRPr="002B032C">
              <w:rPr>
                <w:rFonts w:cs="Times New Roman"/>
                <w:b/>
                <w:szCs w:val="24"/>
              </w:rPr>
              <w:t>Neatsižvelgta.</w:t>
            </w:r>
          </w:p>
          <w:p w:rsidR="002B032C" w:rsidRDefault="002B032C" w:rsidP="002B032C">
            <w:pPr>
              <w:jc w:val="both"/>
              <w:rPr>
                <w:rFonts w:cs="Times New Roman"/>
                <w:szCs w:val="24"/>
              </w:rPr>
            </w:pPr>
          </w:p>
          <w:p w:rsidR="00DA7672" w:rsidRDefault="00DA7672" w:rsidP="002B032C">
            <w:pPr>
              <w:jc w:val="both"/>
              <w:rPr>
                <w:rFonts w:cs="Times New Roman"/>
                <w:color w:val="000000"/>
                <w:szCs w:val="24"/>
              </w:rPr>
            </w:pPr>
            <w:r w:rsidRPr="00F25A78">
              <w:rPr>
                <w:color w:val="000000"/>
              </w:rPr>
              <w:t xml:space="preserve">Vyriausybės kanceliarijos Teisės grupės </w:t>
            </w:r>
            <w:r>
              <w:rPr>
                <w:rFonts w:cs="Times New Roman"/>
                <w:szCs w:val="24"/>
              </w:rPr>
              <w:t>6 pastabos turinys iš esmės dėstomas Nutarimo projekto 6 punkte: „</w:t>
            </w:r>
            <w:r w:rsidRPr="0006798C">
              <w:rPr>
                <w:rFonts w:cs="Times New Roman"/>
                <w:szCs w:val="24"/>
                <w:lang w:eastAsia="lt-LT"/>
              </w:rPr>
              <w:t xml:space="preserve">Jei vis dėlto </w:t>
            </w:r>
            <w:r w:rsidRPr="0006798C">
              <w:rPr>
                <w:rFonts w:cs="Times New Roman"/>
                <w:color w:val="000000"/>
                <w:szCs w:val="24"/>
                <w:shd w:val="clear" w:color="auto" w:fill="FFFFFF"/>
              </w:rPr>
              <w:t xml:space="preserve">ANK projekto 2 straipsnyje dėstomo ANK </w:t>
            </w:r>
            <w:r w:rsidRPr="0006798C">
              <w:rPr>
                <w:rFonts w:eastAsia="Calibri" w:cs="Times New Roman"/>
                <w:szCs w:val="24"/>
              </w:rPr>
              <w:t>483</w:t>
            </w:r>
            <w:r w:rsidRPr="0006798C">
              <w:rPr>
                <w:rFonts w:eastAsia="Calibri" w:cs="Times New Roman"/>
                <w:szCs w:val="24"/>
                <w:vertAlign w:val="superscript"/>
              </w:rPr>
              <w:t>1</w:t>
            </w:r>
            <w:r w:rsidRPr="0006798C">
              <w:rPr>
                <w:rFonts w:eastAsia="Calibri" w:cs="Times New Roman"/>
                <w:szCs w:val="24"/>
              </w:rPr>
              <w:t xml:space="preserve"> straipsnio 1 dalyje</w:t>
            </w:r>
            <w:r w:rsidRPr="0006798C">
              <w:rPr>
                <w:rFonts w:cs="Times New Roman"/>
                <w:szCs w:val="24"/>
                <w:lang w:eastAsia="lt-LT"/>
              </w:rPr>
              <w:t xml:space="preserve"> siekiama nustatyti administracinę atsakomybę už </w:t>
            </w:r>
            <w:r w:rsidRPr="0006798C">
              <w:rPr>
                <w:rFonts w:cs="Times New Roman"/>
                <w:bCs/>
                <w:szCs w:val="24"/>
                <w:lang w:eastAsia="lt-LT"/>
              </w:rPr>
              <w:t>n</w:t>
            </w:r>
            <w:r w:rsidRPr="0006798C">
              <w:rPr>
                <w:rFonts w:cs="Times New Roman"/>
                <w:szCs w:val="24"/>
                <w:lang w:eastAsia="lt-LT"/>
              </w:rPr>
              <w:t xml:space="preserve">arkotinių, psichotropinių ar kitų psichiką veikiančių medžiagų vartojimą tik viešose vietose, asmenys, neteisėtai vartojantys šias medžiagas privačioje erdvėje, išvengtų administracinės atsakomybės. </w:t>
            </w:r>
            <w:r w:rsidRPr="0006798C">
              <w:rPr>
                <w:rFonts w:cs="Times New Roman"/>
                <w:color w:val="000000"/>
                <w:szCs w:val="24"/>
              </w:rPr>
              <w:t xml:space="preserve">Atsižvelgus į tai, kad </w:t>
            </w:r>
            <w:r w:rsidRPr="0006798C">
              <w:rPr>
                <w:rFonts w:eastAsia="Calibri" w:cs="Times New Roman"/>
                <w:szCs w:val="24"/>
              </w:rPr>
              <w:t>n</w:t>
            </w:r>
            <w:r w:rsidRPr="0006798C">
              <w:rPr>
                <w:rFonts w:cs="Times New Roman"/>
                <w:bCs/>
                <w:szCs w:val="24"/>
                <w:lang w:eastAsia="lt-LT"/>
              </w:rPr>
              <w:t>arkotinių, psichotropinių ar kitų psichiką veikiančių medžiagų vartojimas, išskyrus Lietuvos Respublikos n</w:t>
            </w:r>
            <w:r w:rsidRPr="0006798C">
              <w:rPr>
                <w:rFonts w:cs="Times New Roman"/>
                <w:bCs/>
                <w:color w:val="000000"/>
                <w:szCs w:val="24"/>
                <w:shd w:val="clear" w:color="auto" w:fill="FFFFFF"/>
              </w:rPr>
              <w:t>arkotinių ir psichotropinių medžiagų kontrolės įstatyme ir Lietuvos Respublikos f</w:t>
            </w:r>
            <w:r w:rsidRPr="0006798C">
              <w:rPr>
                <w:rFonts w:cs="Times New Roman"/>
                <w:color w:val="000000"/>
                <w:szCs w:val="24"/>
              </w:rPr>
              <w:t>armacijos įstatyme numatytus atvejus, laikytinas neteisėtu, ANK turėtų būti nustatyta administracinė atsakomybė už šių medžiagų vartojimą taip pat ir privačioje erdvėje.</w:t>
            </w:r>
            <w:r>
              <w:rPr>
                <w:rFonts w:cs="Times New Roman"/>
                <w:color w:val="000000"/>
                <w:szCs w:val="24"/>
              </w:rPr>
              <w:t xml:space="preserve">“ </w:t>
            </w:r>
          </w:p>
          <w:p w:rsidR="000D6662" w:rsidRPr="00F25A78" w:rsidRDefault="00DA7672" w:rsidP="00DA7672">
            <w:pPr>
              <w:ind w:firstLine="432"/>
              <w:jc w:val="both"/>
              <w:rPr>
                <w:rFonts w:cs="Times New Roman"/>
                <w:b/>
                <w:szCs w:val="24"/>
              </w:rPr>
            </w:pPr>
            <w:r>
              <w:rPr>
                <w:rFonts w:cs="Times New Roman"/>
                <w:color w:val="000000"/>
                <w:szCs w:val="24"/>
              </w:rPr>
              <w:t xml:space="preserve">Be to, pažymėtina, kad pastaba dėl viešųjų vietų įvardinimo dėstoma </w:t>
            </w:r>
            <w:r w:rsidRPr="004E40EA">
              <w:rPr>
                <w:rFonts w:cs="Times New Roman"/>
                <w:szCs w:val="24"/>
              </w:rPr>
              <w:t>Seimo kanceliarijos Teisės departamento 2020 m. gruodžio 10 d. išvadoje Nr.</w:t>
            </w:r>
            <w:r>
              <w:rPr>
                <w:rFonts w:cs="Times New Roman"/>
                <w:szCs w:val="24"/>
              </w:rPr>
              <w:t> </w:t>
            </w:r>
            <w:r w:rsidRPr="004E40EA">
              <w:rPr>
                <w:rFonts w:cs="Times New Roman"/>
                <w:szCs w:val="24"/>
              </w:rPr>
              <w:t>XIVP-95,</w:t>
            </w:r>
            <w:r>
              <w:rPr>
                <w:rFonts w:cs="Times New Roman"/>
                <w:szCs w:val="24"/>
              </w:rPr>
              <w:t xml:space="preserve"> </w:t>
            </w:r>
            <w:r w:rsidRPr="004E40EA">
              <w:rPr>
                <w:rFonts w:cs="Times New Roman"/>
                <w:szCs w:val="24"/>
              </w:rPr>
              <w:t xml:space="preserve">todėl, manytina, neturėtų būti </w:t>
            </w:r>
            <w:r>
              <w:rPr>
                <w:rFonts w:cs="Times New Roman"/>
                <w:szCs w:val="24"/>
              </w:rPr>
              <w:t>kartojama</w:t>
            </w:r>
            <w:r w:rsidRPr="004E40EA">
              <w:rPr>
                <w:rFonts w:cs="Times New Roman"/>
                <w:szCs w:val="24"/>
              </w:rPr>
              <w:t xml:space="preserve"> Vyriausybės </w:t>
            </w:r>
            <w:r>
              <w:rPr>
                <w:rFonts w:cs="Times New Roman"/>
                <w:szCs w:val="24"/>
              </w:rPr>
              <w:t>nutarime</w:t>
            </w:r>
            <w:r w:rsidRPr="004E40EA">
              <w:rPr>
                <w:rFonts w:cs="Times New Roman"/>
                <w:szCs w:val="24"/>
              </w:rPr>
              <w:t>.</w:t>
            </w:r>
          </w:p>
        </w:tc>
      </w:tr>
      <w:tr w:rsidR="000D6662" w:rsidRPr="00F25A78" w:rsidTr="005F43FA">
        <w:tc>
          <w:tcPr>
            <w:tcW w:w="2127" w:type="dxa"/>
            <w:tcBorders>
              <w:top w:val="single" w:sz="4" w:space="0" w:color="auto"/>
              <w:left w:val="single" w:sz="4" w:space="0" w:color="auto"/>
              <w:bottom w:val="single" w:sz="4" w:space="0" w:color="auto"/>
              <w:right w:val="single" w:sz="4" w:space="0" w:color="auto"/>
            </w:tcBorders>
          </w:tcPr>
          <w:p w:rsidR="000D6662" w:rsidRPr="00F25A78" w:rsidRDefault="00821F8A" w:rsidP="00F44731">
            <w:pPr>
              <w:rPr>
                <w:rFonts w:cs="Times New Roman"/>
                <w:szCs w:val="24"/>
              </w:rPr>
            </w:pPr>
            <w:r w:rsidRPr="00F25A78">
              <w:rPr>
                <w:rFonts w:cs="Times New Roman"/>
                <w:szCs w:val="24"/>
              </w:rPr>
              <w:t>Policijos departamento prie V</w:t>
            </w:r>
            <w:r w:rsidR="00DA7672">
              <w:rPr>
                <w:rFonts w:cs="Times New Roman"/>
                <w:szCs w:val="24"/>
              </w:rPr>
              <w:t>idaus reikalų ministerijos 2020 </w:t>
            </w:r>
            <w:r w:rsidRPr="00F25A78">
              <w:rPr>
                <w:rFonts w:cs="Times New Roman"/>
                <w:szCs w:val="24"/>
              </w:rPr>
              <w:t>m. vasario 18</w:t>
            </w:r>
            <w:r w:rsidR="00F44731">
              <w:rPr>
                <w:rFonts w:cs="Times New Roman"/>
                <w:szCs w:val="24"/>
              </w:rPr>
              <w:t> </w:t>
            </w:r>
            <w:r w:rsidRPr="00F25A78">
              <w:rPr>
                <w:rFonts w:cs="Times New Roman"/>
                <w:szCs w:val="24"/>
              </w:rPr>
              <w:t xml:space="preserve">d. raštas Nr. </w:t>
            </w:r>
            <w:r w:rsidRPr="00F25A78">
              <w:rPr>
                <w:rStyle w:val="Numatytasispastraiposriftas"/>
                <w:szCs w:val="24"/>
              </w:rPr>
              <w:t>(1.36Mr) 2T-131</w:t>
            </w:r>
          </w:p>
        </w:tc>
        <w:tc>
          <w:tcPr>
            <w:tcW w:w="5670" w:type="dxa"/>
            <w:tcBorders>
              <w:top w:val="single" w:sz="4" w:space="0" w:color="auto"/>
              <w:left w:val="single" w:sz="4" w:space="0" w:color="auto"/>
              <w:bottom w:val="single" w:sz="4" w:space="0" w:color="auto"/>
              <w:right w:val="single" w:sz="4" w:space="0" w:color="auto"/>
            </w:tcBorders>
          </w:tcPr>
          <w:p w:rsidR="00821F8A" w:rsidRPr="00F25A78" w:rsidRDefault="00EF707C" w:rsidP="00F25A78">
            <w:pPr>
              <w:pStyle w:val="prastasis"/>
              <w:jc w:val="both"/>
              <w:rPr>
                <w:sz w:val="24"/>
                <w:szCs w:val="24"/>
              </w:rPr>
            </w:pPr>
            <w:r>
              <w:rPr>
                <w:color w:val="000000"/>
                <w:sz w:val="24"/>
                <w:szCs w:val="24"/>
              </w:rPr>
              <w:t>4</w:t>
            </w:r>
            <w:r w:rsidR="00F25A78" w:rsidRPr="00F25A78">
              <w:rPr>
                <w:color w:val="000000"/>
                <w:sz w:val="24"/>
                <w:szCs w:val="24"/>
              </w:rPr>
              <w:t xml:space="preserve">. </w:t>
            </w:r>
            <w:r w:rsidR="00821F8A" w:rsidRPr="00F25A78">
              <w:rPr>
                <w:rStyle w:val="Numatytasispastraiposriftas"/>
                <w:color w:val="000000"/>
                <w:sz w:val="24"/>
                <w:szCs w:val="24"/>
                <w:lang w:eastAsia="lt-LT"/>
              </w:rPr>
              <w:t>Atsižvelgdami į tai, manome, kad esamo teisinio reguliavimo, kai būtina nustatyti grynąją medžiagos masę, pakeitimas, paliekant teismams galimybę, pasitelkus į pagalbą ekspertus, kiekvieną atvejį vertinti individualiai, lemtų trumpesnį ir mažiau lėšų reikalaujantį baudžiamąjį procesą. Siūlomu atveju taip pat ir administracinį procesą dėl disponavimo nedideliu kiekiu narkotinės ar psichotropinės medžiagos.</w:t>
            </w:r>
          </w:p>
          <w:p w:rsidR="00821F8A" w:rsidRPr="00F25A78" w:rsidRDefault="00821F8A" w:rsidP="00821F8A">
            <w:pPr>
              <w:pStyle w:val="prastasis"/>
              <w:ind w:firstLine="567"/>
              <w:jc w:val="both"/>
              <w:rPr>
                <w:sz w:val="24"/>
                <w:szCs w:val="24"/>
              </w:rPr>
            </w:pPr>
            <w:r w:rsidRPr="00F25A78">
              <w:rPr>
                <w:rStyle w:val="Numatytasispastraiposriftas"/>
                <w:color w:val="000000"/>
                <w:sz w:val="24"/>
                <w:szCs w:val="24"/>
                <w:lang w:eastAsia="lt-LT"/>
              </w:rPr>
              <w:t>Kaip alternatyvą pateiktam pasiūlymui, siūlome svarstyti galimybę papildyti Rekomendacijas, tam tikroms darinių grupėms nustatant išimtį ir šių darinių kiekius nurodyti neperskaičiuojant į grynąją masę. Šiuo atveju narkotinių ar psichotropinių medžiagų, patenkančių į nurodytų darinių grupę, kiekį reikėtų vertinti neperskaičiuojant į grynąją masę.</w:t>
            </w:r>
          </w:p>
          <w:p w:rsidR="000D6662" w:rsidRPr="00F25A78" w:rsidRDefault="000D6662" w:rsidP="004E0455">
            <w:pPr>
              <w:pStyle w:val="adresas0"/>
              <w:spacing w:before="0" w:beforeAutospacing="0" w:after="0" w:afterAutospacing="0"/>
              <w:ind w:firstLine="567"/>
              <w:jc w:val="both"/>
              <w:rPr>
                <w:color w:val="000000"/>
                <w:lang w:val="lt-LT"/>
              </w:rPr>
            </w:pPr>
          </w:p>
        </w:tc>
        <w:tc>
          <w:tcPr>
            <w:tcW w:w="7796" w:type="dxa"/>
            <w:tcBorders>
              <w:top w:val="single" w:sz="4" w:space="0" w:color="auto"/>
              <w:left w:val="single" w:sz="4" w:space="0" w:color="auto"/>
              <w:bottom w:val="single" w:sz="4" w:space="0" w:color="auto"/>
              <w:right w:val="single" w:sz="4" w:space="0" w:color="auto"/>
            </w:tcBorders>
          </w:tcPr>
          <w:p w:rsidR="000D6662" w:rsidRPr="00F25A78" w:rsidRDefault="00D748EB" w:rsidP="00F30811">
            <w:pPr>
              <w:jc w:val="both"/>
              <w:rPr>
                <w:rFonts w:cs="Times New Roman"/>
                <w:b/>
                <w:szCs w:val="24"/>
              </w:rPr>
            </w:pPr>
            <w:r w:rsidRPr="00F25A78">
              <w:rPr>
                <w:rFonts w:cs="Times New Roman"/>
                <w:b/>
                <w:szCs w:val="24"/>
              </w:rPr>
              <w:t>Neatsižvelgta</w:t>
            </w:r>
          </w:p>
          <w:p w:rsidR="00F30811" w:rsidRPr="00F25A78" w:rsidRDefault="00F30811" w:rsidP="00F30811">
            <w:pPr>
              <w:jc w:val="both"/>
              <w:rPr>
                <w:rFonts w:cs="Times New Roman"/>
                <w:b/>
                <w:szCs w:val="24"/>
              </w:rPr>
            </w:pPr>
          </w:p>
          <w:p w:rsidR="00F30811" w:rsidRPr="00F25A78" w:rsidRDefault="00F30811" w:rsidP="00F30811">
            <w:pPr>
              <w:jc w:val="both"/>
              <w:rPr>
                <w:rFonts w:cs="Times New Roman"/>
                <w:szCs w:val="24"/>
              </w:rPr>
            </w:pPr>
            <w:r w:rsidRPr="00F25A78">
              <w:rPr>
                <w:rFonts w:cs="Times New Roman"/>
                <w:szCs w:val="24"/>
              </w:rPr>
              <w:t xml:space="preserve">Atkreiptinas dėmesys į tai, kad teismų praktika, kurioje išaiškinta, kad turi būti nustatomas grynasis narkotinių ar psichotropinių medžiagų kiekis, susiformavimo atsižvelgiant į </w:t>
            </w:r>
            <w:r w:rsidRPr="00F25A78">
              <w:rPr>
                <w:rStyle w:val="Numatytasispastraiposriftas"/>
                <w:color w:val="000000"/>
                <w:szCs w:val="24"/>
                <w:lang w:eastAsia="lt-LT"/>
              </w:rPr>
              <w:t>Lietuvos Respublikos sveikatos apsaugos ministro 2003 m. balandžio 23 d. įsakymu Nr. V-239 „Dėl Narkotinių ir psichotropinių medžiagų nedidelio, didelio ir labai didelio kiekio nustatymo rekomendacijų“ patvirtintas rekomendacijas, kuriomis vadovaujamasi kvalifikuojant aptariamo pobūdžio nusikalstamas veikas. Teisingumo ministerija pritaria, kad yra tikslinga atnaujinti diskusijas dėl aptariamo Sveikatos apsaugos ministerijos kompetencijai priskirto įsakymo, tačiau šio įsakymo atnaujinimas yra nesusijęs su</w:t>
            </w:r>
            <w:r w:rsidR="00BD2BC9">
              <w:rPr>
                <w:rStyle w:val="Numatytasispastraiposriftas"/>
                <w:color w:val="000000"/>
                <w:szCs w:val="24"/>
                <w:lang w:eastAsia="lt-LT"/>
              </w:rPr>
              <w:t xml:space="preserve"> vertinamais Įstatymų projektais</w:t>
            </w:r>
            <w:bookmarkStart w:id="0" w:name="_GoBack"/>
            <w:bookmarkEnd w:id="0"/>
            <w:r w:rsidRPr="00F25A78">
              <w:rPr>
                <w:rStyle w:val="Numatytasispastraiposriftas"/>
                <w:color w:val="000000"/>
                <w:szCs w:val="24"/>
                <w:lang w:eastAsia="lt-LT"/>
              </w:rPr>
              <w:t>.</w:t>
            </w:r>
          </w:p>
          <w:p w:rsidR="00D748EB" w:rsidRPr="00F25A78" w:rsidRDefault="00D748EB" w:rsidP="0035619D">
            <w:pPr>
              <w:ind w:firstLine="432"/>
              <w:jc w:val="both"/>
              <w:rPr>
                <w:rFonts w:cs="Times New Roman"/>
                <w:szCs w:val="24"/>
              </w:rPr>
            </w:pPr>
          </w:p>
        </w:tc>
      </w:tr>
      <w:tr w:rsidR="00821F8A" w:rsidRPr="00F25A78" w:rsidTr="005F43FA">
        <w:tc>
          <w:tcPr>
            <w:tcW w:w="2127" w:type="dxa"/>
            <w:tcBorders>
              <w:top w:val="single" w:sz="4" w:space="0" w:color="auto"/>
              <w:left w:val="single" w:sz="4" w:space="0" w:color="auto"/>
              <w:bottom w:val="single" w:sz="4" w:space="0" w:color="auto"/>
              <w:right w:val="single" w:sz="4" w:space="0" w:color="auto"/>
            </w:tcBorders>
          </w:tcPr>
          <w:p w:rsidR="00821F8A" w:rsidRPr="00F25A78" w:rsidRDefault="00821F8A" w:rsidP="00A527E6">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rsidR="00821F8A" w:rsidRPr="00F25A78" w:rsidRDefault="00EF707C" w:rsidP="00F25A78">
            <w:pPr>
              <w:jc w:val="both"/>
              <w:rPr>
                <w:rFonts w:eastAsia="Times New Roman" w:cs="Times New Roman"/>
                <w:szCs w:val="24"/>
                <w:lang w:eastAsia="ru-RU"/>
              </w:rPr>
            </w:pPr>
            <w:r>
              <w:rPr>
                <w:color w:val="000000"/>
                <w:szCs w:val="24"/>
              </w:rPr>
              <w:t>5</w:t>
            </w:r>
            <w:r w:rsidR="00821F8A" w:rsidRPr="00F25A78">
              <w:rPr>
                <w:color w:val="000000"/>
                <w:szCs w:val="24"/>
              </w:rPr>
              <w:t xml:space="preserve">. </w:t>
            </w:r>
            <w:r w:rsidR="00821F8A" w:rsidRPr="00F25A78">
              <w:rPr>
                <w:rFonts w:eastAsia="Times New Roman" w:cs="Times New Roman"/>
                <w:szCs w:val="24"/>
                <w:lang w:eastAsia="ru-RU"/>
              </w:rPr>
              <w:t>Įvertinę Lietuvos Respublikos administracinių nusižengimų kodekso (toliau – ANK)</w:t>
            </w:r>
            <w:r w:rsidR="00821F8A" w:rsidRPr="00F25A78">
              <w:rPr>
                <w:rFonts w:eastAsia="Times New Roman" w:cs="Times New Roman"/>
                <w:szCs w:val="24"/>
                <w:lang w:eastAsia="ru-RU"/>
              </w:rPr>
              <w:br/>
            </w:r>
            <w:r w:rsidR="00821F8A" w:rsidRPr="00F25A78">
              <w:rPr>
                <w:rFonts w:eastAsia="Times New Roman" w:cs="Times New Roman"/>
                <w:szCs w:val="24"/>
                <w:lang w:eastAsia="ru-RU"/>
              </w:rPr>
              <w:lastRenderedPageBreak/>
              <w:t>71 straipsnio pakeitimo ir papildymo 483</w:t>
            </w:r>
            <w:r w:rsidR="00821F8A" w:rsidRPr="00F25A78">
              <w:rPr>
                <w:rFonts w:eastAsia="Times New Roman" w:cs="Times New Roman"/>
                <w:szCs w:val="24"/>
                <w:vertAlign w:val="superscript"/>
                <w:lang w:eastAsia="ru-RU"/>
              </w:rPr>
              <w:t>1</w:t>
            </w:r>
            <w:r w:rsidR="00821F8A" w:rsidRPr="00F25A78">
              <w:rPr>
                <w:rFonts w:eastAsia="Times New Roman" w:cs="Times New Roman"/>
                <w:szCs w:val="24"/>
                <w:lang w:eastAsia="ru-RU"/>
              </w:rPr>
              <w:t xml:space="preserve"> straipsniu įstatymo projektą Nr. XIVP-95 (toliau – ANK projektas), nepritariame siūlomai </w:t>
            </w:r>
            <w:r w:rsidR="00821F8A" w:rsidRPr="00F25A78">
              <w:rPr>
                <w:rFonts w:eastAsia="Times New Roman" w:cs="Times New Roman"/>
                <w:color w:val="000000"/>
                <w:szCs w:val="24"/>
                <w:lang w:eastAsia="ru-RU"/>
              </w:rPr>
              <w:t>ANK 71 straipsnio 1 dalies sankcijai. Jeigu sankcijos konstrukcijoje numatomas įspėjimas ir bauda, tai praktikoje bauda iš esmės netaikoma. ANK</w:t>
            </w:r>
            <w:r w:rsidR="00DA7672">
              <w:rPr>
                <w:rFonts w:eastAsia="Times New Roman" w:cs="Times New Roman"/>
                <w:color w:val="000000"/>
                <w:szCs w:val="24"/>
                <w:lang w:eastAsia="ru-RU"/>
              </w:rPr>
              <w:t xml:space="preserve"> </w:t>
            </w:r>
            <w:r w:rsidR="00821F8A" w:rsidRPr="00F25A78">
              <w:rPr>
                <w:rFonts w:eastAsia="Times New Roman" w:cs="Times New Roman"/>
                <w:color w:val="000000"/>
                <w:szCs w:val="24"/>
                <w:lang w:eastAsia="ru-RU"/>
              </w:rPr>
              <w:t>608 straipsnio 5 dalyje nustatyta, kad jeigu už padarytą administracinį nusižengimą ANK specialiosios dalies straipsnyje numatytas įspėjimas ir nėra ANK 610 straipsnio 2 dalyje nurodytų sąlygų, baigus administracinio nusižengimo tyrimą asmeniui skiriamas įspėjimas ir tyrimą atlikęs pareigūnas dėl to administracinio nusižengimo surašo nutarimą. Administracinio nusižengimo protokolas šiuo atveju nesurašomas. Taigi siūlome atsisakyti įspėjimo, kaip nuobaudos už administracinį nusižengimą, numatytą ANK 71 straipsnio 1 dalyje.</w:t>
            </w:r>
          </w:p>
          <w:p w:rsidR="00821F8A" w:rsidRPr="00821F8A" w:rsidRDefault="00821F8A" w:rsidP="00821F8A">
            <w:pPr>
              <w:suppressAutoHyphens/>
              <w:autoSpaceDN w:val="0"/>
              <w:ind w:firstLine="567"/>
              <w:jc w:val="both"/>
              <w:textAlignment w:val="baseline"/>
              <w:rPr>
                <w:rFonts w:eastAsia="Times New Roman" w:cs="Times New Roman"/>
                <w:szCs w:val="24"/>
                <w:lang w:eastAsia="ru-RU"/>
              </w:rPr>
            </w:pPr>
            <w:r w:rsidRPr="00F25A78">
              <w:rPr>
                <w:rFonts w:eastAsia="Times New Roman" w:cs="Times New Roman"/>
                <w:color w:val="000000"/>
                <w:szCs w:val="24"/>
                <w:lang w:eastAsia="ru-RU"/>
              </w:rPr>
              <w:t>Siūlome ANK 483</w:t>
            </w:r>
            <w:r w:rsidRPr="00F25A78">
              <w:rPr>
                <w:rFonts w:eastAsia="Times New Roman" w:cs="Times New Roman"/>
                <w:color w:val="000000"/>
                <w:szCs w:val="24"/>
                <w:vertAlign w:val="superscript"/>
                <w:lang w:eastAsia="ru-RU"/>
              </w:rPr>
              <w:t>1</w:t>
            </w:r>
            <w:r w:rsidRPr="00F25A78">
              <w:rPr>
                <w:rFonts w:eastAsia="Times New Roman" w:cs="Times New Roman"/>
                <w:color w:val="000000"/>
                <w:szCs w:val="24"/>
                <w:lang w:eastAsia="ru-RU"/>
              </w:rPr>
              <w:t xml:space="preserve"> straipsnio 1 dalį išdėstyti taip:</w:t>
            </w:r>
          </w:p>
          <w:p w:rsidR="00821F8A" w:rsidRPr="00821F8A" w:rsidRDefault="00821F8A" w:rsidP="00821F8A">
            <w:pPr>
              <w:suppressAutoHyphens/>
              <w:autoSpaceDN w:val="0"/>
              <w:ind w:firstLine="567"/>
              <w:jc w:val="both"/>
              <w:textAlignment w:val="baseline"/>
              <w:rPr>
                <w:rFonts w:eastAsia="Times New Roman" w:cs="Times New Roman"/>
                <w:szCs w:val="24"/>
                <w:lang w:eastAsia="ru-RU"/>
              </w:rPr>
            </w:pPr>
            <w:r w:rsidRPr="00F25A78">
              <w:rPr>
                <w:rFonts w:eastAsia="Times New Roman" w:cs="Times New Roman"/>
                <w:color w:val="000000"/>
                <w:szCs w:val="24"/>
                <w:lang w:eastAsia="ru-RU"/>
              </w:rPr>
              <w:t xml:space="preserve">„Narkotinių, psichotropinių ar kitų psichiką veikiančių medžiagų vartojimą gatvėse, stadionuose, skveruose, parkuose, visų rūšių viešajame transporte ir transporto priemonėse, </w:t>
            </w:r>
            <w:r w:rsidRPr="00F25A78">
              <w:rPr>
                <w:rFonts w:eastAsia="Times New Roman" w:cs="Times New Roman"/>
                <w:strike/>
                <w:color w:val="000000"/>
                <w:szCs w:val="24"/>
                <w:lang w:eastAsia="ru-RU"/>
              </w:rPr>
              <w:t>automobilių salonuose, išskyrus autotransporto priemones, kurių salonas yra stacionariai atskirtas nuo vairuotojo vietos,</w:t>
            </w:r>
            <w:r w:rsidRPr="00F25A78">
              <w:rPr>
                <w:rFonts w:eastAsia="Times New Roman" w:cs="Times New Roman"/>
                <w:color w:val="000000"/>
                <w:szCs w:val="24"/>
                <w:lang w:eastAsia="ru-RU"/>
              </w:rPr>
              <w:t xml:space="preserve"> parodose, mugėse ir masiniuose renginiuose, mažmeninės prekybos ir viešojo maitinimo vietose, per sporto varžybas salėse ir kitose vietose, arba apsvaigusio asmens pasirodymas viešosiose vietose </w:t>
            </w:r>
            <w:r w:rsidRPr="00F25A78">
              <w:rPr>
                <w:rFonts w:eastAsia="Times New Roman" w:cs="Times New Roman"/>
                <w:strike/>
                <w:color w:val="000000"/>
                <w:szCs w:val="24"/>
                <w:lang w:eastAsia="ru-RU"/>
              </w:rPr>
              <w:t>įžeidžiant žmogaus orumą ir dorovę</w:t>
            </w:r>
            <w:r w:rsidRPr="00F25A78">
              <w:rPr>
                <w:rFonts w:eastAsia="Times New Roman" w:cs="Times New Roman"/>
                <w:color w:val="000000"/>
                <w:szCs w:val="24"/>
                <w:lang w:eastAsia="ru-RU"/>
              </w:rPr>
              <w:t>, arba už administracinių nusižengimų (išskyrus šio kodekso 227 straipsnio 3 dalyje, 379 straipsnio 2 dalyje, 401 straipsnio</w:t>
            </w:r>
            <w:r w:rsidRPr="00F25A78">
              <w:rPr>
                <w:rFonts w:eastAsia="Times New Roman" w:cs="Times New Roman"/>
                <w:color w:val="000000"/>
                <w:szCs w:val="24"/>
                <w:lang w:eastAsia="ru-RU"/>
              </w:rPr>
              <w:br/>
              <w:t>6, 21 dalyse, 406 straipsnio 5 dalyje, 420 straipsnio 3, 4 dalyse, 422 straipsnio 3, 5 dalyse,</w:t>
            </w:r>
            <w:r w:rsidRPr="00F25A78">
              <w:rPr>
                <w:rFonts w:eastAsia="Times New Roman" w:cs="Times New Roman"/>
                <w:color w:val="000000"/>
                <w:szCs w:val="24"/>
                <w:lang w:eastAsia="ru-RU"/>
              </w:rPr>
              <w:br/>
              <w:t xml:space="preserve">423 straipsnio 3 dalyje, 424 straipsnio 4 dalyje, 427 straipsnio 1 dalyje, 428 straipsnio 5, 8 dalyse numatytus nusižengimus) padarymą sulaikytų ir apsvaigimu nuo narkotinių, psichotropinių ar kitų psichiką veikiančių </w:t>
            </w:r>
            <w:r w:rsidRPr="00F25A78">
              <w:rPr>
                <w:rFonts w:eastAsia="Times New Roman" w:cs="Times New Roman"/>
                <w:color w:val="000000"/>
                <w:szCs w:val="24"/>
                <w:lang w:eastAsia="ru-RU"/>
              </w:rPr>
              <w:lastRenderedPageBreak/>
              <w:t>medžiagų įtariamų asmenų vengimas pasitikrinti dėl apsvaigimo;“.</w:t>
            </w:r>
          </w:p>
          <w:p w:rsidR="00821F8A" w:rsidRPr="00F25A78" w:rsidRDefault="00821F8A" w:rsidP="00821F8A">
            <w:pPr>
              <w:pStyle w:val="prastasis"/>
              <w:ind w:firstLine="567"/>
              <w:jc w:val="both"/>
              <w:rPr>
                <w:color w:val="000000"/>
                <w:sz w:val="24"/>
                <w:szCs w:val="24"/>
              </w:rPr>
            </w:pPr>
          </w:p>
        </w:tc>
        <w:tc>
          <w:tcPr>
            <w:tcW w:w="7796" w:type="dxa"/>
            <w:tcBorders>
              <w:top w:val="single" w:sz="4" w:space="0" w:color="auto"/>
              <w:left w:val="single" w:sz="4" w:space="0" w:color="auto"/>
              <w:bottom w:val="single" w:sz="4" w:space="0" w:color="auto"/>
              <w:right w:val="single" w:sz="4" w:space="0" w:color="auto"/>
            </w:tcBorders>
          </w:tcPr>
          <w:p w:rsidR="00DA7672" w:rsidRDefault="00DA7672" w:rsidP="00EF707C">
            <w:pPr>
              <w:jc w:val="both"/>
              <w:rPr>
                <w:rFonts w:cs="Times New Roman"/>
                <w:b/>
                <w:szCs w:val="24"/>
              </w:rPr>
            </w:pPr>
            <w:r w:rsidRPr="00EF707C">
              <w:rPr>
                <w:rFonts w:cs="Times New Roman"/>
                <w:b/>
                <w:szCs w:val="24"/>
              </w:rPr>
              <w:lastRenderedPageBreak/>
              <w:t>Neatsižvelgta.</w:t>
            </w:r>
          </w:p>
          <w:p w:rsidR="00DA7672" w:rsidRDefault="00DA7672" w:rsidP="00DA7672">
            <w:pPr>
              <w:ind w:firstLine="432"/>
              <w:jc w:val="both"/>
              <w:rPr>
                <w:rFonts w:cs="Times New Roman"/>
                <w:b/>
                <w:szCs w:val="24"/>
              </w:rPr>
            </w:pPr>
          </w:p>
          <w:p w:rsidR="00DA7672" w:rsidRDefault="00DA7672" w:rsidP="00EF707C">
            <w:pPr>
              <w:jc w:val="both"/>
              <w:rPr>
                <w:rFonts w:cs="Times New Roman"/>
                <w:szCs w:val="24"/>
              </w:rPr>
            </w:pPr>
            <w:r w:rsidRPr="00476C31">
              <w:rPr>
                <w:rFonts w:cs="Times New Roman"/>
                <w:szCs w:val="24"/>
              </w:rPr>
              <w:lastRenderedPageBreak/>
              <w:t>Įspėjimas</w:t>
            </w:r>
            <w:r>
              <w:rPr>
                <w:rFonts w:cs="Times New Roman"/>
                <w:szCs w:val="24"/>
              </w:rPr>
              <w:t xml:space="preserve"> yra viena iš ANK įtvirtintų administracinių nuobaudų.</w:t>
            </w:r>
            <w:r w:rsidRPr="00476C31">
              <w:rPr>
                <w:rFonts w:cs="Times New Roman"/>
                <w:szCs w:val="24"/>
              </w:rPr>
              <w:t xml:space="preserve"> Administracinė nuobauda yra valstybės prievartos priemonė, šio kodekso nustatyta tvarka skiriama administracinį nusižengimą padariusiam asmeniui.</w:t>
            </w:r>
            <w:r>
              <w:rPr>
                <w:rFonts w:cs="Times New Roman"/>
                <w:szCs w:val="24"/>
              </w:rPr>
              <w:t xml:space="preserve"> ANK yra įtvirtinta nemaž</w:t>
            </w:r>
            <w:r w:rsidR="00F44731">
              <w:rPr>
                <w:rFonts w:cs="Times New Roman"/>
                <w:szCs w:val="24"/>
              </w:rPr>
              <w:t>ai straipsnių, kurių sankcijose</w:t>
            </w:r>
            <w:r>
              <w:rPr>
                <w:rFonts w:cs="Times New Roman"/>
                <w:szCs w:val="24"/>
              </w:rPr>
              <w:t xml:space="preserve"> už pirmą kartą padarytą administracinį nusižengimą numatyta administracinė nuobauda – įspėjimas. Teiginys, kad,</w:t>
            </w:r>
            <w:r w:rsidRPr="00476C31">
              <w:rPr>
                <w:rFonts w:cs="Times New Roman"/>
                <w:szCs w:val="24"/>
              </w:rPr>
              <w:t xml:space="preserve"> </w:t>
            </w:r>
            <w:r>
              <w:rPr>
                <w:rFonts w:cs="Times New Roman"/>
                <w:szCs w:val="24"/>
              </w:rPr>
              <w:t>„</w:t>
            </w:r>
            <w:r>
              <w:rPr>
                <w:rFonts w:cs="Times New Roman"/>
                <w:color w:val="000000"/>
                <w:szCs w:val="24"/>
              </w:rPr>
              <w:t>j</w:t>
            </w:r>
            <w:r w:rsidRPr="00476C31">
              <w:rPr>
                <w:rFonts w:cs="Times New Roman"/>
                <w:color w:val="000000"/>
                <w:szCs w:val="24"/>
              </w:rPr>
              <w:t>eigu sankcijos konstrukcijoje numatomas įspėjimas ir bauda, tai praktikoje bauda iš esmės netaikoma</w:t>
            </w:r>
            <w:r>
              <w:rPr>
                <w:rFonts w:cs="Times New Roman"/>
                <w:color w:val="000000"/>
                <w:szCs w:val="24"/>
              </w:rPr>
              <w:t xml:space="preserve">“ yra </w:t>
            </w:r>
            <w:r w:rsidRPr="008838A2">
              <w:rPr>
                <w:rFonts w:cs="Times New Roman"/>
                <w:color w:val="000000"/>
                <w:szCs w:val="24"/>
              </w:rPr>
              <w:t xml:space="preserve">ne visai pagrįstas ir korektiškas, nes, esant ANK 610 straipsnio 2 dalyje nustatytiems pagrindams, o vienas tokių pagrindų – </w:t>
            </w:r>
            <w:r w:rsidRPr="008838A2">
              <w:rPr>
                <w:rFonts w:cs="Times New Roman"/>
                <w:szCs w:val="24"/>
              </w:rPr>
              <w:t xml:space="preserve">asmuo administracinį nusižengimą padarė būdamas neblaivus ar apsvaigęs nuo narkotinių, psichotropinių ar kitų psichiką veikiančių medžiagų ir tai turėjo įtakos administracinio nusižengimo padarymui, vengė patikrinimo dėl neblaivumo ar apsvaigimo, vartojo alkoholį, narkotines, psichotropines ar kitas psichiką veikiančias medžiagas po eismo įvykio iki jo aplinkybių nustatymo (ANK 610 straipsnio 2 </w:t>
            </w:r>
            <w:proofErr w:type="spellStart"/>
            <w:r w:rsidRPr="008838A2">
              <w:rPr>
                <w:rFonts w:cs="Times New Roman"/>
                <w:szCs w:val="24"/>
              </w:rPr>
              <w:t>daies</w:t>
            </w:r>
            <w:proofErr w:type="spellEnd"/>
            <w:r w:rsidRPr="008838A2">
              <w:rPr>
                <w:rFonts w:cs="Times New Roman"/>
                <w:szCs w:val="24"/>
              </w:rPr>
              <w:t xml:space="preserve"> 3 punktas), asmeniui skiriama sankcijoje numatyta bauda.</w:t>
            </w:r>
            <w:r>
              <w:rPr>
                <w:rFonts w:cs="Times New Roman"/>
                <w:szCs w:val="24"/>
              </w:rPr>
              <w:t xml:space="preserve"> </w:t>
            </w:r>
          </w:p>
          <w:p w:rsidR="00821F8A" w:rsidRDefault="00DA7672" w:rsidP="00DA7672">
            <w:pPr>
              <w:ind w:firstLine="432"/>
              <w:jc w:val="both"/>
              <w:rPr>
                <w:rFonts w:cs="Times New Roman"/>
                <w:szCs w:val="24"/>
              </w:rPr>
            </w:pPr>
            <w:r>
              <w:rPr>
                <w:rFonts w:cs="Times New Roman"/>
                <w:szCs w:val="24"/>
              </w:rPr>
              <w:t>ANK yra įtvirtinta nemažai straipsnių, kurių sankcijoje numatytas įspėjimas. Paminėtina, kad, nepriklausomai nuo to, ar sankcijoje numatyta tik administracinė nuobauda – bauda, ar tiek administracinė nuobauda – įspėjimas, tiek bauda, administracinės nuobaudo</w:t>
            </w:r>
            <w:r w:rsidR="00F44731">
              <w:rPr>
                <w:rFonts w:cs="Times New Roman"/>
                <w:szCs w:val="24"/>
              </w:rPr>
              <w:t>s</w:t>
            </w:r>
            <w:r>
              <w:rPr>
                <w:rFonts w:cs="Times New Roman"/>
                <w:szCs w:val="24"/>
              </w:rPr>
              <w:t xml:space="preserve"> atlieka savo atgrasomąjį poveikį. Be to, nepriklausomai nuo to, kokia nuobauda numatyta sankcijoje už pirmą kartą padarytą administracinį nusižengimą, pakartotinai jį padarius, asmuo</w:t>
            </w:r>
            <w:r w:rsidR="00F44731">
              <w:rPr>
                <w:rFonts w:cs="Times New Roman"/>
                <w:szCs w:val="24"/>
              </w:rPr>
              <w:t xml:space="preserve"> visais atvejais</w:t>
            </w:r>
            <w:r>
              <w:rPr>
                <w:rFonts w:cs="Times New Roman"/>
                <w:szCs w:val="24"/>
              </w:rPr>
              <w:t xml:space="preserve"> sulauks griežtesnės</w:t>
            </w:r>
            <w:r w:rsidR="00F44731">
              <w:rPr>
                <w:rFonts w:cs="Times New Roman"/>
                <w:szCs w:val="24"/>
              </w:rPr>
              <w:t xml:space="preserve"> administracinės</w:t>
            </w:r>
            <w:r>
              <w:rPr>
                <w:rFonts w:cs="Times New Roman"/>
                <w:szCs w:val="24"/>
              </w:rPr>
              <w:t xml:space="preserve"> atsakomybės.</w:t>
            </w:r>
          </w:p>
          <w:p w:rsidR="00DA7672" w:rsidRDefault="00DA7672" w:rsidP="00DA7672">
            <w:pPr>
              <w:ind w:firstLine="432"/>
              <w:jc w:val="both"/>
              <w:rPr>
                <w:rFonts w:cs="Times New Roman"/>
                <w:szCs w:val="24"/>
              </w:rPr>
            </w:pPr>
          </w:p>
          <w:p w:rsidR="00DA7672" w:rsidRPr="00F25A78" w:rsidRDefault="00DA7672" w:rsidP="00F44731">
            <w:pPr>
              <w:ind w:firstLine="432"/>
              <w:jc w:val="both"/>
              <w:rPr>
                <w:rFonts w:cs="Times New Roman"/>
                <w:b/>
                <w:szCs w:val="24"/>
              </w:rPr>
            </w:pPr>
            <w:r>
              <w:rPr>
                <w:rFonts w:cs="Times New Roman"/>
                <w:color w:val="000000"/>
                <w:szCs w:val="24"/>
              </w:rPr>
              <w:t xml:space="preserve">Pastaba dėl viešųjų vietų įvardinimo dėstoma </w:t>
            </w:r>
            <w:r w:rsidRPr="004E40EA">
              <w:rPr>
                <w:rFonts w:cs="Times New Roman"/>
                <w:szCs w:val="24"/>
              </w:rPr>
              <w:t>Seimo kanceliarijos Teisės departamento 2020 m. gruodžio 10 d. išvadoje Nr. XIVP-95,</w:t>
            </w:r>
            <w:r>
              <w:rPr>
                <w:rFonts w:cs="Times New Roman"/>
                <w:szCs w:val="24"/>
              </w:rPr>
              <w:t xml:space="preserve"> </w:t>
            </w:r>
            <w:r w:rsidRPr="004E40EA">
              <w:rPr>
                <w:rFonts w:cs="Times New Roman"/>
                <w:szCs w:val="24"/>
              </w:rPr>
              <w:t xml:space="preserve">todėl, manytina, neturėtų būti </w:t>
            </w:r>
            <w:r w:rsidR="00F44731">
              <w:rPr>
                <w:rFonts w:cs="Times New Roman"/>
                <w:szCs w:val="24"/>
              </w:rPr>
              <w:t>kartojama</w:t>
            </w:r>
            <w:r w:rsidRPr="004E40EA">
              <w:rPr>
                <w:rFonts w:cs="Times New Roman"/>
                <w:szCs w:val="24"/>
              </w:rPr>
              <w:t xml:space="preserve"> Vyriausybės </w:t>
            </w:r>
            <w:r>
              <w:rPr>
                <w:rFonts w:cs="Times New Roman"/>
                <w:szCs w:val="24"/>
              </w:rPr>
              <w:t>nutarime</w:t>
            </w:r>
            <w:r w:rsidRPr="004E40EA">
              <w:rPr>
                <w:rFonts w:cs="Times New Roman"/>
                <w:szCs w:val="24"/>
              </w:rPr>
              <w:t>.</w:t>
            </w:r>
          </w:p>
        </w:tc>
      </w:tr>
      <w:tr w:rsidR="00821F8A" w:rsidRPr="00F25A78" w:rsidTr="005F43FA">
        <w:tc>
          <w:tcPr>
            <w:tcW w:w="2127" w:type="dxa"/>
            <w:tcBorders>
              <w:top w:val="single" w:sz="4" w:space="0" w:color="auto"/>
              <w:left w:val="single" w:sz="4" w:space="0" w:color="auto"/>
              <w:bottom w:val="single" w:sz="4" w:space="0" w:color="auto"/>
              <w:right w:val="single" w:sz="4" w:space="0" w:color="auto"/>
            </w:tcBorders>
          </w:tcPr>
          <w:p w:rsidR="00821F8A" w:rsidRPr="00F25A78" w:rsidRDefault="00821F8A" w:rsidP="00A527E6">
            <w:pPr>
              <w:rPr>
                <w:rFonts w:cs="Times New Roman"/>
                <w:szCs w:val="24"/>
              </w:rPr>
            </w:pPr>
            <w:r w:rsidRPr="00F25A78">
              <w:rPr>
                <w:rFonts w:cs="Times New Roman"/>
                <w:szCs w:val="24"/>
              </w:rPr>
              <w:lastRenderedPageBreak/>
              <w:t>Generalinės prokuratūros 2020 m. vasario 24 d. raštas Nr. 17.2.-620</w:t>
            </w:r>
          </w:p>
        </w:tc>
        <w:tc>
          <w:tcPr>
            <w:tcW w:w="5670" w:type="dxa"/>
            <w:tcBorders>
              <w:top w:val="single" w:sz="4" w:space="0" w:color="auto"/>
              <w:left w:val="single" w:sz="4" w:space="0" w:color="auto"/>
              <w:bottom w:val="single" w:sz="4" w:space="0" w:color="auto"/>
              <w:right w:val="single" w:sz="4" w:space="0" w:color="auto"/>
            </w:tcBorders>
          </w:tcPr>
          <w:p w:rsidR="00821F8A" w:rsidRPr="00F25A78" w:rsidRDefault="00EF707C" w:rsidP="00821F8A">
            <w:pPr>
              <w:jc w:val="both"/>
              <w:rPr>
                <w:color w:val="000000"/>
                <w:szCs w:val="24"/>
              </w:rPr>
            </w:pPr>
            <w:r>
              <w:rPr>
                <w:color w:val="000000"/>
                <w:szCs w:val="24"/>
              </w:rPr>
              <w:t>6</w:t>
            </w:r>
            <w:r w:rsidR="00F25A78">
              <w:rPr>
                <w:color w:val="000000"/>
                <w:szCs w:val="24"/>
              </w:rPr>
              <w:t xml:space="preserve">. </w:t>
            </w:r>
            <w:r w:rsidR="00821F8A" w:rsidRPr="00F25A78">
              <w:rPr>
                <w:color w:val="000000"/>
                <w:szCs w:val="24"/>
              </w:rPr>
              <w:t xml:space="preserve">Siekiant aiškios takoskyros kalbant apie administracinę ir baudžiamąją atsakomybę už narkotinių, psichotropinių ar kitų psichiką veikiančių medžiagų disponavimą be tikslo jas platinti, tikslinga, kad BK 259 straipsnyje būtų aiškiai apibrėžtos baudžiamosios atsakomybės atsiradimo sąlygos (peržiūrint nustatytus atitinkamų medžiagų kiekius ir nustatant ne tris, o daugiau šių medžiagų kiekių standartų, kurių mažiausiam būtų taikomas </w:t>
            </w:r>
            <w:r w:rsidR="00821F8A" w:rsidRPr="00F25A78">
              <w:rPr>
                <w:bCs/>
                <w:color w:val="000000"/>
                <w:szCs w:val="24"/>
              </w:rPr>
              <w:t xml:space="preserve">Lietuvos Respublikos administracinių nusižengimų kodeksas (toliau – </w:t>
            </w:r>
            <w:r w:rsidR="00821F8A" w:rsidRPr="00F25A78">
              <w:rPr>
                <w:color w:val="000000"/>
                <w:szCs w:val="24"/>
              </w:rPr>
              <w:t xml:space="preserve">ANK), o kitiems jau BK, galimai numatant ir </w:t>
            </w:r>
            <w:proofErr w:type="spellStart"/>
            <w:r w:rsidR="00821F8A" w:rsidRPr="00F25A78">
              <w:rPr>
                <w:color w:val="000000"/>
                <w:szCs w:val="24"/>
              </w:rPr>
              <w:t>sistematiškumo</w:t>
            </w:r>
            <w:proofErr w:type="spellEnd"/>
            <w:r w:rsidR="00821F8A" w:rsidRPr="00F25A78">
              <w:rPr>
                <w:color w:val="000000"/>
                <w:szCs w:val="24"/>
              </w:rPr>
              <w:t xml:space="preserve"> požymį kaip vieną iš galimų baudžiamosios ir administracinės atsakomybės atribojimo požymių).</w:t>
            </w:r>
          </w:p>
          <w:p w:rsidR="00821F8A" w:rsidRPr="00F25A78" w:rsidRDefault="00821F8A" w:rsidP="00821F8A">
            <w:pPr>
              <w:ind w:firstLine="567"/>
              <w:jc w:val="both"/>
              <w:rPr>
                <w:color w:val="000000"/>
                <w:szCs w:val="24"/>
              </w:rPr>
            </w:pPr>
          </w:p>
        </w:tc>
        <w:tc>
          <w:tcPr>
            <w:tcW w:w="7796" w:type="dxa"/>
            <w:tcBorders>
              <w:top w:val="single" w:sz="4" w:space="0" w:color="auto"/>
              <w:left w:val="single" w:sz="4" w:space="0" w:color="auto"/>
              <w:bottom w:val="single" w:sz="4" w:space="0" w:color="auto"/>
              <w:right w:val="single" w:sz="4" w:space="0" w:color="auto"/>
            </w:tcBorders>
          </w:tcPr>
          <w:p w:rsidR="00821F8A" w:rsidRDefault="00821F8A" w:rsidP="00821F8A">
            <w:pPr>
              <w:jc w:val="both"/>
              <w:rPr>
                <w:rFonts w:cs="Times New Roman"/>
                <w:b/>
                <w:szCs w:val="24"/>
              </w:rPr>
            </w:pPr>
            <w:r w:rsidRPr="00F25A78">
              <w:rPr>
                <w:rFonts w:cs="Times New Roman"/>
                <w:b/>
                <w:szCs w:val="24"/>
              </w:rPr>
              <w:t>Neatsižvelgta</w:t>
            </w:r>
          </w:p>
          <w:p w:rsidR="00F44731" w:rsidRPr="00F25A78" w:rsidRDefault="00F44731" w:rsidP="00821F8A">
            <w:pPr>
              <w:jc w:val="both"/>
              <w:rPr>
                <w:rFonts w:cs="Times New Roman"/>
                <w:b/>
                <w:szCs w:val="24"/>
              </w:rPr>
            </w:pPr>
          </w:p>
          <w:p w:rsidR="00164443" w:rsidRPr="00F25A78" w:rsidRDefault="00231BA3" w:rsidP="00821F8A">
            <w:pPr>
              <w:jc w:val="both"/>
              <w:rPr>
                <w:rFonts w:cs="Times New Roman"/>
                <w:szCs w:val="24"/>
              </w:rPr>
            </w:pPr>
            <w:r w:rsidRPr="00F25A78">
              <w:rPr>
                <w:rFonts w:cs="Times New Roman"/>
                <w:szCs w:val="24"/>
              </w:rPr>
              <w:t>Atkreipiame dėmesį į tai, kad Įstatymų projektų tikslas yra netaikyti baudžiamosios atsakomybės narkotines ar psichotropines medžiagas vartojantiems asmenims, todėl pasiūlymas įtvirtinti naują nusikalstamos veikos sudėtį, numatančią baudžiamąją atsakomybę už sisteminį disponavimą aptariamomis medžiagomis, ne tik, kad prieštarautų Įstatymų projektų tikslui, bet ir ženkliai pablogintų priklausomybę turinčių asmenų teisinę padėtį.</w:t>
            </w:r>
          </w:p>
          <w:p w:rsidR="00164443" w:rsidRPr="00F25A78" w:rsidRDefault="00164443" w:rsidP="00821F8A">
            <w:pPr>
              <w:jc w:val="both"/>
              <w:rPr>
                <w:rFonts w:cs="Times New Roman"/>
                <w:b/>
                <w:szCs w:val="24"/>
              </w:rPr>
            </w:pPr>
          </w:p>
        </w:tc>
      </w:tr>
      <w:tr w:rsidR="00821F8A" w:rsidRPr="00F25A78" w:rsidTr="005F43FA">
        <w:tc>
          <w:tcPr>
            <w:tcW w:w="2127" w:type="dxa"/>
            <w:tcBorders>
              <w:top w:val="single" w:sz="4" w:space="0" w:color="auto"/>
              <w:left w:val="single" w:sz="4" w:space="0" w:color="auto"/>
              <w:bottom w:val="single" w:sz="4" w:space="0" w:color="auto"/>
              <w:right w:val="single" w:sz="4" w:space="0" w:color="auto"/>
            </w:tcBorders>
          </w:tcPr>
          <w:p w:rsidR="00821F8A" w:rsidRPr="00F25A78" w:rsidRDefault="00821F8A" w:rsidP="00A527E6">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rsidR="00821F8A" w:rsidRPr="00F25A78" w:rsidRDefault="00EF707C" w:rsidP="00821F8A">
            <w:pPr>
              <w:jc w:val="both"/>
              <w:rPr>
                <w:color w:val="000000"/>
                <w:szCs w:val="24"/>
              </w:rPr>
            </w:pPr>
            <w:r>
              <w:rPr>
                <w:color w:val="000000"/>
                <w:szCs w:val="24"/>
              </w:rPr>
              <w:t>7</w:t>
            </w:r>
            <w:r w:rsidR="00F2396D" w:rsidRPr="00F25A78">
              <w:rPr>
                <w:color w:val="000000"/>
                <w:szCs w:val="24"/>
              </w:rPr>
              <w:t xml:space="preserve">. </w:t>
            </w:r>
            <w:r w:rsidR="00821F8A" w:rsidRPr="00F25A78">
              <w:rPr>
                <w:color w:val="000000"/>
                <w:szCs w:val="24"/>
              </w:rPr>
              <w:t xml:space="preserve">Pažymėtina, kad reikalinga sistemiškai peržiūrėti ir įvertinti siūlomų BK 259 straipsnio pakeitimų santykį su kitomis BK specialiosios dalies normomis. Galiojančios redakcijos BK 199 straipsnio 4 dalyje yra numatyta baudžiamoji atsakomybė už narkotinių ar psichotropinių medžiagų kontrabandą. Pagal BK 199 straipsnio 4 dalį asmuo atsako nepriklausomai nei nuo gabenamo narkotinių ar psichotropinių medžiagų per valstybės sieną kiekio (atsakomybė kyla ir gabenant nedidelį kiekį), nei nuo to, ar jis turi, ar neturi tikslą atitinkamas medžiagas platinti (sankcija – laisvės atėmimas nuo trejų iki dešimties metų). Taigi, pagal įstatymo projektais Nr. XIV-95 ir Nr. XIV-96 siūlomus pakeitimus, gabenant nedidelį narkotinių ar psichotropinių medžiagų kiekį Lietuvoje neturint tikslo jų platinti grėstų administracinė atsakomybė, o gabenant šias medžiagas per valstybės sieną – jau baudžiamoji atsakomybė pagal BK 199 straipsnio 4 dalį, už sunkaus nusikaltimo padarymą. Atsižvelgiant į tai, siūlytina spręsti dėl sisteminės BK ir </w:t>
            </w:r>
            <w:r w:rsidR="00821F8A" w:rsidRPr="00F25A78">
              <w:rPr>
                <w:color w:val="000000"/>
                <w:szCs w:val="24"/>
              </w:rPr>
              <w:lastRenderedPageBreak/>
              <w:t>ANK straipsnių analizės, įvertinant šių normų santykį su siūlomu numatyti reglamentavimu ir sprendžiant dėl normų suderinimo, taip išvengiant pavienių straipsnių keitimo, išbalansuojančių baudžiamąją politiką. Tik tai atlikus galima spręsti dėl Projekto 2 punkte pateiktų siūlymų, susijusių su BK 259 straipsnio 1 dalies sankcijų keitimu.</w:t>
            </w:r>
          </w:p>
        </w:tc>
        <w:tc>
          <w:tcPr>
            <w:tcW w:w="7796" w:type="dxa"/>
            <w:tcBorders>
              <w:top w:val="single" w:sz="4" w:space="0" w:color="auto"/>
              <w:left w:val="single" w:sz="4" w:space="0" w:color="auto"/>
              <w:bottom w:val="single" w:sz="4" w:space="0" w:color="auto"/>
              <w:right w:val="single" w:sz="4" w:space="0" w:color="auto"/>
            </w:tcBorders>
          </w:tcPr>
          <w:p w:rsidR="00821F8A" w:rsidRDefault="00781895" w:rsidP="00781895">
            <w:pPr>
              <w:jc w:val="both"/>
              <w:rPr>
                <w:rFonts w:cs="Times New Roman"/>
                <w:b/>
                <w:szCs w:val="24"/>
              </w:rPr>
            </w:pPr>
            <w:r w:rsidRPr="00F25A78">
              <w:rPr>
                <w:rFonts w:cs="Times New Roman"/>
                <w:b/>
                <w:szCs w:val="24"/>
              </w:rPr>
              <w:lastRenderedPageBreak/>
              <w:t>Neatsižvelgta</w:t>
            </w:r>
          </w:p>
          <w:p w:rsidR="00F44731" w:rsidRPr="00F25A78" w:rsidRDefault="00F44731" w:rsidP="00781895">
            <w:pPr>
              <w:jc w:val="both"/>
              <w:rPr>
                <w:rFonts w:cs="Times New Roman"/>
                <w:b/>
                <w:szCs w:val="24"/>
              </w:rPr>
            </w:pPr>
          </w:p>
          <w:p w:rsidR="00781895" w:rsidRPr="00F25A78" w:rsidRDefault="00781895" w:rsidP="00781895">
            <w:pPr>
              <w:jc w:val="both"/>
              <w:rPr>
                <w:rFonts w:cs="Times New Roman"/>
                <w:szCs w:val="24"/>
              </w:rPr>
            </w:pPr>
            <w:r w:rsidRPr="00F25A78">
              <w:rPr>
                <w:rFonts w:cs="Times New Roman"/>
                <w:szCs w:val="24"/>
              </w:rPr>
              <w:t xml:space="preserve">Atkreipiame dėmesį į tai, kad aptariama pastabas yra pateikta Lietuvos Respublikos Seimo kanceliarijos Teisės departamento 2020 m. gruodžio 10 d. išvadoje </w:t>
            </w:r>
            <w:r w:rsidRPr="00F25A78">
              <w:rPr>
                <w:color w:val="000000"/>
                <w:szCs w:val="24"/>
              </w:rPr>
              <w:t>Nr. XIVP-96, todėl</w:t>
            </w:r>
            <w:r w:rsidR="00A51ED1">
              <w:rPr>
                <w:color w:val="000000"/>
                <w:szCs w:val="24"/>
              </w:rPr>
              <w:t xml:space="preserve"> manome, kad yra netiksling</w:t>
            </w:r>
            <w:r w:rsidR="00EF707C">
              <w:rPr>
                <w:color w:val="000000"/>
                <w:szCs w:val="24"/>
              </w:rPr>
              <w:t>a</w:t>
            </w:r>
            <w:r w:rsidRPr="00F25A78">
              <w:rPr>
                <w:color w:val="000000"/>
                <w:szCs w:val="24"/>
              </w:rPr>
              <w:t xml:space="preserve"> ją kartoti </w:t>
            </w:r>
            <w:r w:rsidR="00492CB5" w:rsidRPr="00F25A78">
              <w:rPr>
                <w:color w:val="000000"/>
                <w:szCs w:val="24"/>
              </w:rPr>
              <w:t>ir Vyriausybės išvadoje.</w:t>
            </w:r>
          </w:p>
        </w:tc>
      </w:tr>
      <w:tr w:rsidR="00821F8A" w:rsidRPr="00F25A78" w:rsidTr="005F43FA">
        <w:tc>
          <w:tcPr>
            <w:tcW w:w="2127" w:type="dxa"/>
            <w:tcBorders>
              <w:top w:val="single" w:sz="4" w:space="0" w:color="auto"/>
              <w:left w:val="single" w:sz="4" w:space="0" w:color="auto"/>
              <w:bottom w:val="single" w:sz="4" w:space="0" w:color="auto"/>
              <w:right w:val="single" w:sz="4" w:space="0" w:color="auto"/>
            </w:tcBorders>
          </w:tcPr>
          <w:p w:rsidR="00821F8A" w:rsidRPr="00F25A78" w:rsidRDefault="00821F8A" w:rsidP="00A527E6">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rsidR="00821F8A" w:rsidRPr="00F25A78" w:rsidRDefault="00EF707C" w:rsidP="00F2396D">
            <w:pPr>
              <w:jc w:val="both"/>
              <w:rPr>
                <w:color w:val="000000"/>
                <w:szCs w:val="24"/>
              </w:rPr>
            </w:pPr>
            <w:r>
              <w:rPr>
                <w:color w:val="000000"/>
                <w:szCs w:val="24"/>
              </w:rPr>
              <w:t>8</w:t>
            </w:r>
            <w:r w:rsidR="00F2396D" w:rsidRPr="00F25A78">
              <w:rPr>
                <w:color w:val="000000"/>
                <w:szCs w:val="24"/>
              </w:rPr>
              <w:t xml:space="preserve">. </w:t>
            </w:r>
            <w:r w:rsidR="00821F8A" w:rsidRPr="00F25A78">
              <w:rPr>
                <w:color w:val="000000"/>
                <w:szCs w:val="24"/>
              </w:rPr>
              <w:t>Taip pat, pažymėtina, kad įstatymų projektų Nr. XIV-95 ir Nr. XIV-96 aiškinamajame rašte vienas iš šių projektų rengimo argumentų nurodytas LRS patvirtintos Valstybinės narkotikų, tabako ir alkoholio kontrolės ir vartojimo prevencijos 2018-2028 m. programos nuostatų įgyvendinimas. Atkreiptinas dėmesys, kad siūlomais pakeitimais įgyvendinami atskiri programos elementai (</w:t>
            </w:r>
            <w:proofErr w:type="spellStart"/>
            <w:r w:rsidR="00821F8A" w:rsidRPr="00F25A78">
              <w:rPr>
                <w:color w:val="000000"/>
                <w:szCs w:val="24"/>
              </w:rPr>
              <w:t>dekriminalizuojamos</w:t>
            </w:r>
            <w:proofErr w:type="spellEnd"/>
            <w:r w:rsidR="00821F8A" w:rsidRPr="00F25A78">
              <w:rPr>
                <w:color w:val="000000"/>
                <w:szCs w:val="24"/>
              </w:rPr>
              <w:t xml:space="preserve"> mažiau pavojingos veikos ir atsakomybė už jas numatoma ANK), todėl pasigendama nuoseklios baudžiamosios politikos, taikomos asmenims vartojantiems narkotikus, siekiant subalansuotos narkotikų kontrolės politikos Lietuvoje, peržiūrėjimo. Reikalingas nuoseklus visos programos elementų įgyvendinimo užtikrinimas, nes atskirų elementų įgyvendinimas savaime situacijos nepagerins. Taigi, siekiant visapusiško ir efektyvaus šios programos įgyvendinimo, tikslinga sistemiškai peržiūrėti ir apsvarstyti nuostatas, susijusias su atsakomybės taikymu asmenims, žalingai vartojantiems bei turintiems priklausomybę nuo šių medžiagų, ir spręsti dėl įstatymų projektų Nr. XIV-95 ir Nr. XIV-96 tobulinimo krypči</w:t>
            </w:r>
            <w:r w:rsidR="00492CB5" w:rsidRPr="00F25A78">
              <w:rPr>
                <w:color w:val="000000"/>
                <w:szCs w:val="24"/>
              </w:rPr>
              <w:t>ų</w:t>
            </w:r>
          </w:p>
        </w:tc>
        <w:tc>
          <w:tcPr>
            <w:tcW w:w="7796" w:type="dxa"/>
            <w:tcBorders>
              <w:top w:val="single" w:sz="4" w:space="0" w:color="auto"/>
              <w:left w:val="single" w:sz="4" w:space="0" w:color="auto"/>
              <w:bottom w:val="single" w:sz="4" w:space="0" w:color="auto"/>
              <w:right w:val="single" w:sz="4" w:space="0" w:color="auto"/>
            </w:tcBorders>
          </w:tcPr>
          <w:p w:rsidR="00821F8A" w:rsidRDefault="00492CB5" w:rsidP="00492CB5">
            <w:pPr>
              <w:jc w:val="both"/>
              <w:rPr>
                <w:rFonts w:cs="Times New Roman"/>
                <w:b/>
                <w:szCs w:val="24"/>
              </w:rPr>
            </w:pPr>
            <w:r w:rsidRPr="00F25A78">
              <w:rPr>
                <w:rFonts w:cs="Times New Roman"/>
                <w:b/>
                <w:szCs w:val="24"/>
              </w:rPr>
              <w:t>Neatsižvelgta</w:t>
            </w:r>
          </w:p>
          <w:p w:rsidR="00F44731" w:rsidRPr="00F25A78" w:rsidRDefault="00F44731" w:rsidP="00492CB5">
            <w:pPr>
              <w:jc w:val="both"/>
              <w:rPr>
                <w:rFonts w:cs="Times New Roman"/>
                <w:b/>
                <w:szCs w:val="24"/>
              </w:rPr>
            </w:pPr>
          </w:p>
          <w:p w:rsidR="00492CB5" w:rsidRPr="00F25A78" w:rsidRDefault="00F2396D" w:rsidP="00F2396D">
            <w:pPr>
              <w:jc w:val="both"/>
              <w:rPr>
                <w:rFonts w:cs="Times New Roman"/>
                <w:szCs w:val="24"/>
              </w:rPr>
            </w:pPr>
            <w:r w:rsidRPr="00F25A78">
              <w:rPr>
                <w:rFonts w:cs="Times New Roman"/>
                <w:szCs w:val="24"/>
              </w:rPr>
              <w:t xml:space="preserve">Atkreiptinas dėmesys į tai, kad vertinami Įstatymo projektai neabejotinai atitinka </w:t>
            </w:r>
            <w:r w:rsidRPr="00F25A78">
              <w:rPr>
                <w:color w:val="000000"/>
                <w:szCs w:val="24"/>
              </w:rPr>
              <w:t>Valstybinės narkotikų, tabako ir alkoholio kontrolės ir vartojimo prevencijos 2018-2028 m. programos nuostatas, todėl nėra aišku, kaip būtent siūloma tobulinti aptariamus Įstatymų projektus. Šiame kontekste pažymėtina, kad aptariamos programos nuostatų įgyvendinimas yra susijęs ne tik su BK ir ANK pakeitimais, bet ir kitų įstatymų bei teisės aktų pakeitimais, papildomais valstybės asignavimai. Vien tai, kad vertinamais Įstatymų projektais įgyvendinamos ne visos programos nuostatos, savaime negali būti priežastimi pripažinti juos tobulintinais.</w:t>
            </w:r>
            <w:r w:rsidR="0060749B" w:rsidRPr="00F25A78">
              <w:rPr>
                <w:color w:val="000000"/>
                <w:szCs w:val="24"/>
              </w:rPr>
              <w:t xml:space="preserve"> Manytina, kad tiek BK, tiek ANK yra įtvirtintas pakankamas teisinis reguliavimas, sukuriantis prielaidas ne bausti narkotikus ar psichotropines medžiagas vartojančius asmenius, bet nukreipti juos į gydymą.</w:t>
            </w:r>
            <w:r w:rsidRPr="00F25A78">
              <w:rPr>
                <w:color w:val="000000"/>
                <w:szCs w:val="24"/>
              </w:rPr>
              <w:t xml:space="preserve"> </w:t>
            </w:r>
          </w:p>
        </w:tc>
      </w:tr>
    </w:tbl>
    <w:p w:rsidR="00415F87" w:rsidRPr="00F25A78" w:rsidRDefault="00415F87" w:rsidP="00CF2553">
      <w:pPr>
        <w:spacing w:line="240" w:lineRule="auto"/>
        <w:rPr>
          <w:rFonts w:cs="Times New Roman"/>
          <w:szCs w:val="24"/>
        </w:rPr>
      </w:pPr>
    </w:p>
    <w:sectPr w:rsidR="00415F87" w:rsidRPr="00F25A78" w:rsidSect="00B34F32">
      <w:headerReference w:type="default" r:id="rId9"/>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695" w:rsidRDefault="009D7695" w:rsidP="001A74E1">
      <w:pPr>
        <w:spacing w:after="0" w:line="240" w:lineRule="auto"/>
      </w:pPr>
      <w:r>
        <w:separator/>
      </w:r>
    </w:p>
  </w:endnote>
  <w:endnote w:type="continuationSeparator" w:id="0">
    <w:p w:rsidR="009D7695" w:rsidRDefault="009D7695" w:rsidP="001A74E1">
      <w:pPr>
        <w:spacing w:after="0" w:line="240" w:lineRule="auto"/>
      </w:pPr>
      <w:r>
        <w:continuationSeparator/>
      </w:r>
    </w:p>
  </w:endnote>
  <w:endnote w:type="continuationNotice" w:id="1">
    <w:p w:rsidR="009D7695" w:rsidRDefault="009D7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695" w:rsidRDefault="009D7695" w:rsidP="001A74E1">
      <w:pPr>
        <w:spacing w:after="0" w:line="240" w:lineRule="auto"/>
      </w:pPr>
      <w:r>
        <w:separator/>
      </w:r>
    </w:p>
  </w:footnote>
  <w:footnote w:type="continuationSeparator" w:id="0">
    <w:p w:rsidR="009D7695" w:rsidRDefault="009D7695" w:rsidP="001A74E1">
      <w:pPr>
        <w:spacing w:after="0" w:line="240" w:lineRule="auto"/>
      </w:pPr>
      <w:r>
        <w:continuationSeparator/>
      </w:r>
    </w:p>
  </w:footnote>
  <w:footnote w:type="continuationNotice" w:id="1">
    <w:p w:rsidR="009D7695" w:rsidRDefault="009D76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502967"/>
      <w:docPartObj>
        <w:docPartGallery w:val="Page Numbers (Top of Page)"/>
        <w:docPartUnique/>
      </w:docPartObj>
    </w:sdtPr>
    <w:sdtEndPr/>
    <w:sdtContent>
      <w:p w:rsidR="0083303A" w:rsidRDefault="0083303A">
        <w:pPr>
          <w:pStyle w:val="Header"/>
          <w:jc w:val="center"/>
        </w:pPr>
        <w:r>
          <w:fldChar w:fldCharType="begin"/>
        </w:r>
        <w:r>
          <w:instrText>PAGE   \* MERGEFORMAT</w:instrText>
        </w:r>
        <w:r>
          <w:fldChar w:fldCharType="separate"/>
        </w:r>
        <w:r w:rsidR="00BD2BC9">
          <w:rPr>
            <w:noProof/>
          </w:rPr>
          <w:t>7</w:t>
        </w:r>
        <w:r>
          <w:fldChar w:fldCharType="end"/>
        </w:r>
      </w:p>
    </w:sdtContent>
  </w:sdt>
  <w:p w:rsidR="0083303A" w:rsidRDefault="00833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D15D1D"/>
    <w:multiLevelType w:val="hybridMultilevel"/>
    <w:tmpl w:val="4CB885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6541F"/>
    <w:multiLevelType w:val="multilevel"/>
    <w:tmpl w:val="E0E65A9E"/>
    <w:lvl w:ilvl="0">
      <w:start w:val="1"/>
      <w:numFmt w:val="decimal"/>
      <w:lvlText w:val="%1."/>
      <w:lvlJc w:val="left"/>
      <w:pPr>
        <w:ind w:left="720" w:hanging="360"/>
      </w:pPr>
      <w:rPr>
        <w:rFonts w:ascii="Times New Roman" w:hAnsi="Times New Roman"/>
      </w:rPr>
    </w:lvl>
    <w:lvl w:ilvl="1">
      <w:start w:val="1"/>
      <w:numFmt w:val="decimal"/>
      <w:lvlText w:val="%2."/>
      <w:lvlJc w:val="left"/>
      <w:pPr>
        <w:ind w:left="1080" w:hanging="360"/>
      </w:pPr>
      <w:rPr>
        <w:rFonts w:ascii="Times New Roman" w:hAnsi="Times New Roman"/>
      </w:rPr>
    </w:lvl>
    <w:lvl w:ilvl="2">
      <w:start w:val="1"/>
      <w:numFmt w:val="decimal"/>
      <w:lvlText w:val="%3."/>
      <w:lvlJc w:val="left"/>
      <w:pPr>
        <w:ind w:left="1440" w:hanging="360"/>
      </w:pPr>
      <w:rPr>
        <w:rFonts w:ascii="Times New Roman" w:hAnsi="Times New Roman"/>
      </w:rPr>
    </w:lvl>
    <w:lvl w:ilvl="3">
      <w:start w:val="1"/>
      <w:numFmt w:val="decimal"/>
      <w:lvlText w:val="%4."/>
      <w:lvlJc w:val="left"/>
      <w:pPr>
        <w:ind w:left="1800" w:hanging="360"/>
      </w:pPr>
      <w:rPr>
        <w:rFonts w:ascii="Times New Roman" w:hAnsi="Times New Roman"/>
      </w:rPr>
    </w:lvl>
    <w:lvl w:ilvl="4">
      <w:start w:val="1"/>
      <w:numFmt w:val="decimal"/>
      <w:lvlText w:val="%5."/>
      <w:lvlJc w:val="left"/>
      <w:pPr>
        <w:ind w:left="2160" w:hanging="360"/>
      </w:pPr>
      <w:rPr>
        <w:rFonts w:ascii="Times New Roman" w:hAnsi="Times New Roman"/>
      </w:rPr>
    </w:lvl>
    <w:lvl w:ilvl="5">
      <w:start w:val="1"/>
      <w:numFmt w:val="decimal"/>
      <w:lvlText w:val="%6."/>
      <w:lvlJc w:val="left"/>
      <w:pPr>
        <w:ind w:left="2520" w:hanging="360"/>
      </w:pPr>
      <w:rPr>
        <w:rFonts w:ascii="Times New Roman" w:hAnsi="Times New Roman"/>
      </w:rPr>
    </w:lvl>
    <w:lvl w:ilvl="6">
      <w:start w:val="1"/>
      <w:numFmt w:val="decimal"/>
      <w:lvlText w:val="%7."/>
      <w:lvlJc w:val="left"/>
      <w:pPr>
        <w:ind w:left="2880" w:hanging="360"/>
      </w:pPr>
      <w:rPr>
        <w:rFonts w:ascii="Times New Roman" w:hAnsi="Times New Roman"/>
      </w:rPr>
    </w:lvl>
    <w:lvl w:ilvl="7">
      <w:start w:val="1"/>
      <w:numFmt w:val="decimal"/>
      <w:lvlText w:val="%8."/>
      <w:lvlJc w:val="left"/>
      <w:pPr>
        <w:ind w:left="3240" w:hanging="360"/>
      </w:pPr>
      <w:rPr>
        <w:rFonts w:ascii="Times New Roman" w:hAnsi="Times New Roman"/>
      </w:rPr>
    </w:lvl>
    <w:lvl w:ilvl="8">
      <w:start w:val="1"/>
      <w:numFmt w:val="decimal"/>
      <w:lvlText w:val="%9."/>
      <w:lvlJc w:val="left"/>
      <w:pPr>
        <w:ind w:left="3600" w:hanging="360"/>
      </w:pPr>
      <w:rPr>
        <w:rFonts w:ascii="Times New Roman" w:hAnsi="Times New Roman"/>
      </w:rPr>
    </w:lvl>
  </w:abstractNum>
  <w:abstractNum w:abstractNumId="15"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1"/>
  </w:num>
  <w:num w:numId="3">
    <w:abstractNumId w:val="15"/>
  </w:num>
  <w:num w:numId="4">
    <w:abstractNumId w:val="1"/>
  </w:num>
  <w:num w:numId="5">
    <w:abstractNumId w:val="7"/>
  </w:num>
  <w:num w:numId="6">
    <w:abstractNumId w:val="16"/>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2DEE"/>
    <w:rsid w:val="00006D83"/>
    <w:rsid w:val="000105C5"/>
    <w:rsid w:val="00011F89"/>
    <w:rsid w:val="0001325B"/>
    <w:rsid w:val="00017BA5"/>
    <w:rsid w:val="0002185B"/>
    <w:rsid w:val="00023C51"/>
    <w:rsid w:val="00027F2B"/>
    <w:rsid w:val="00030121"/>
    <w:rsid w:val="00032155"/>
    <w:rsid w:val="00032FAB"/>
    <w:rsid w:val="00032FF1"/>
    <w:rsid w:val="00036738"/>
    <w:rsid w:val="0003675D"/>
    <w:rsid w:val="00046E29"/>
    <w:rsid w:val="000473E1"/>
    <w:rsid w:val="0004761D"/>
    <w:rsid w:val="00051B37"/>
    <w:rsid w:val="00051D09"/>
    <w:rsid w:val="00052516"/>
    <w:rsid w:val="00053F08"/>
    <w:rsid w:val="00057760"/>
    <w:rsid w:val="000668AB"/>
    <w:rsid w:val="000668CD"/>
    <w:rsid w:val="000722D5"/>
    <w:rsid w:val="00073E80"/>
    <w:rsid w:val="00077441"/>
    <w:rsid w:val="0007787E"/>
    <w:rsid w:val="00090973"/>
    <w:rsid w:val="00093DD7"/>
    <w:rsid w:val="000958A7"/>
    <w:rsid w:val="0009694C"/>
    <w:rsid w:val="00097C3B"/>
    <w:rsid w:val="000A11A2"/>
    <w:rsid w:val="000A2BD4"/>
    <w:rsid w:val="000A36D8"/>
    <w:rsid w:val="000A43FB"/>
    <w:rsid w:val="000B028B"/>
    <w:rsid w:val="000B0371"/>
    <w:rsid w:val="000B22FE"/>
    <w:rsid w:val="000B2845"/>
    <w:rsid w:val="000B77AB"/>
    <w:rsid w:val="000B7CCA"/>
    <w:rsid w:val="000D0F2E"/>
    <w:rsid w:val="000D6662"/>
    <w:rsid w:val="000E0A46"/>
    <w:rsid w:val="000E0D71"/>
    <w:rsid w:val="000E210B"/>
    <w:rsid w:val="000E2BB0"/>
    <w:rsid w:val="000E417C"/>
    <w:rsid w:val="000E4DC0"/>
    <w:rsid w:val="000E72BC"/>
    <w:rsid w:val="000F0F3C"/>
    <w:rsid w:val="000F3D9F"/>
    <w:rsid w:val="000F75D9"/>
    <w:rsid w:val="00110461"/>
    <w:rsid w:val="00113D18"/>
    <w:rsid w:val="0011743B"/>
    <w:rsid w:val="001215A5"/>
    <w:rsid w:val="00126745"/>
    <w:rsid w:val="0012778F"/>
    <w:rsid w:val="0013472B"/>
    <w:rsid w:val="001371A4"/>
    <w:rsid w:val="001427A4"/>
    <w:rsid w:val="00142C80"/>
    <w:rsid w:val="0014586D"/>
    <w:rsid w:val="001554FD"/>
    <w:rsid w:val="00157879"/>
    <w:rsid w:val="001638BA"/>
    <w:rsid w:val="00164443"/>
    <w:rsid w:val="00167151"/>
    <w:rsid w:val="00167C61"/>
    <w:rsid w:val="0017041C"/>
    <w:rsid w:val="00171058"/>
    <w:rsid w:val="00173333"/>
    <w:rsid w:val="00173AB8"/>
    <w:rsid w:val="001740BA"/>
    <w:rsid w:val="00183DD9"/>
    <w:rsid w:val="00183FB2"/>
    <w:rsid w:val="00184AAE"/>
    <w:rsid w:val="00185664"/>
    <w:rsid w:val="001904FB"/>
    <w:rsid w:val="00191EC4"/>
    <w:rsid w:val="0019318D"/>
    <w:rsid w:val="00193676"/>
    <w:rsid w:val="00194266"/>
    <w:rsid w:val="00195D57"/>
    <w:rsid w:val="001A353B"/>
    <w:rsid w:val="001A4D70"/>
    <w:rsid w:val="001A617C"/>
    <w:rsid w:val="001A6C8B"/>
    <w:rsid w:val="001A74E1"/>
    <w:rsid w:val="001B1F7E"/>
    <w:rsid w:val="001D2DD0"/>
    <w:rsid w:val="001D35C4"/>
    <w:rsid w:val="001D4560"/>
    <w:rsid w:val="001D5ACC"/>
    <w:rsid w:val="001D7F9B"/>
    <w:rsid w:val="001E14C1"/>
    <w:rsid w:val="001E163D"/>
    <w:rsid w:val="001E1DAC"/>
    <w:rsid w:val="001E2FB6"/>
    <w:rsid w:val="001E5AEB"/>
    <w:rsid w:val="001E7F07"/>
    <w:rsid w:val="001F0BA8"/>
    <w:rsid w:val="001F6612"/>
    <w:rsid w:val="001F6E6F"/>
    <w:rsid w:val="001F778B"/>
    <w:rsid w:val="00200687"/>
    <w:rsid w:val="0020288F"/>
    <w:rsid w:val="00205F8A"/>
    <w:rsid w:val="002078B1"/>
    <w:rsid w:val="002110E9"/>
    <w:rsid w:val="002119D5"/>
    <w:rsid w:val="002132F8"/>
    <w:rsid w:val="00214BFC"/>
    <w:rsid w:val="0022091E"/>
    <w:rsid w:val="0022363D"/>
    <w:rsid w:val="00224081"/>
    <w:rsid w:val="00225B5E"/>
    <w:rsid w:val="0022668A"/>
    <w:rsid w:val="00227765"/>
    <w:rsid w:val="00231BA3"/>
    <w:rsid w:val="00236FB0"/>
    <w:rsid w:val="00246288"/>
    <w:rsid w:val="00254B49"/>
    <w:rsid w:val="002624B7"/>
    <w:rsid w:val="002631FF"/>
    <w:rsid w:val="00263D59"/>
    <w:rsid w:val="00265E39"/>
    <w:rsid w:val="00277CC6"/>
    <w:rsid w:val="00281153"/>
    <w:rsid w:val="0028210F"/>
    <w:rsid w:val="00282557"/>
    <w:rsid w:val="00283AAE"/>
    <w:rsid w:val="00284ACC"/>
    <w:rsid w:val="00285928"/>
    <w:rsid w:val="002919A4"/>
    <w:rsid w:val="0029303A"/>
    <w:rsid w:val="00293EBB"/>
    <w:rsid w:val="0029673D"/>
    <w:rsid w:val="00296A94"/>
    <w:rsid w:val="00297381"/>
    <w:rsid w:val="0029778E"/>
    <w:rsid w:val="002A29E9"/>
    <w:rsid w:val="002A2B6C"/>
    <w:rsid w:val="002A4CD0"/>
    <w:rsid w:val="002B0257"/>
    <w:rsid w:val="002B032C"/>
    <w:rsid w:val="002B1E1B"/>
    <w:rsid w:val="002B2907"/>
    <w:rsid w:val="002C0530"/>
    <w:rsid w:val="002C0F0D"/>
    <w:rsid w:val="002C207F"/>
    <w:rsid w:val="002C6F16"/>
    <w:rsid w:val="002D0FCC"/>
    <w:rsid w:val="002D4903"/>
    <w:rsid w:val="002D73F5"/>
    <w:rsid w:val="002E25C3"/>
    <w:rsid w:val="002E43CD"/>
    <w:rsid w:val="002E6070"/>
    <w:rsid w:val="002F17B1"/>
    <w:rsid w:val="002F2214"/>
    <w:rsid w:val="002F3DC2"/>
    <w:rsid w:val="002F7932"/>
    <w:rsid w:val="002F7F81"/>
    <w:rsid w:val="00303389"/>
    <w:rsid w:val="003039D3"/>
    <w:rsid w:val="00305EBB"/>
    <w:rsid w:val="00305ECB"/>
    <w:rsid w:val="00315E70"/>
    <w:rsid w:val="00321ED9"/>
    <w:rsid w:val="00323D6E"/>
    <w:rsid w:val="0033604C"/>
    <w:rsid w:val="003361D6"/>
    <w:rsid w:val="00342179"/>
    <w:rsid w:val="00342A94"/>
    <w:rsid w:val="003437F9"/>
    <w:rsid w:val="00343D2A"/>
    <w:rsid w:val="003462FF"/>
    <w:rsid w:val="00347E98"/>
    <w:rsid w:val="003502CE"/>
    <w:rsid w:val="0035188F"/>
    <w:rsid w:val="0035250D"/>
    <w:rsid w:val="0035619D"/>
    <w:rsid w:val="0036253A"/>
    <w:rsid w:val="003702A9"/>
    <w:rsid w:val="00372EF5"/>
    <w:rsid w:val="003762B4"/>
    <w:rsid w:val="003771A4"/>
    <w:rsid w:val="0038082F"/>
    <w:rsid w:val="00386C65"/>
    <w:rsid w:val="0038771C"/>
    <w:rsid w:val="0039198C"/>
    <w:rsid w:val="00394D75"/>
    <w:rsid w:val="003A07C7"/>
    <w:rsid w:val="003A1D62"/>
    <w:rsid w:val="003A44E1"/>
    <w:rsid w:val="003A5259"/>
    <w:rsid w:val="003B0F36"/>
    <w:rsid w:val="003B510B"/>
    <w:rsid w:val="003B579F"/>
    <w:rsid w:val="003C014A"/>
    <w:rsid w:val="003C3524"/>
    <w:rsid w:val="003C6CEF"/>
    <w:rsid w:val="003C6F96"/>
    <w:rsid w:val="003C744D"/>
    <w:rsid w:val="003D228D"/>
    <w:rsid w:val="003E0AE9"/>
    <w:rsid w:val="003E297F"/>
    <w:rsid w:val="003E4A69"/>
    <w:rsid w:val="003F1A58"/>
    <w:rsid w:val="003F5015"/>
    <w:rsid w:val="003F5C06"/>
    <w:rsid w:val="003F5DD9"/>
    <w:rsid w:val="003F6EBC"/>
    <w:rsid w:val="00406AFE"/>
    <w:rsid w:val="00415F87"/>
    <w:rsid w:val="004223AE"/>
    <w:rsid w:val="00424471"/>
    <w:rsid w:val="004245E2"/>
    <w:rsid w:val="004315DD"/>
    <w:rsid w:val="0043312E"/>
    <w:rsid w:val="004418C5"/>
    <w:rsid w:val="00446699"/>
    <w:rsid w:val="0044766B"/>
    <w:rsid w:val="00450C04"/>
    <w:rsid w:val="004514C5"/>
    <w:rsid w:val="004569A7"/>
    <w:rsid w:val="00462DF0"/>
    <w:rsid w:val="00465171"/>
    <w:rsid w:val="00465845"/>
    <w:rsid w:val="004678DD"/>
    <w:rsid w:val="00467DB0"/>
    <w:rsid w:val="00472335"/>
    <w:rsid w:val="00475450"/>
    <w:rsid w:val="00475C34"/>
    <w:rsid w:val="004830CE"/>
    <w:rsid w:val="0048369F"/>
    <w:rsid w:val="004848A2"/>
    <w:rsid w:val="0048580D"/>
    <w:rsid w:val="00485D4A"/>
    <w:rsid w:val="00487CAE"/>
    <w:rsid w:val="00492CB5"/>
    <w:rsid w:val="004A21A2"/>
    <w:rsid w:val="004A2827"/>
    <w:rsid w:val="004A2871"/>
    <w:rsid w:val="004A3BA8"/>
    <w:rsid w:val="004A6A8B"/>
    <w:rsid w:val="004B1773"/>
    <w:rsid w:val="004B4169"/>
    <w:rsid w:val="004B6F82"/>
    <w:rsid w:val="004C0AAF"/>
    <w:rsid w:val="004C15D1"/>
    <w:rsid w:val="004C20A2"/>
    <w:rsid w:val="004E0455"/>
    <w:rsid w:val="004E04BF"/>
    <w:rsid w:val="004E4314"/>
    <w:rsid w:val="004E7E18"/>
    <w:rsid w:val="004F455E"/>
    <w:rsid w:val="004F7468"/>
    <w:rsid w:val="00500D1F"/>
    <w:rsid w:val="00502AB5"/>
    <w:rsid w:val="00502D19"/>
    <w:rsid w:val="00502EF6"/>
    <w:rsid w:val="00503E7F"/>
    <w:rsid w:val="0050418F"/>
    <w:rsid w:val="005046A5"/>
    <w:rsid w:val="005066C9"/>
    <w:rsid w:val="00513663"/>
    <w:rsid w:val="005144AA"/>
    <w:rsid w:val="005209CC"/>
    <w:rsid w:val="00526545"/>
    <w:rsid w:val="00527807"/>
    <w:rsid w:val="005341DB"/>
    <w:rsid w:val="00534CB6"/>
    <w:rsid w:val="0053761B"/>
    <w:rsid w:val="005403AC"/>
    <w:rsid w:val="005409AE"/>
    <w:rsid w:val="00540D33"/>
    <w:rsid w:val="00540F3C"/>
    <w:rsid w:val="00544C0C"/>
    <w:rsid w:val="00545038"/>
    <w:rsid w:val="00546C48"/>
    <w:rsid w:val="00554089"/>
    <w:rsid w:val="00557F5F"/>
    <w:rsid w:val="00561185"/>
    <w:rsid w:val="00564B20"/>
    <w:rsid w:val="00565A80"/>
    <w:rsid w:val="00567A46"/>
    <w:rsid w:val="005724B0"/>
    <w:rsid w:val="005727C3"/>
    <w:rsid w:val="00580044"/>
    <w:rsid w:val="005817D1"/>
    <w:rsid w:val="005826FC"/>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224"/>
    <w:rsid w:val="005C135C"/>
    <w:rsid w:val="005C1E60"/>
    <w:rsid w:val="005C1FA6"/>
    <w:rsid w:val="005C32D3"/>
    <w:rsid w:val="005D2896"/>
    <w:rsid w:val="005D4147"/>
    <w:rsid w:val="005E1CE3"/>
    <w:rsid w:val="005E26F2"/>
    <w:rsid w:val="005E2C7E"/>
    <w:rsid w:val="005E32A0"/>
    <w:rsid w:val="005E3E09"/>
    <w:rsid w:val="005F1948"/>
    <w:rsid w:val="005F43FA"/>
    <w:rsid w:val="0060124B"/>
    <w:rsid w:val="0060180E"/>
    <w:rsid w:val="00603612"/>
    <w:rsid w:val="0060507F"/>
    <w:rsid w:val="00606C03"/>
    <w:rsid w:val="0060749B"/>
    <w:rsid w:val="00611AF4"/>
    <w:rsid w:val="00616125"/>
    <w:rsid w:val="006170C6"/>
    <w:rsid w:val="00617434"/>
    <w:rsid w:val="00623ADE"/>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87"/>
    <w:rsid w:val="006A149D"/>
    <w:rsid w:val="006A2E6E"/>
    <w:rsid w:val="006A4D02"/>
    <w:rsid w:val="006A634A"/>
    <w:rsid w:val="006A6A7A"/>
    <w:rsid w:val="006B24AB"/>
    <w:rsid w:val="006B490C"/>
    <w:rsid w:val="006B5E89"/>
    <w:rsid w:val="006B69B3"/>
    <w:rsid w:val="006B77C9"/>
    <w:rsid w:val="006C0516"/>
    <w:rsid w:val="006D0FDD"/>
    <w:rsid w:val="006D502A"/>
    <w:rsid w:val="006D6029"/>
    <w:rsid w:val="006E006D"/>
    <w:rsid w:val="006E3884"/>
    <w:rsid w:val="006E79EB"/>
    <w:rsid w:val="006F2138"/>
    <w:rsid w:val="006F62D6"/>
    <w:rsid w:val="006F6385"/>
    <w:rsid w:val="006F68BD"/>
    <w:rsid w:val="00720BA1"/>
    <w:rsid w:val="00723C27"/>
    <w:rsid w:val="00725F5D"/>
    <w:rsid w:val="00726020"/>
    <w:rsid w:val="00726899"/>
    <w:rsid w:val="00731385"/>
    <w:rsid w:val="007335D4"/>
    <w:rsid w:val="00740068"/>
    <w:rsid w:val="007408F8"/>
    <w:rsid w:val="0074312A"/>
    <w:rsid w:val="007445EE"/>
    <w:rsid w:val="0074631F"/>
    <w:rsid w:val="00751B7A"/>
    <w:rsid w:val="007522A3"/>
    <w:rsid w:val="00754BCF"/>
    <w:rsid w:val="00755E2A"/>
    <w:rsid w:val="00762159"/>
    <w:rsid w:val="00765D32"/>
    <w:rsid w:val="00766784"/>
    <w:rsid w:val="00766E0A"/>
    <w:rsid w:val="00767522"/>
    <w:rsid w:val="00770554"/>
    <w:rsid w:val="00771E6A"/>
    <w:rsid w:val="007738DA"/>
    <w:rsid w:val="007777DA"/>
    <w:rsid w:val="00781895"/>
    <w:rsid w:val="00784FCE"/>
    <w:rsid w:val="00790F32"/>
    <w:rsid w:val="007952DD"/>
    <w:rsid w:val="00795A0B"/>
    <w:rsid w:val="007C0600"/>
    <w:rsid w:val="007C4E70"/>
    <w:rsid w:val="007D0685"/>
    <w:rsid w:val="007D104B"/>
    <w:rsid w:val="007D3929"/>
    <w:rsid w:val="007D3B2B"/>
    <w:rsid w:val="007D4D8F"/>
    <w:rsid w:val="007E557A"/>
    <w:rsid w:val="007E6A58"/>
    <w:rsid w:val="007F1063"/>
    <w:rsid w:val="007F2C38"/>
    <w:rsid w:val="007F34D2"/>
    <w:rsid w:val="007F5654"/>
    <w:rsid w:val="00801012"/>
    <w:rsid w:val="00803F6D"/>
    <w:rsid w:val="00813CB8"/>
    <w:rsid w:val="00813EE7"/>
    <w:rsid w:val="0081420F"/>
    <w:rsid w:val="00815438"/>
    <w:rsid w:val="00821186"/>
    <w:rsid w:val="008218C0"/>
    <w:rsid w:val="00821F8A"/>
    <w:rsid w:val="0082582E"/>
    <w:rsid w:val="00827EE5"/>
    <w:rsid w:val="0083303A"/>
    <w:rsid w:val="00835A5F"/>
    <w:rsid w:val="008469E9"/>
    <w:rsid w:val="00850C3F"/>
    <w:rsid w:val="00852655"/>
    <w:rsid w:val="00855382"/>
    <w:rsid w:val="00855CF3"/>
    <w:rsid w:val="0085798D"/>
    <w:rsid w:val="00864323"/>
    <w:rsid w:val="00864415"/>
    <w:rsid w:val="008668F2"/>
    <w:rsid w:val="00867271"/>
    <w:rsid w:val="008814BE"/>
    <w:rsid w:val="00886649"/>
    <w:rsid w:val="008956DB"/>
    <w:rsid w:val="008A044C"/>
    <w:rsid w:val="008A157A"/>
    <w:rsid w:val="008A2142"/>
    <w:rsid w:val="008B1782"/>
    <w:rsid w:val="008B73E3"/>
    <w:rsid w:val="008C0D7B"/>
    <w:rsid w:val="008C0E91"/>
    <w:rsid w:val="008C1127"/>
    <w:rsid w:val="008C1388"/>
    <w:rsid w:val="008C1B17"/>
    <w:rsid w:val="008D0DDC"/>
    <w:rsid w:val="008D1268"/>
    <w:rsid w:val="008D4895"/>
    <w:rsid w:val="008E024B"/>
    <w:rsid w:val="008E31C9"/>
    <w:rsid w:val="008F1161"/>
    <w:rsid w:val="008F6F21"/>
    <w:rsid w:val="00902171"/>
    <w:rsid w:val="00902CFB"/>
    <w:rsid w:val="00906CCC"/>
    <w:rsid w:val="009071CC"/>
    <w:rsid w:val="00911B39"/>
    <w:rsid w:val="00912AA7"/>
    <w:rsid w:val="0091433E"/>
    <w:rsid w:val="00917022"/>
    <w:rsid w:val="00923F33"/>
    <w:rsid w:val="0093046F"/>
    <w:rsid w:val="009337B1"/>
    <w:rsid w:val="00934BF2"/>
    <w:rsid w:val="009422AC"/>
    <w:rsid w:val="0094236C"/>
    <w:rsid w:val="009457A7"/>
    <w:rsid w:val="00946409"/>
    <w:rsid w:val="009466A0"/>
    <w:rsid w:val="00951C1A"/>
    <w:rsid w:val="00952BEA"/>
    <w:rsid w:val="00953259"/>
    <w:rsid w:val="009537C0"/>
    <w:rsid w:val="00956061"/>
    <w:rsid w:val="009651A8"/>
    <w:rsid w:val="009653EB"/>
    <w:rsid w:val="00966B58"/>
    <w:rsid w:val="00967AF5"/>
    <w:rsid w:val="009724AE"/>
    <w:rsid w:val="00973D0C"/>
    <w:rsid w:val="00977A1F"/>
    <w:rsid w:val="00980296"/>
    <w:rsid w:val="00982399"/>
    <w:rsid w:val="00991676"/>
    <w:rsid w:val="00991FA1"/>
    <w:rsid w:val="00993425"/>
    <w:rsid w:val="00993B6E"/>
    <w:rsid w:val="00994D28"/>
    <w:rsid w:val="00995443"/>
    <w:rsid w:val="00996D42"/>
    <w:rsid w:val="009A1005"/>
    <w:rsid w:val="009A3812"/>
    <w:rsid w:val="009A6788"/>
    <w:rsid w:val="009B0744"/>
    <w:rsid w:val="009B1261"/>
    <w:rsid w:val="009B231D"/>
    <w:rsid w:val="009B5580"/>
    <w:rsid w:val="009C0BBA"/>
    <w:rsid w:val="009C1D86"/>
    <w:rsid w:val="009C35C0"/>
    <w:rsid w:val="009C5F86"/>
    <w:rsid w:val="009D1308"/>
    <w:rsid w:val="009D6985"/>
    <w:rsid w:val="009D7695"/>
    <w:rsid w:val="009E009E"/>
    <w:rsid w:val="009E19C1"/>
    <w:rsid w:val="009E635F"/>
    <w:rsid w:val="009E7247"/>
    <w:rsid w:val="009F1C07"/>
    <w:rsid w:val="009F385C"/>
    <w:rsid w:val="00A0253C"/>
    <w:rsid w:val="00A05FDA"/>
    <w:rsid w:val="00A10A05"/>
    <w:rsid w:val="00A118AE"/>
    <w:rsid w:val="00A119A0"/>
    <w:rsid w:val="00A12215"/>
    <w:rsid w:val="00A123C2"/>
    <w:rsid w:val="00A2150A"/>
    <w:rsid w:val="00A23BE7"/>
    <w:rsid w:val="00A24232"/>
    <w:rsid w:val="00A25966"/>
    <w:rsid w:val="00A316E8"/>
    <w:rsid w:val="00A31BE9"/>
    <w:rsid w:val="00A3349B"/>
    <w:rsid w:val="00A4097C"/>
    <w:rsid w:val="00A41211"/>
    <w:rsid w:val="00A42182"/>
    <w:rsid w:val="00A507E5"/>
    <w:rsid w:val="00A51ED1"/>
    <w:rsid w:val="00A527E6"/>
    <w:rsid w:val="00A6392A"/>
    <w:rsid w:val="00A70843"/>
    <w:rsid w:val="00A71B8B"/>
    <w:rsid w:val="00A75550"/>
    <w:rsid w:val="00A77384"/>
    <w:rsid w:val="00A8542E"/>
    <w:rsid w:val="00A91F16"/>
    <w:rsid w:val="00A93B20"/>
    <w:rsid w:val="00A944D3"/>
    <w:rsid w:val="00A96432"/>
    <w:rsid w:val="00A9772A"/>
    <w:rsid w:val="00AA3556"/>
    <w:rsid w:val="00AA4C8A"/>
    <w:rsid w:val="00AA7736"/>
    <w:rsid w:val="00AB06D1"/>
    <w:rsid w:val="00AB1525"/>
    <w:rsid w:val="00AB4F7D"/>
    <w:rsid w:val="00AB6AE9"/>
    <w:rsid w:val="00AB7D4F"/>
    <w:rsid w:val="00AD0F49"/>
    <w:rsid w:val="00AD2C91"/>
    <w:rsid w:val="00AD2DB7"/>
    <w:rsid w:val="00AD6A50"/>
    <w:rsid w:val="00AE0995"/>
    <w:rsid w:val="00AE44A2"/>
    <w:rsid w:val="00AE4530"/>
    <w:rsid w:val="00AE50AE"/>
    <w:rsid w:val="00AF195A"/>
    <w:rsid w:val="00AF2744"/>
    <w:rsid w:val="00AF4FF3"/>
    <w:rsid w:val="00AF77AD"/>
    <w:rsid w:val="00AF7FB4"/>
    <w:rsid w:val="00B00C8B"/>
    <w:rsid w:val="00B01443"/>
    <w:rsid w:val="00B075C4"/>
    <w:rsid w:val="00B138AC"/>
    <w:rsid w:val="00B14258"/>
    <w:rsid w:val="00B16CE3"/>
    <w:rsid w:val="00B178B2"/>
    <w:rsid w:val="00B2004A"/>
    <w:rsid w:val="00B2009F"/>
    <w:rsid w:val="00B26615"/>
    <w:rsid w:val="00B306C8"/>
    <w:rsid w:val="00B3072D"/>
    <w:rsid w:val="00B34F32"/>
    <w:rsid w:val="00B3735E"/>
    <w:rsid w:val="00B418E1"/>
    <w:rsid w:val="00B44C83"/>
    <w:rsid w:val="00B46BDA"/>
    <w:rsid w:val="00B544F6"/>
    <w:rsid w:val="00B566BF"/>
    <w:rsid w:val="00B60A02"/>
    <w:rsid w:val="00B77D1A"/>
    <w:rsid w:val="00B82E77"/>
    <w:rsid w:val="00B850BE"/>
    <w:rsid w:val="00B85312"/>
    <w:rsid w:val="00B85949"/>
    <w:rsid w:val="00B86100"/>
    <w:rsid w:val="00B87E1D"/>
    <w:rsid w:val="00B9174F"/>
    <w:rsid w:val="00B92D18"/>
    <w:rsid w:val="00BA4A2A"/>
    <w:rsid w:val="00BB0456"/>
    <w:rsid w:val="00BB5A2A"/>
    <w:rsid w:val="00BB5ECF"/>
    <w:rsid w:val="00BC062D"/>
    <w:rsid w:val="00BC0996"/>
    <w:rsid w:val="00BC12F9"/>
    <w:rsid w:val="00BC1366"/>
    <w:rsid w:val="00BC3FF8"/>
    <w:rsid w:val="00BC46A4"/>
    <w:rsid w:val="00BD0E85"/>
    <w:rsid w:val="00BD236E"/>
    <w:rsid w:val="00BD2BC9"/>
    <w:rsid w:val="00BD3DEA"/>
    <w:rsid w:val="00BD74DA"/>
    <w:rsid w:val="00BE2040"/>
    <w:rsid w:val="00BE2CFC"/>
    <w:rsid w:val="00BE39B7"/>
    <w:rsid w:val="00BF0E28"/>
    <w:rsid w:val="00BF1FFC"/>
    <w:rsid w:val="00BF4091"/>
    <w:rsid w:val="00BF48AA"/>
    <w:rsid w:val="00BF5B97"/>
    <w:rsid w:val="00BF6240"/>
    <w:rsid w:val="00BF7827"/>
    <w:rsid w:val="00C033D6"/>
    <w:rsid w:val="00C068F1"/>
    <w:rsid w:val="00C13260"/>
    <w:rsid w:val="00C166CB"/>
    <w:rsid w:val="00C2670F"/>
    <w:rsid w:val="00C2674B"/>
    <w:rsid w:val="00C31CCD"/>
    <w:rsid w:val="00C322A6"/>
    <w:rsid w:val="00C33DF7"/>
    <w:rsid w:val="00C3560F"/>
    <w:rsid w:val="00C35AC2"/>
    <w:rsid w:val="00C41CB2"/>
    <w:rsid w:val="00C446A9"/>
    <w:rsid w:val="00C46820"/>
    <w:rsid w:val="00C53F8C"/>
    <w:rsid w:val="00C544FD"/>
    <w:rsid w:val="00C54764"/>
    <w:rsid w:val="00C54BE8"/>
    <w:rsid w:val="00C55BEE"/>
    <w:rsid w:val="00C56F94"/>
    <w:rsid w:val="00C66F54"/>
    <w:rsid w:val="00C7315D"/>
    <w:rsid w:val="00C77144"/>
    <w:rsid w:val="00C83BA5"/>
    <w:rsid w:val="00C841EE"/>
    <w:rsid w:val="00C849E1"/>
    <w:rsid w:val="00C852E0"/>
    <w:rsid w:val="00C866C0"/>
    <w:rsid w:val="00C97074"/>
    <w:rsid w:val="00CA058C"/>
    <w:rsid w:val="00CA2DBB"/>
    <w:rsid w:val="00CA3C23"/>
    <w:rsid w:val="00CA43AC"/>
    <w:rsid w:val="00CB116C"/>
    <w:rsid w:val="00CB21A4"/>
    <w:rsid w:val="00CB383F"/>
    <w:rsid w:val="00CB6CBF"/>
    <w:rsid w:val="00CB793C"/>
    <w:rsid w:val="00CC4B98"/>
    <w:rsid w:val="00CC4D08"/>
    <w:rsid w:val="00CD1376"/>
    <w:rsid w:val="00CE2213"/>
    <w:rsid w:val="00CE5AB2"/>
    <w:rsid w:val="00CF2553"/>
    <w:rsid w:val="00CF2E99"/>
    <w:rsid w:val="00D00EF2"/>
    <w:rsid w:val="00D00F6F"/>
    <w:rsid w:val="00D01541"/>
    <w:rsid w:val="00D02223"/>
    <w:rsid w:val="00D0449A"/>
    <w:rsid w:val="00D1683C"/>
    <w:rsid w:val="00D208C9"/>
    <w:rsid w:val="00D20B2D"/>
    <w:rsid w:val="00D21F43"/>
    <w:rsid w:val="00D223D5"/>
    <w:rsid w:val="00D26169"/>
    <w:rsid w:val="00D32562"/>
    <w:rsid w:val="00D41389"/>
    <w:rsid w:val="00D428A0"/>
    <w:rsid w:val="00D43E3B"/>
    <w:rsid w:val="00D4424F"/>
    <w:rsid w:val="00D45FC5"/>
    <w:rsid w:val="00D46783"/>
    <w:rsid w:val="00D50909"/>
    <w:rsid w:val="00D561BD"/>
    <w:rsid w:val="00D61B88"/>
    <w:rsid w:val="00D61EE7"/>
    <w:rsid w:val="00D677CC"/>
    <w:rsid w:val="00D71A3D"/>
    <w:rsid w:val="00D74576"/>
    <w:rsid w:val="00D748EB"/>
    <w:rsid w:val="00D76E1B"/>
    <w:rsid w:val="00D8283E"/>
    <w:rsid w:val="00D87A33"/>
    <w:rsid w:val="00D91E25"/>
    <w:rsid w:val="00D97B72"/>
    <w:rsid w:val="00DA4B43"/>
    <w:rsid w:val="00DA653F"/>
    <w:rsid w:val="00DA6836"/>
    <w:rsid w:val="00DA75F3"/>
    <w:rsid w:val="00DA7672"/>
    <w:rsid w:val="00DB3C1B"/>
    <w:rsid w:val="00DB522C"/>
    <w:rsid w:val="00DB5ABD"/>
    <w:rsid w:val="00DB76BD"/>
    <w:rsid w:val="00DC387F"/>
    <w:rsid w:val="00DC5961"/>
    <w:rsid w:val="00DC7AFD"/>
    <w:rsid w:val="00DD0288"/>
    <w:rsid w:val="00DD11C8"/>
    <w:rsid w:val="00DD1E48"/>
    <w:rsid w:val="00DD5105"/>
    <w:rsid w:val="00DD6376"/>
    <w:rsid w:val="00DE11DB"/>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62EC7"/>
    <w:rsid w:val="00E80660"/>
    <w:rsid w:val="00E8329A"/>
    <w:rsid w:val="00E83670"/>
    <w:rsid w:val="00E845B6"/>
    <w:rsid w:val="00E902BA"/>
    <w:rsid w:val="00E96008"/>
    <w:rsid w:val="00EA173F"/>
    <w:rsid w:val="00EA32F3"/>
    <w:rsid w:val="00EA36CD"/>
    <w:rsid w:val="00EA4B76"/>
    <w:rsid w:val="00EA6FA6"/>
    <w:rsid w:val="00EA72B7"/>
    <w:rsid w:val="00EB0966"/>
    <w:rsid w:val="00EB1862"/>
    <w:rsid w:val="00EB49CA"/>
    <w:rsid w:val="00EB4C67"/>
    <w:rsid w:val="00EB6DD3"/>
    <w:rsid w:val="00EB732B"/>
    <w:rsid w:val="00EB7719"/>
    <w:rsid w:val="00EB7C20"/>
    <w:rsid w:val="00EC1DA3"/>
    <w:rsid w:val="00EC26B7"/>
    <w:rsid w:val="00EC60B5"/>
    <w:rsid w:val="00EC6986"/>
    <w:rsid w:val="00ED194E"/>
    <w:rsid w:val="00ED32D3"/>
    <w:rsid w:val="00ED378C"/>
    <w:rsid w:val="00ED58B6"/>
    <w:rsid w:val="00EE1DEE"/>
    <w:rsid w:val="00EF1D29"/>
    <w:rsid w:val="00EF707C"/>
    <w:rsid w:val="00F01520"/>
    <w:rsid w:val="00F02B57"/>
    <w:rsid w:val="00F03D30"/>
    <w:rsid w:val="00F047CE"/>
    <w:rsid w:val="00F14CA1"/>
    <w:rsid w:val="00F161F5"/>
    <w:rsid w:val="00F17440"/>
    <w:rsid w:val="00F17DAF"/>
    <w:rsid w:val="00F234FB"/>
    <w:rsid w:val="00F2396D"/>
    <w:rsid w:val="00F24F7D"/>
    <w:rsid w:val="00F25A78"/>
    <w:rsid w:val="00F2740A"/>
    <w:rsid w:val="00F30811"/>
    <w:rsid w:val="00F3282F"/>
    <w:rsid w:val="00F353DB"/>
    <w:rsid w:val="00F3632D"/>
    <w:rsid w:val="00F41C92"/>
    <w:rsid w:val="00F42D02"/>
    <w:rsid w:val="00F44731"/>
    <w:rsid w:val="00F456BE"/>
    <w:rsid w:val="00F46C6F"/>
    <w:rsid w:val="00F46E54"/>
    <w:rsid w:val="00F4777A"/>
    <w:rsid w:val="00F47BB9"/>
    <w:rsid w:val="00F53147"/>
    <w:rsid w:val="00F539A6"/>
    <w:rsid w:val="00F53B3A"/>
    <w:rsid w:val="00F54396"/>
    <w:rsid w:val="00F566A6"/>
    <w:rsid w:val="00F56776"/>
    <w:rsid w:val="00F574DF"/>
    <w:rsid w:val="00F60913"/>
    <w:rsid w:val="00F64CF3"/>
    <w:rsid w:val="00F65277"/>
    <w:rsid w:val="00F730E4"/>
    <w:rsid w:val="00F74D27"/>
    <w:rsid w:val="00F753D3"/>
    <w:rsid w:val="00F759B5"/>
    <w:rsid w:val="00F80D67"/>
    <w:rsid w:val="00F82980"/>
    <w:rsid w:val="00F87DAE"/>
    <w:rsid w:val="00F913A0"/>
    <w:rsid w:val="00F91D1E"/>
    <w:rsid w:val="00F9228E"/>
    <w:rsid w:val="00F932EA"/>
    <w:rsid w:val="00F940BE"/>
    <w:rsid w:val="00F944BC"/>
    <w:rsid w:val="00FA2988"/>
    <w:rsid w:val="00FA42CB"/>
    <w:rsid w:val="00FB1199"/>
    <w:rsid w:val="00FB4DC3"/>
    <w:rsid w:val="00FC2442"/>
    <w:rsid w:val="00FC5CC8"/>
    <w:rsid w:val="00FC5D30"/>
    <w:rsid w:val="00FC6128"/>
    <w:rsid w:val="00FC7789"/>
    <w:rsid w:val="00FD31AA"/>
    <w:rsid w:val="00FD38EB"/>
    <w:rsid w:val="00FD3CA9"/>
    <w:rsid w:val="00FD4F81"/>
    <w:rsid w:val="00FD714E"/>
    <w:rsid w:val="00FE14C3"/>
    <w:rsid w:val="00FE48C2"/>
    <w:rsid w:val="00FE601B"/>
    <w:rsid w:val="00FF05BA"/>
    <w:rsid w:val="00FF15C9"/>
    <w:rsid w:val="00FF1C79"/>
    <w:rsid w:val="00FF25D9"/>
    <w:rsid w:val="00FF550D"/>
    <w:rsid w:val="00FF7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3D2D"/>
  <w15:docId w15:val="{48E60E23-6BF8-4CCC-876E-3B717F1D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Header">
    <w:name w:val="header"/>
    <w:aliases w:val="Char,Diagrama Diagrama Diagrama, Char"/>
    <w:basedOn w:val="Normal"/>
    <w:link w:val="HeaderChar"/>
    <w:uiPriority w:val="99"/>
    <w:unhideWhenUsed/>
    <w:rsid w:val="001A74E1"/>
    <w:pPr>
      <w:tabs>
        <w:tab w:val="center" w:pos="4819"/>
        <w:tab w:val="right" w:pos="9638"/>
      </w:tabs>
      <w:spacing w:after="0" w:line="240" w:lineRule="auto"/>
    </w:pPr>
  </w:style>
  <w:style w:type="character" w:customStyle="1" w:styleId="HeaderChar">
    <w:name w:val="Header Char"/>
    <w:aliases w:val="Char Char,Diagrama Diagrama Diagrama Char, Char Char"/>
    <w:basedOn w:val="DefaultParagraphFont"/>
    <w:link w:val="Header"/>
    <w:uiPriority w:val="99"/>
    <w:rsid w:val="001A74E1"/>
  </w:style>
  <w:style w:type="paragraph" w:styleId="Footer">
    <w:name w:val="footer"/>
    <w:basedOn w:val="Normal"/>
    <w:link w:val="FooterChar"/>
    <w:uiPriority w:val="99"/>
    <w:unhideWhenUsed/>
    <w:rsid w:val="001A74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4E1"/>
  </w:style>
  <w:style w:type="paragraph" w:styleId="NormalWeb">
    <w:name w:val="Normal (Web)"/>
    <w:basedOn w:val="Normal"/>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ageNumber">
    <w:name w:val="page number"/>
    <w:basedOn w:val="DefaultParagraphFont"/>
    <w:rsid w:val="008B1782"/>
  </w:style>
  <w:style w:type="character" w:styleId="Strong">
    <w:name w:val="Strong"/>
    <w:basedOn w:val="DefaultParagraphFont"/>
    <w:uiPriority w:val="22"/>
    <w:qFormat/>
    <w:rsid w:val="008B1782"/>
    <w:rPr>
      <w:b/>
      <w:bCs/>
    </w:rPr>
  </w:style>
  <w:style w:type="paragraph" w:styleId="BalloonText">
    <w:name w:val="Balloon Text"/>
    <w:basedOn w:val="Normal"/>
    <w:link w:val="BalloonTextChar"/>
    <w:uiPriority w:val="99"/>
    <w:semiHidden/>
    <w:unhideWhenUsed/>
    <w:rsid w:val="00CC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08"/>
    <w:rPr>
      <w:rFonts w:ascii="Segoe UI" w:hAnsi="Segoe UI" w:cs="Segoe UI"/>
      <w:sz w:val="18"/>
      <w:szCs w:val="18"/>
    </w:rPr>
  </w:style>
  <w:style w:type="paragraph" w:styleId="ListParagraph">
    <w:name w:val="List Paragraph"/>
    <w:basedOn w:val="Normal"/>
    <w:uiPriority w:val="34"/>
    <w:qFormat/>
    <w:rsid w:val="00D1683C"/>
    <w:pPr>
      <w:ind w:left="720"/>
      <w:contextualSpacing/>
    </w:pPr>
  </w:style>
  <w:style w:type="character" w:styleId="CommentReference">
    <w:name w:val="annotation reference"/>
    <w:basedOn w:val="DefaultParagraphFont"/>
    <w:uiPriority w:val="99"/>
    <w:unhideWhenUsed/>
    <w:rsid w:val="00FF25D9"/>
    <w:rPr>
      <w:sz w:val="16"/>
      <w:szCs w:val="16"/>
    </w:rPr>
  </w:style>
  <w:style w:type="paragraph" w:styleId="CommentText">
    <w:name w:val="annotation text"/>
    <w:basedOn w:val="Normal"/>
    <w:link w:val="CommentTextChar"/>
    <w:uiPriority w:val="99"/>
    <w:unhideWhenUsed/>
    <w:rsid w:val="00FF25D9"/>
    <w:pPr>
      <w:spacing w:line="240" w:lineRule="auto"/>
    </w:pPr>
    <w:rPr>
      <w:sz w:val="20"/>
      <w:szCs w:val="20"/>
    </w:rPr>
  </w:style>
  <w:style w:type="character" w:customStyle="1" w:styleId="CommentTextChar">
    <w:name w:val="Comment Text Char"/>
    <w:basedOn w:val="DefaultParagraphFont"/>
    <w:link w:val="CommentText"/>
    <w:uiPriority w:val="99"/>
    <w:rsid w:val="00FF25D9"/>
    <w:rPr>
      <w:sz w:val="20"/>
      <w:szCs w:val="20"/>
    </w:rPr>
  </w:style>
  <w:style w:type="paragraph" w:styleId="CommentSubject">
    <w:name w:val="annotation subject"/>
    <w:basedOn w:val="CommentText"/>
    <w:next w:val="CommentText"/>
    <w:link w:val="CommentSubjectChar"/>
    <w:uiPriority w:val="99"/>
    <w:semiHidden/>
    <w:unhideWhenUsed/>
    <w:rsid w:val="00FF25D9"/>
    <w:rPr>
      <w:b/>
      <w:bCs/>
    </w:rPr>
  </w:style>
  <w:style w:type="character" w:customStyle="1" w:styleId="CommentSubjectChar">
    <w:name w:val="Comment Subject Char"/>
    <w:basedOn w:val="CommentTextChar"/>
    <w:link w:val="CommentSubject"/>
    <w:uiPriority w:val="99"/>
    <w:semiHidden/>
    <w:rsid w:val="00FF25D9"/>
    <w:rPr>
      <w:b/>
      <w:bCs/>
      <w:sz w:val="20"/>
      <w:szCs w:val="20"/>
    </w:rPr>
  </w:style>
  <w:style w:type="paragraph" w:styleId="Revision">
    <w:name w:val="Revision"/>
    <w:hidden/>
    <w:uiPriority w:val="99"/>
    <w:semiHidden/>
    <w:rsid w:val="00D02223"/>
    <w:pPr>
      <w:spacing w:after="0" w:line="240" w:lineRule="auto"/>
    </w:pPr>
  </w:style>
  <w:style w:type="paragraph" w:styleId="PlainText">
    <w:name w:val="Plain Text"/>
    <w:basedOn w:val="Normal"/>
    <w:link w:val="PlainTextChar"/>
    <w:uiPriority w:val="99"/>
    <w:semiHidden/>
    <w:unhideWhenUsed/>
    <w:rsid w:val="005864B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character" w:styleId="Hyperlink">
    <w:name w:val="Hyperlink"/>
    <w:uiPriority w:val="99"/>
    <w:unhideWhenUsed/>
    <w:rsid w:val="009724AE"/>
    <w:rPr>
      <w:color w:val="0000FF"/>
      <w:u w:val="single"/>
    </w:rPr>
  </w:style>
  <w:style w:type="paragraph" w:styleId="FootnoteText">
    <w:name w:val="footnote text"/>
    <w:basedOn w:val="Normal"/>
    <w:link w:val="FootnoteTextChar"/>
    <w:uiPriority w:val="99"/>
    <w:semiHidden/>
    <w:unhideWhenUsed/>
    <w:rsid w:val="009724A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724AE"/>
    <w:rPr>
      <w:rFonts w:eastAsia="Times New Roman" w:cs="Times New Roman"/>
      <w:sz w:val="20"/>
      <w:szCs w:val="20"/>
    </w:rPr>
  </w:style>
  <w:style w:type="character" w:styleId="FootnoteReference">
    <w:name w:val="footnote reference"/>
    <w:uiPriority w:val="99"/>
    <w:semiHidden/>
    <w:unhideWhenUsed/>
    <w:rsid w:val="009724AE"/>
    <w:rPr>
      <w:vertAlign w:val="superscript"/>
    </w:rPr>
  </w:style>
  <w:style w:type="character" w:customStyle="1" w:styleId="normaltextrun1">
    <w:name w:val="normaltextrun1"/>
    <w:basedOn w:val="DefaultParagraphFont"/>
    <w:rsid w:val="004A2871"/>
  </w:style>
  <w:style w:type="paragraph" w:customStyle="1" w:styleId="Adresas">
    <w:name w:val="Adresas"/>
    <w:basedOn w:val="Normal"/>
    <w:rsid w:val="00A527E6"/>
    <w:pPr>
      <w:spacing w:after="0" w:line="240" w:lineRule="auto"/>
      <w:ind w:right="318"/>
    </w:pPr>
    <w:rPr>
      <w:rFonts w:eastAsia="Times New Roman" w:cs="Times New Roman"/>
      <w:szCs w:val="24"/>
      <w:lang w:eastAsia="lt-LT"/>
    </w:rPr>
  </w:style>
  <w:style w:type="paragraph" w:customStyle="1" w:styleId="adresas0">
    <w:name w:val="adresas"/>
    <w:basedOn w:val="Normal"/>
    <w:rsid w:val="0035619D"/>
    <w:pPr>
      <w:spacing w:before="100" w:beforeAutospacing="1" w:after="100" w:afterAutospacing="1" w:line="240" w:lineRule="auto"/>
    </w:pPr>
    <w:rPr>
      <w:rFonts w:eastAsia="Times New Roman" w:cs="Times New Roman"/>
      <w:szCs w:val="24"/>
      <w:lang w:val="en-US"/>
    </w:rPr>
  </w:style>
  <w:style w:type="character" w:customStyle="1" w:styleId="Numatytasispastraiposriftas">
    <w:name w:val="Numatytasis pastraipos šriftas"/>
    <w:rsid w:val="00821F8A"/>
  </w:style>
  <w:style w:type="paragraph" w:customStyle="1" w:styleId="prastasis">
    <w:name w:val="Įprastasis"/>
    <w:rsid w:val="00821F8A"/>
    <w:pPr>
      <w:suppressAutoHyphens/>
      <w:autoSpaceDN w:val="0"/>
      <w:spacing w:after="0" w:line="240" w:lineRule="auto"/>
      <w:textAlignment w:val="baseline"/>
    </w:pPr>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3202">
      <w:bodyDiv w:val="1"/>
      <w:marLeft w:val="0"/>
      <w:marRight w:val="0"/>
      <w:marTop w:val="0"/>
      <w:marBottom w:val="0"/>
      <w:divBdr>
        <w:top w:val="none" w:sz="0" w:space="0" w:color="auto"/>
        <w:left w:val="none" w:sz="0" w:space="0" w:color="auto"/>
        <w:bottom w:val="none" w:sz="0" w:space="0" w:color="auto"/>
        <w:right w:val="none" w:sz="0" w:space="0" w:color="auto"/>
      </w:divBdr>
    </w:div>
    <w:div w:id="273094217">
      <w:bodyDiv w:val="1"/>
      <w:marLeft w:val="0"/>
      <w:marRight w:val="0"/>
      <w:marTop w:val="0"/>
      <w:marBottom w:val="0"/>
      <w:divBdr>
        <w:top w:val="none" w:sz="0" w:space="0" w:color="auto"/>
        <w:left w:val="none" w:sz="0" w:space="0" w:color="auto"/>
        <w:bottom w:val="none" w:sz="0" w:space="0" w:color="auto"/>
        <w:right w:val="none" w:sz="0" w:space="0" w:color="auto"/>
      </w:divBdr>
    </w:div>
    <w:div w:id="346760256">
      <w:bodyDiv w:val="1"/>
      <w:marLeft w:val="0"/>
      <w:marRight w:val="0"/>
      <w:marTop w:val="0"/>
      <w:marBottom w:val="0"/>
      <w:divBdr>
        <w:top w:val="none" w:sz="0" w:space="0" w:color="auto"/>
        <w:left w:val="none" w:sz="0" w:space="0" w:color="auto"/>
        <w:bottom w:val="none" w:sz="0" w:space="0" w:color="auto"/>
        <w:right w:val="none" w:sz="0" w:space="0" w:color="auto"/>
      </w:divBdr>
    </w:div>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510263698">
      <w:bodyDiv w:val="1"/>
      <w:marLeft w:val="0"/>
      <w:marRight w:val="0"/>
      <w:marTop w:val="0"/>
      <w:marBottom w:val="0"/>
      <w:divBdr>
        <w:top w:val="none" w:sz="0" w:space="0" w:color="auto"/>
        <w:left w:val="none" w:sz="0" w:space="0" w:color="auto"/>
        <w:bottom w:val="none" w:sz="0" w:space="0" w:color="auto"/>
        <w:right w:val="none" w:sz="0" w:space="0" w:color="auto"/>
      </w:divBdr>
    </w:div>
    <w:div w:id="743526555">
      <w:bodyDiv w:val="1"/>
      <w:marLeft w:val="0"/>
      <w:marRight w:val="0"/>
      <w:marTop w:val="0"/>
      <w:marBottom w:val="0"/>
      <w:divBdr>
        <w:top w:val="none" w:sz="0" w:space="0" w:color="auto"/>
        <w:left w:val="none" w:sz="0" w:space="0" w:color="auto"/>
        <w:bottom w:val="none" w:sz="0" w:space="0" w:color="auto"/>
        <w:right w:val="none" w:sz="0" w:space="0" w:color="auto"/>
      </w:divBdr>
    </w:div>
    <w:div w:id="831994939">
      <w:bodyDiv w:val="1"/>
      <w:marLeft w:val="0"/>
      <w:marRight w:val="0"/>
      <w:marTop w:val="0"/>
      <w:marBottom w:val="0"/>
      <w:divBdr>
        <w:top w:val="none" w:sz="0" w:space="0" w:color="auto"/>
        <w:left w:val="none" w:sz="0" w:space="0" w:color="auto"/>
        <w:bottom w:val="none" w:sz="0" w:space="0" w:color="auto"/>
        <w:right w:val="none" w:sz="0" w:space="0" w:color="auto"/>
      </w:divBdr>
    </w:div>
    <w:div w:id="866793847">
      <w:bodyDiv w:val="1"/>
      <w:marLeft w:val="0"/>
      <w:marRight w:val="0"/>
      <w:marTop w:val="0"/>
      <w:marBottom w:val="0"/>
      <w:divBdr>
        <w:top w:val="none" w:sz="0" w:space="0" w:color="auto"/>
        <w:left w:val="none" w:sz="0" w:space="0" w:color="auto"/>
        <w:bottom w:val="none" w:sz="0" w:space="0" w:color="auto"/>
        <w:right w:val="none" w:sz="0" w:space="0" w:color="auto"/>
      </w:divBdr>
      <w:divsChild>
        <w:div w:id="1739283523">
          <w:marLeft w:val="0"/>
          <w:marRight w:val="0"/>
          <w:marTop w:val="0"/>
          <w:marBottom w:val="0"/>
          <w:divBdr>
            <w:top w:val="none" w:sz="0" w:space="0" w:color="auto"/>
            <w:left w:val="none" w:sz="0" w:space="0" w:color="auto"/>
            <w:bottom w:val="none" w:sz="0" w:space="0" w:color="auto"/>
            <w:right w:val="none" w:sz="0" w:space="0" w:color="auto"/>
          </w:divBdr>
        </w:div>
        <w:div w:id="388916267">
          <w:marLeft w:val="0"/>
          <w:marRight w:val="0"/>
          <w:marTop w:val="0"/>
          <w:marBottom w:val="0"/>
          <w:divBdr>
            <w:top w:val="none" w:sz="0" w:space="0" w:color="auto"/>
            <w:left w:val="none" w:sz="0" w:space="0" w:color="auto"/>
            <w:bottom w:val="none" w:sz="0" w:space="0" w:color="auto"/>
            <w:right w:val="none" w:sz="0" w:space="0" w:color="auto"/>
          </w:divBdr>
        </w:div>
        <w:div w:id="2033416731">
          <w:marLeft w:val="0"/>
          <w:marRight w:val="0"/>
          <w:marTop w:val="0"/>
          <w:marBottom w:val="0"/>
          <w:divBdr>
            <w:top w:val="none" w:sz="0" w:space="0" w:color="auto"/>
            <w:left w:val="none" w:sz="0" w:space="0" w:color="auto"/>
            <w:bottom w:val="none" w:sz="0" w:space="0" w:color="auto"/>
            <w:right w:val="none" w:sz="0" w:space="0" w:color="auto"/>
          </w:divBdr>
        </w:div>
        <w:div w:id="2082410115">
          <w:marLeft w:val="0"/>
          <w:marRight w:val="0"/>
          <w:marTop w:val="0"/>
          <w:marBottom w:val="0"/>
          <w:divBdr>
            <w:top w:val="none" w:sz="0" w:space="0" w:color="auto"/>
            <w:left w:val="none" w:sz="0" w:space="0" w:color="auto"/>
            <w:bottom w:val="none" w:sz="0" w:space="0" w:color="auto"/>
            <w:right w:val="none" w:sz="0" w:space="0" w:color="auto"/>
          </w:divBdr>
        </w:div>
        <w:div w:id="857932009">
          <w:marLeft w:val="0"/>
          <w:marRight w:val="0"/>
          <w:marTop w:val="0"/>
          <w:marBottom w:val="0"/>
          <w:divBdr>
            <w:top w:val="none" w:sz="0" w:space="0" w:color="auto"/>
            <w:left w:val="none" w:sz="0" w:space="0" w:color="auto"/>
            <w:bottom w:val="none" w:sz="0" w:space="0" w:color="auto"/>
            <w:right w:val="none" w:sz="0" w:space="0" w:color="auto"/>
          </w:divBdr>
        </w:div>
        <w:div w:id="1643774921">
          <w:marLeft w:val="0"/>
          <w:marRight w:val="0"/>
          <w:marTop w:val="0"/>
          <w:marBottom w:val="0"/>
          <w:divBdr>
            <w:top w:val="none" w:sz="0" w:space="0" w:color="auto"/>
            <w:left w:val="none" w:sz="0" w:space="0" w:color="auto"/>
            <w:bottom w:val="none" w:sz="0" w:space="0" w:color="auto"/>
            <w:right w:val="none" w:sz="0" w:space="0" w:color="auto"/>
          </w:divBdr>
        </w:div>
      </w:divsChild>
    </w:div>
    <w:div w:id="956330027">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055082151">
      <w:bodyDiv w:val="1"/>
      <w:marLeft w:val="0"/>
      <w:marRight w:val="0"/>
      <w:marTop w:val="0"/>
      <w:marBottom w:val="0"/>
      <w:divBdr>
        <w:top w:val="none" w:sz="0" w:space="0" w:color="auto"/>
        <w:left w:val="none" w:sz="0" w:space="0" w:color="auto"/>
        <w:bottom w:val="none" w:sz="0" w:space="0" w:color="auto"/>
        <w:right w:val="none" w:sz="0" w:space="0" w:color="auto"/>
      </w:divBdr>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1408697336">
      <w:bodyDiv w:val="1"/>
      <w:marLeft w:val="0"/>
      <w:marRight w:val="0"/>
      <w:marTop w:val="0"/>
      <w:marBottom w:val="0"/>
      <w:divBdr>
        <w:top w:val="none" w:sz="0" w:space="0" w:color="auto"/>
        <w:left w:val="none" w:sz="0" w:space="0" w:color="auto"/>
        <w:bottom w:val="none" w:sz="0" w:space="0" w:color="auto"/>
        <w:right w:val="none" w:sz="0" w:space="0" w:color="auto"/>
      </w:divBdr>
    </w:div>
    <w:div w:id="1427506787">
      <w:bodyDiv w:val="1"/>
      <w:marLeft w:val="0"/>
      <w:marRight w:val="0"/>
      <w:marTop w:val="0"/>
      <w:marBottom w:val="0"/>
      <w:divBdr>
        <w:top w:val="none" w:sz="0" w:space="0" w:color="auto"/>
        <w:left w:val="none" w:sz="0" w:space="0" w:color="auto"/>
        <w:bottom w:val="none" w:sz="0" w:space="0" w:color="auto"/>
        <w:right w:val="none" w:sz="0" w:space="0" w:color="auto"/>
      </w:divBdr>
    </w:div>
    <w:div w:id="1584945679">
      <w:bodyDiv w:val="1"/>
      <w:marLeft w:val="0"/>
      <w:marRight w:val="0"/>
      <w:marTop w:val="0"/>
      <w:marBottom w:val="0"/>
      <w:divBdr>
        <w:top w:val="none" w:sz="0" w:space="0" w:color="auto"/>
        <w:left w:val="none" w:sz="0" w:space="0" w:color="auto"/>
        <w:bottom w:val="none" w:sz="0" w:space="0" w:color="auto"/>
        <w:right w:val="none" w:sz="0" w:space="0" w:color="auto"/>
      </w:divBdr>
      <w:divsChild>
        <w:div w:id="658580610">
          <w:marLeft w:val="0"/>
          <w:marRight w:val="0"/>
          <w:marTop w:val="0"/>
          <w:marBottom w:val="0"/>
          <w:divBdr>
            <w:top w:val="none" w:sz="0" w:space="0" w:color="auto"/>
            <w:left w:val="none" w:sz="0" w:space="0" w:color="auto"/>
            <w:bottom w:val="none" w:sz="0" w:space="0" w:color="auto"/>
            <w:right w:val="none" w:sz="0" w:space="0" w:color="auto"/>
          </w:divBdr>
        </w:div>
        <w:div w:id="663122054">
          <w:marLeft w:val="0"/>
          <w:marRight w:val="0"/>
          <w:marTop w:val="0"/>
          <w:marBottom w:val="0"/>
          <w:divBdr>
            <w:top w:val="none" w:sz="0" w:space="0" w:color="auto"/>
            <w:left w:val="none" w:sz="0" w:space="0" w:color="auto"/>
            <w:bottom w:val="none" w:sz="0" w:space="0" w:color="auto"/>
            <w:right w:val="none" w:sz="0" w:space="0" w:color="auto"/>
          </w:divBdr>
        </w:div>
        <w:div w:id="1660184532">
          <w:marLeft w:val="0"/>
          <w:marRight w:val="0"/>
          <w:marTop w:val="0"/>
          <w:marBottom w:val="0"/>
          <w:divBdr>
            <w:top w:val="none" w:sz="0" w:space="0" w:color="auto"/>
            <w:left w:val="none" w:sz="0" w:space="0" w:color="auto"/>
            <w:bottom w:val="none" w:sz="0" w:space="0" w:color="auto"/>
            <w:right w:val="none" w:sz="0" w:space="0" w:color="auto"/>
          </w:divBdr>
        </w:div>
      </w:divsChild>
    </w:div>
    <w:div w:id="1617328992">
      <w:bodyDiv w:val="1"/>
      <w:marLeft w:val="0"/>
      <w:marRight w:val="0"/>
      <w:marTop w:val="0"/>
      <w:marBottom w:val="0"/>
      <w:divBdr>
        <w:top w:val="none" w:sz="0" w:space="0" w:color="auto"/>
        <w:left w:val="none" w:sz="0" w:space="0" w:color="auto"/>
        <w:bottom w:val="none" w:sz="0" w:space="0" w:color="auto"/>
        <w:right w:val="none" w:sz="0" w:space="0" w:color="auto"/>
      </w:divBdr>
      <w:divsChild>
        <w:div w:id="1656913399">
          <w:marLeft w:val="0"/>
          <w:marRight w:val="0"/>
          <w:marTop w:val="0"/>
          <w:marBottom w:val="0"/>
          <w:divBdr>
            <w:top w:val="none" w:sz="0" w:space="0" w:color="auto"/>
            <w:left w:val="none" w:sz="0" w:space="0" w:color="auto"/>
            <w:bottom w:val="none" w:sz="0" w:space="0" w:color="auto"/>
            <w:right w:val="none" w:sz="0" w:space="0" w:color="auto"/>
          </w:divBdr>
        </w:div>
        <w:div w:id="170461607">
          <w:marLeft w:val="0"/>
          <w:marRight w:val="0"/>
          <w:marTop w:val="0"/>
          <w:marBottom w:val="0"/>
          <w:divBdr>
            <w:top w:val="none" w:sz="0" w:space="0" w:color="auto"/>
            <w:left w:val="none" w:sz="0" w:space="0" w:color="auto"/>
            <w:bottom w:val="none" w:sz="0" w:space="0" w:color="auto"/>
            <w:right w:val="none" w:sz="0" w:space="0" w:color="auto"/>
          </w:divBdr>
        </w:div>
        <w:div w:id="1286237179">
          <w:marLeft w:val="0"/>
          <w:marRight w:val="0"/>
          <w:marTop w:val="0"/>
          <w:marBottom w:val="0"/>
          <w:divBdr>
            <w:top w:val="none" w:sz="0" w:space="0" w:color="auto"/>
            <w:left w:val="none" w:sz="0" w:space="0" w:color="auto"/>
            <w:bottom w:val="none" w:sz="0" w:space="0" w:color="auto"/>
            <w:right w:val="none" w:sz="0" w:space="0" w:color="auto"/>
          </w:divBdr>
        </w:div>
        <w:div w:id="688678569">
          <w:marLeft w:val="0"/>
          <w:marRight w:val="0"/>
          <w:marTop w:val="0"/>
          <w:marBottom w:val="0"/>
          <w:divBdr>
            <w:top w:val="none" w:sz="0" w:space="0" w:color="auto"/>
            <w:left w:val="none" w:sz="0" w:space="0" w:color="auto"/>
            <w:bottom w:val="none" w:sz="0" w:space="0" w:color="auto"/>
            <w:right w:val="none" w:sz="0" w:space="0" w:color="auto"/>
          </w:divBdr>
        </w:div>
        <w:div w:id="434713001">
          <w:marLeft w:val="0"/>
          <w:marRight w:val="0"/>
          <w:marTop w:val="0"/>
          <w:marBottom w:val="0"/>
          <w:divBdr>
            <w:top w:val="none" w:sz="0" w:space="0" w:color="auto"/>
            <w:left w:val="none" w:sz="0" w:space="0" w:color="auto"/>
            <w:bottom w:val="none" w:sz="0" w:space="0" w:color="auto"/>
            <w:right w:val="none" w:sz="0" w:space="0" w:color="auto"/>
          </w:divBdr>
        </w:div>
        <w:div w:id="1011418508">
          <w:marLeft w:val="0"/>
          <w:marRight w:val="0"/>
          <w:marTop w:val="0"/>
          <w:marBottom w:val="0"/>
          <w:divBdr>
            <w:top w:val="none" w:sz="0" w:space="0" w:color="auto"/>
            <w:left w:val="none" w:sz="0" w:space="0" w:color="auto"/>
            <w:bottom w:val="none" w:sz="0" w:space="0" w:color="auto"/>
            <w:right w:val="none" w:sz="0" w:space="0" w:color="auto"/>
          </w:divBdr>
        </w:div>
      </w:divsChild>
    </w:div>
    <w:div w:id="1873572324">
      <w:bodyDiv w:val="1"/>
      <w:marLeft w:val="0"/>
      <w:marRight w:val="0"/>
      <w:marTop w:val="0"/>
      <w:marBottom w:val="0"/>
      <w:divBdr>
        <w:top w:val="none" w:sz="0" w:space="0" w:color="auto"/>
        <w:left w:val="none" w:sz="0" w:space="0" w:color="auto"/>
        <w:bottom w:val="none" w:sz="0" w:space="0" w:color="auto"/>
        <w:right w:val="none" w:sz="0" w:space="0" w:color="auto"/>
      </w:divBdr>
    </w:div>
    <w:div w:id="1917471882">
      <w:bodyDiv w:val="1"/>
      <w:marLeft w:val="0"/>
      <w:marRight w:val="0"/>
      <w:marTop w:val="0"/>
      <w:marBottom w:val="0"/>
      <w:divBdr>
        <w:top w:val="none" w:sz="0" w:space="0" w:color="auto"/>
        <w:left w:val="none" w:sz="0" w:space="0" w:color="auto"/>
        <w:bottom w:val="none" w:sz="0" w:space="0" w:color="auto"/>
        <w:right w:val="none" w:sz="0" w:space="0" w:color="auto"/>
      </w:divBdr>
    </w:div>
    <w:div w:id="1962034288">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6492d81089e611eaa51db668f0092944"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114E0-CE86-417F-A930-C296DE21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2630</Words>
  <Characters>18677</Characters>
  <Application>Microsoft Office Word</Application>
  <DocSecurity>0</DocSecurity>
  <Lines>263</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2021-03-10T08:06:00Z</dcterms:created>
  <dc:creator>Sonata</dc:creator>
  <cp:lastModifiedBy>Martynas</cp:lastModifiedBy>
  <cp:lastPrinted>2018-03-29T06:10:00Z</cp:lastPrinted>
  <dcterms:modified xsi:type="dcterms:W3CDTF">2021-03-10T08:10:00Z</dcterms:modified>
  <cp:revision>4</cp:revision>
</cp:coreProperties>
</file>