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1c04eff917d44af5bb71306b0ae29f76"/>
        <w:lock w:val="sdtLocked"/>
        <w:richText/>
      </w:sdtPr>
      <w:sdtContent>
        <w:p>
          <w:pPr>
            <w:jc w:val="center"/>
            <w:rPr>
              <w:lang w:eastAsia="lt-LT"/>
            </w:rPr>
          </w:pPr>
        </w:p>
        <w:p>
          <w:pPr>
            <w:jc w:val="center"/>
            <w:rPr>
              <w:lang w:eastAsia="lt-LT"/>
            </w:rPr>
          </w:pPr>
        </w:p>
        <w:p>
          <w:pPr>
            <w:ind w:firstLine="5704"/>
            <w:jc w:val="center"/>
            <w:rPr>
              <w:b/>
              <w:szCs w:val="24"/>
              <w:lang w:eastAsia="lt-LT"/>
            </w:rPr>
          </w:pPr>
          <w:r>
            <w:rPr>
              <w:b/>
              <w:szCs w:val="24"/>
              <w:lang w:eastAsia="lt-LT"/>
            </w:rPr>
            <w:t>Projekto</w:t>
          </w:r>
        </w:p>
        <w:p>
          <w:pPr>
            <w:jc w:val="right"/>
            <w:rPr>
              <w:lang w:eastAsia="lt-LT"/>
            </w:rPr>
          </w:pPr>
          <w:r>
            <w:rPr>
              <w:b/>
              <w:szCs w:val="24"/>
              <w:lang w:eastAsia="lt-LT"/>
            </w:rPr>
            <w:t>lyginamasis variantas</w:t>
          </w: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tabs>
              <w:tab w:val="center" w:pos="4153"/>
              <w:tab w:val="right" w:pos="8306"/>
            </w:tabs>
            <w:jc w:val="center"/>
            <w:rPr>
              <w:lang w:eastAsia="lt-LT"/>
            </w:rPr>
          </w:pPr>
          <w:r>
            <w:rPr>
              <w:b/>
              <w:caps/>
              <w:lang w:eastAsia="lt-LT"/>
            </w:rPr>
            <w:t>DĖL LIETUVOS RESPUBLIKOS VYRIAUSYBĖS 1998 M. LAPKRIČIO 17 D. NUTARIMO NR. 1340 „DĖL KARIŲ, ŽUVUSIŲ (MIRUSIŲ) TIKROSIOS KARO TARNYBOS METU, LAIDOJIMO IŠLAIDŲ, KARIŲ IR JŲ ŠEIMOS NARIŲ PALAIKŲ PERVEŽIMO Į LIETUVĄ IŠLAIDŲ APMOKĖJIMO TVARKOS APRAŠO PATVIRTINIMO“ PAKEITIMO</w:t>
          </w:r>
        </w:p>
        <w:p>
          <w:pPr>
            <w:ind w:firstLine="62"/>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p>
          <w:pPr>
            <w:jc w:val="center"/>
            <w:rPr>
              <w:lang w:eastAsia="lt-LT"/>
            </w:rPr>
          </w:pPr>
        </w:p>
        <w:sdt>
          <w:sdtPr>
            <w:alias w:val="preambule"/>
            <w:tag w:val="part_19ca90e7a78f4c85889d3b66d959aadc"/>
            <w:lock w:val="sdtLocked"/>
            <w:richText/>
          </w:sdtPr>
          <w:sdtContent>
            <w:p>
              <w:pPr>
                <w:spacing w:line="276"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b9d863f6b9404299ad7d1a10e37d3dcf"/>
            <w:lock w:val="sdtLocked"/>
            <w:richText/>
          </w:sdtPr>
          <w:sdtContent>
            <w:p>
              <w:pPr>
                <w:tabs>
                  <w:tab w:val="center" w:pos="4153"/>
                  <w:tab w:val="right" w:pos="8306"/>
                </w:tabs>
                <w:spacing w:line="276" w:lineRule="auto"/>
                <w:ind w:firstLine="720"/>
                <w:jc w:val="both"/>
                <w:rPr>
                  <w:szCs w:val="24"/>
                  <w:lang w:eastAsia="lt-LT"/>
                </w:rPr>
              </w:pPr>
              <w:r>
                <w:rPr>
                  <w:szCs w:val="24"/>
                  <w:lang w:eastAsia="lt-LT"/>
                </w:rPr>
                <w:t>Pakeisti Karių, žuvusių (mirusių) tikrosios karo tarnybos metu, laidojimo išlaidų, karių ir jų šeimos narių palaikų pervežimo į Lietuvą išlaidų apmokėjimo tvarkos aprašą, patvirtintą Lietuvos Respublikos Vyriausybės 1998 m. lapkričio 17 d. nutarimu Nr. 1340 „Dėl Karių, žuvusių (mirusių) tikrosios karo tarnybos metu, laidojimo išlaidų, karių ir jų šeimos narių palaikų pervežimo į Lietuvą išlaidų apmokėjimo tvarkos aprašo patvirtinimo“:</w:t>
              </w:r>
            </w:p>
          </w:sdtContent>
        </w:sdt>
        <w:sdt>
          <w:sdtPr>
            <w:alias w:val="1 p."/>
            <w:tag w:val="part_92505724550d4ef490ed8e97789c20e3"/>
            <w:lock w:val="sdtLocked"/>
            <w:richText/>
          </w:sdtPr>
          <w:sdtContent>
            <w:p>
              <w:pPr>
                <w:tabs>
                  <w:tab w:val="center" w:pos="4153"/>
                  <w:tab w:val="right" w:pos="8306"/>
                </w:tabs>
                <w:spacing w:line="276" w:lineRule="auto"/>
                <w:ind w:left="1080" w:hanging="360"/>
                <w:jc w:val="both"/>
                <w:rPr>
                  <w:szCs w:val="24"/>
                  <w:lang w:eastAsia="lt-LT"/>
                </w:rPr>
              </w:pPr>
              <w:sdt>
                <w:sdtPr>
                  <w:alias w:val="Numeris"/>
                  <w:tag w:val="nr_92505724550d4ef490ed8e97789c20e3"/>
                  <w:lock w:val="sdtLocked"/>
                  <w:richText/>
                </w:sdtPr>
                <w:sdtContent>
                  <w:r>
                    <w:rPr>
                      <w:szCs w:val="24"/>
                      <w:lang w:eastAsia="lt-LT"/>
                    </w:rPr>
                    <w:t>1</w:t>
                  </w:r>
                </w:sdtContent>
              </w:sdt>
              <w:r>
                <w:rPr>
                  <w:szCs w:val="24"/>
                  <w:lang w:eastAsia="lt-LT"/>
                </w:rPr>
                <w:t>.</w:t>
                <w:tab/>
                <w:t xml:space="preserve">Pakeisti  </w:t>
              </w:r>
              <w:r>
                <w:rPr>
                  <w:szCs w:val="24"/>
                  <w:lang w:val="en-US" w:eastAsia="lt-LT"/>
                </w:rPr>
                <w:t>1 punktą ir jį išdėstyti taip:</w:t>
              </w:r>
            </w:p>
            <w:sdt>
              <w:sdtPr>
                <w:alias w:val="citata"/>
                <w:tag w:val="part_0549a1a5642940bba43ba901aaebc871"/>
                <w:lock w:val="sdtLocked"/>
                <w:richText/>
              </w:sdtPr>
              <w:sdtContent>
                <w:sdt>
                  <w:sdtPr>
                    <w:alias w:val="1 p."/>
                    <w:tag w:val="part_515c9d0c4280425cbdb2765a2a61bd82"/>
                    <w:lock w:val="sdtLocked"/>
                    <w:richText/>
                  </w:sdtPr>
                  <w:sdtContent>
                    <w:p>
                      <w:pPr>
                        <w:spacing w:line="276" w:lineRule="auto"/>
                        <w:ind w:firstLine="720"/>
                        <w:jc w:val="both"/>
                        <w:rPr>
                          <w:szCs w:val="24"/>
                          <w:lang w:eastAsia="lt-LT"/>
                        </w:rPr>
                      </w:pPr>
                      <w:r>
                        <w:rPr>
                          <w:szCs w:val="24"/>
                          <w:lang w:eastAsia="lt-LT"/>
                        </w:rPr>
                        <w:t>„</w:t>
                      </w:r>
                      <w:sdt>
                        <w:sdtPr>
                          <w:alias w:val="Numeris"/>
                          <w:tag w:val="nr_515c9d0c4280425cbdb2765a2a61bd82"/>
                          <w:lock w:val="sdtLocked"/>
                          <w:richText/>
                        </w:sdtPr>
                        <w:sdtContent>
                          <w:r>
                            <w:rPr>
                              <w:szCs w:val="24"/>
                              <w:lang w:val="en-US" w:eastAsia="lt-LT"/>
                            </w:rPr>
                            <w:t>1</w:t>
                          </w:r>
                        </w:sdtContent>
                      </w:sdt>
                      <w:r>
                        <w:rPr>
                          <w:szCs w:val="24"/>
                          <w:lang w:val="en-US" w:eastAsia="lt-LT"/>
                        </w:rPr>
                        <w:t xml:space="preserve">. </w:t>
                      </w:r>
                      <w:r>
                        <w:rPr>
                          <w:szCs w:val="24"/>
                          <w:lang w:eastAsia="lt-LT"/>
                        </w:rPr>
                        <w:t xml:space="preserve">Karių, žuvusių (mirusių) tikrosios karo tarnybos metu, laidojimo išlaidų, karių ir jų šeimos narių palaikų pervežimo į Lietuvą išlaidų apmokėjimo tvarkos aprašas (toliau – Aprašas) nustato tikrosios karo tarnybos metu, </w:t>
                      </w:r>
                      <w:r>
                        <w:rPr>
                          <w:b/>
                          <w:szCs w:val="24"/>
                          <w:lang w:eastAsia="lt-LT"/>
                        </w:rPr>
                        <w:t>išskyrus karo padėties metu atliekamą tikrąją karo tarnybą,</w:t>
                      </w:r>
                      <w:r>
                        <w:rPr>
                          <w:szCs w:val="24"/>
                          <w:lang w:eastAsia="lt-LT"/>
                        </w:rPr>
                        <w:t xml:space="preserve"> su tarnyba susijusiomis aplinkybėmis žuvusių (mirusių) karių laidojimo išlaidų (toliau – laidojimo išlaidos) apmokėjimo tvarką ir užsienyje su tarnyba susijusiomis aplinkybėmis žuvusių (mirusių) karių, taip pat užsienyje žuvusių (mirusių) kartu su kariu užsienyje gyvenusių asmenų, nurodytų Lietuvos Respublikos krašto apsaugos sistemos organizavimo ir karo tarnybos įstatymo 61 straipsnio 5 dalyje, palaikų pervežimo į Lietuvą išlaidų (toliau – palaikų pervežimo į Lietuvą išlaidos) apmokėjimo sąlygas ir tvarką.“</w:t>
                      </w:r>
                    </w:p>
                  </w:sdtContent>
                </w:sdt>
              </w:sdtContent>
            </w:sdt>
          </w:sdtContent>
        </w:sdt>
        <w:sdt>
          <w:sdtPr>
            <w:alias w:val="2 p."/>
            <w:tag w:val="part_53dba64a7eae41e0b1b749e5f4335525"/>
            <w:lock w:val="sdtLocked"/>
            <w:richText/>
          </w:sdtPr>
          <w:sdtContent>
            <w:p>
              <w:pPr>
                <w:spacing w:line="276" w:lineRule="auto"/>
                <w:ind w:left="1080" w:hanging="360"/>
                <w:jc w:val="both"/>
                <w:rPr>
                  <w:szCs w:val="24"/>
                  <w:lang w:eastAsia="lt-LT"/>
                </w:rPr>
              </w:pPr>
              <w:sdt>
                <w:sdtPr>
                  <w:alias w:val="Numeris"/>
                  <w:tag w:val="nr_53dba64a7eae41e0b1b749e5f4335525"/>
                  <w:lock w:val="sdtLocked"/>
                  <w:richText/>
                </w:sdtPr>
                <w:sdtContent>
                  <w:r>
                    <w:rPr>
                      <w:szCs w:val="24"/>
                      <w:lang w:eastAsia="lt-LT"/>
                    </w:rPr>
                    <w:t>2</w:t>
                  </w:r>
                </w:sdtContent>
              </w:sdt>
              <w:r>
                <w:rPr>
                  <w:szCs w:val="24"/>
                  <w:lang w:eastAsia="lt-LT"/>
                </w:rPr>
                <w:t>.</w:t>
                <w:tab/>
                <w:t>Pripažinti netekusiu galios 10 punktą.</w:t>
              </w:r>
            </w:p>
          </w:sdtContent>
        </w:sdt>
        <w:sdt>
          <w:sdtPr>
            <w:alias w:val="10 p."/>
            <w:tag w:val="part_05483a1e54b34100ad22c604ffca368f"/>
            <w:lock w:val="sdtLocked"/>
            <w:richText/>
          </w:sdtPr>
          <w:sdtContent>
            <w:p>
              <w:pPr>
                <w:spacing w:line="276" w:lineRule="auto"/>
                <w:ind w:firstLine="671"/>
                <w:jc w:val="both"/>
                <w:rPr>
                  <w:strike/>
                  <w:szCs w:val="24"/>
                  <w:lang w:eastAsia="lt-LT"/>
                </w:rPr>
              </w:pPr>
              <w:sdt>
                <w:sdtPr>
                  <w:alias w:val="Numeris"/>
                  <w:tag w:val="nr_05483a1e54b34100ad22c604ffca368f"/>
                  <w:lock w:val="sdtLocked"/>
                  <w:richText/>
                </w:sdtPr>
                <w:sdtContent>
                  <w:r>
                    <w:rPr>
                      <w:strike/>
                      <w:szCs w:val="24"/>
                      <w:lang w:eastAsia="lt-LT"/>
                    </w:rPr>
                    <w:t>10</w:t>
                  </w:r>
                </w:sdtContent>
              </w:sdt>
              <w:r>
                <w:rPr>
                  <w:strike/>
                  <w:szCs w:val="24"/>
                  <w:lang w:eastAsia="lt-LT"/>
                </w:rPr>
                <w:t>.</w:t>
              </w:r>
              <w:r>
                <w:rPr>
                  <w:strike/>
                  <w:lang w:eastAsia="lt-LT"/>
                </w:rPr>
                <w:t xml:space="preserve"> </w:t>
              </w:r>
              <w:r>
                <w:rPr>
                  <w:strike/>
                  <w:szCs w:val="24"/>
                  <w:lang w:eastAsia="lt-LT"/>
                </w:rPr>
                <w:t>Asmens duomenys, pateikti su Aprašo 8 ir 9 punktuose minimais dokumentais, yra tvarkomi laidojimo ir palaikų pervežimo į Lietuvą išlaidų apmokėjimo tikslu.</w:t>
              </w:r>
            </w:p>
          </w:sdtContent>
        </w:sdt>
        <w:sdt>
          <w:sdtPr>
            <w:alias w:val="3 p."/>
            <w:tag w:val="part_fb39be4b3f4e42f6adddafd3ea3f607f"/>
            <w:lock w:val="sdtLocked"/>
            <w:richText/>
          </w:sdtPr>
          <w:sdtContent>
            <w:p>
              <w:pPr>
                <w:spacing w:line="276" w:lineRule="auto"/>
                <w:ind w:left="1080" w:hanging="360"/>
                <w:jc w:val="both"/>
                <w:rPr>
                  <w:szCs w:val="24"/>
                  <w:lang w:eastAsia="lt-LT"/>
                </w:rPr>
              </w:pPr>
              <w:sdt>
                <w:sdtPr>
                  <w:alias w:val="Numeris"/>
                  <w:tag w:val="nr_fb39be4b3f4e42f6adddafd3ea3f607f"/>
                  <w:lock w:val="sdtLocked"/>
                  <w:richText/>
                </w:sdtPr>
                <w:sdtContent>
                  <w:r>
                    <w:rPr>
                      <w:szCs w:val="24"/>
                      <w:lang w:eastAsia="lt-LT"/>
                    </w:rPr>
                    <w:t>3</w:t>
                  </w:r>
                </w:sdtContent>
              </w:sdt>
              <w:r>
                <w:rPr>
                  <w:szCs w:val="24"/>
                  <w:lang w:eastAsia="lt-LT"/>
                </w:rPr>
                <w:t>.</w:t>
                <w:tab/>
                <w:t>Pakeisti 14 punktą ir jį išdėstyti taip:</w:t>
              </w:r>
            </w:p>
            <w:sdt>
              <w:sdtPr>
                <w:alias w:val="citata"/>
                <w:tag w:val="part_14b46ddaa92e4c008bc04600dc3f3a55"/>
                <w:lock w:val="sdtLocked"/>
                <w:richText/>
              </w:sdtPr>
              <w:sdtContent>
                <w:sdt>
                  <w:sdtPr>
                    <w:alias w:val="14 p."/>
                    <w:tag w:val="part_6e20ebedfd92498ca94d5ed9c35f72fa"/>
                    <w:lock w:val="sdtLocked"/>
                    <w:richText/>
                  </w:sdtPr>
                  <w:sdtContent>
                    <w:p>
                      <w:pPr>
                        <w:widowControl w:val="0"/>
                        <w:tabs>
                          <w:tab w:val="left" w:pos="993"/>
                          <w:tab w:val="left" w:pos="1276"/>
                          <w:tab w:val="left" w:pos="1418"/>
                          <w:tab w:val="left" w:pos="1709"/>
                          <w:tab w:val="left" w:pos="3458"/>
                        </w:tabs>
                        <w:spacing w:line="360" w:lineRule="atLeast"/>
                        <w:ind w:firstLine="720"/>
                        <w:jc w:val="both"/>
                        <w:rPr>
                          <w:szCs w:val="24"/>
                          <w:lang w:eastAsia="lt-LT"/>
                        </w:rPr>
                      </w:pPr>
                      <w:r>
                        <w:rPr>
                          <w:szCs w:val="24"/>
                          <w:lang w:eastAsia="lt-LT"/>
                        </w:rPr>
                        <w:t>„</w:t>
                      </w:r>
                      <w:sdt>
                        <w:sdtPr>
                          <w:alias w:val="Numeris"/>
                          <w:tag w:val="nr_6e20ebedfd92498ca94d5ed9c35f72fa"/>
                          <w:lock w:val="sdtLocked"/>
                          <w:richText/>
                        </w:sdtPr>
                        <w:sdtContent>
                          <w:r>
                            <w:rPr>
                              <w:szCs w:val="24"/>
                              <w:lang w:eastAsia="lt-LT"/>
                            </w:rPr>
                            <w:t>14</w:t>
                          </w:r>
                        </w:sdtContent>
                      </w:sdt>
                      <w:r>
                        <w:rPr>
                          <w:szCs w:val="24"/>
                          <w:lang w:eastAsia="lt-LT"/>
                        </w:rPr>
                        <w:t>.</w:t>
                      </w:r>
                      <w:r>
                        <w:rPr>
                          <w:b/>
                          <w:szCs w:val="24"/>
                          <w:lang w:eastAsia="lt-LT"/>
                        </w:rPr>
                        <w:t xml:space="preserve"> Įgyvendinant Aprašą, asmenų, nurodytų Aprašo 7 punkte, asmens duomenys, nurodyti Aprašo </w:t>
                      </w:r>
                      <w:r>
                        <w:rPr>
                          <w:b/>
                          <w:szCs w:val="24"/>
                          <w:lang w:val="en-US" w:eastAsia="lt-LT"/>
                        </w:rPr>
                        <w:t>8 punkte,</w:t>
                      </w:r>
                      <w:r>
                        <w:rPr>
                          <w:b/>
                          <w:szCs w:val="24"/>
                          <w:lang w:eastAsia="lt-LT"/>
                        </w:rPr>
                        <w:t xml:space="preserve"> tvarkomi laidojimo išlaidų, palaikų pervežimo į Lietuvą išlaidų apmokėjimo tikslais, vadovaujantis 2016 m. balandžio 27 d. Europos Parlamento ir Tarybos reglamentu </w:t>
                      </w:r>
                      <w:fldSimple w:instr="HYPERLINK http://eur-lex.europa.eu/legal-content/LIT/TXT/?uri=CELEX:3679R2016&amp;locale=lt \t _blank">
                        <w:r>
                          <w:rPr>
                            <w:b/>
                            <w:szCs w:val="24"/>
                            <w:lang w:eastAsia="lt-LT"/>
                            <w:u w:val="single"/>
                            <w:color w:val="0000FF" w:themeColor="hyperlink"/>
                          </w:rPr>
                          <w:t>(ES) 2016/679</w:t>
                        </w:r>
                      </w:fldSimple>
                      <w:r>
                        <w:rPr>
                          <w:b/>
                          <w:szCs w:val="24"/>
                          <w:lang w:eastAsia="lt-LT"/>
                        </w:rPr>
                        <w:t xml:space="preserve"> dėl fizinių asmenų apsaugos tvarkant asmens duomenis ir dėl laisvo tokių duomenų judėjimo ir kuriuo panaikinama Direktyva </w:t>
                      </w:r>
                      <w:fldSimple w:instr="HYPERLINK http://eur-lex.europa.eu/legal-content/LIT/TXT/?uri=CELEX:31995L0046&amp;locale=lt \t _blank">
                        <w:r>
                          <w:rPr>
                            <w:b/>
                            <w:szCs w:val="24"/>
                            <w:lang w:eastAsia="lt-LT"/>
                            <w:u w:val="single"/>
                            <w:color w:val="0000FF" w:themeColor="hyperlink"/>
                          </w:rPr>
                          <w:t>95/46/EB</w:t>
                        </w:r>
                      </w:fldSimple>
                      <w:r>
                        <w:rPr>
                          <w:b/>
                          <w:szCs w:val="24"/>
                          <w:lang w:eastAsia="lt-LT"/>
                        </w:rPr>
                        <w:t xml:space="preserve"> </w:t>
                      </w:r>
                      <w:r>
                        <w:rPr>
                          <w:b/>
                          <w:szCs w:val="24"/>
                          <w:shd w:val="clear" w:color="auto" w:fill="FFFFFF"/>
                          <w:lang w:eastAsia="lt-LT"/>
                        </w:rPr>
                        <w:t>(Bendrasis duomenų apsaugos reglamentas)</w:t>
                      </w:r>
                      <w:r>
                        <w:rPr>
                          <w:b/>
                          <w:szCs w:val="24"/>
                          <w:lang w:eastAsia="lt-LT"/>
                        </w:rPr>
                        <w:t xml:space="preserve"> ir Lietuvos Respublikos asmens duomenų teisinės apsaugos įstatymu.</w:t>
                      </w:r>
                      <w:r>
                        <w:rPr>
                          <w:szCs w:val="24"/>
                          <w:lang w:eastAsia="lt-LT"/>
                        </w:rPr>
                        <w:t xml:space="preserve"> </w:t>
                      </w:r>
                      <w:r>
                        <w:rPr>
                          <w:strike/>
                          <w:szCs w:val="24"/>
                          <w:lang w:eastAsia="lt-LT"/>
                        </w:rPr>
                        <w:t>Informacija apie asmens duomenų tvarkymą krašto apsaugos sistemoje pateikiama Krašto apsaugos ministerijos interneto svetainėje www.kam.lt.</w:t>
                      </w:r>
                      <w:r>
                        <w:rPr>
                          <w:szCs w:val="24"/>
                          <w:lang w:eastAsia="lt-LT"/>
                        </w:rPr>
                        <w:t>“.</w:t>
                      </w:r>
                    </w:p>
                    <w:p>
                      <w:pPr>
                        <w:widowControl w:val="0"/>
                        <w:tabs>
                          <w:tab w:val="left" w:pos="993"/>
                          <w:tab w:val="left" w:pos="1276"/>
                          <w:tab w:val="left" w:pos="1418"/>
                          <w:tab w:val="left" w:pos="1709"/>
                          <w:tab w:val="left" w:pos="3458"/>
                        </w:tabs>
                        <w:spacing w:line="276" w:lineRule="auto"/>
                        <w:jc w:val="both"/>
                        <w:rPr>
                          <w:szCs w:val="24"/>
                          <w:lang w:eastAsia="lt-LT"/>
                        </w:rPr>
                      </w:pPr>
                    </w:p>
                    <w:p>
                      <w:pPr>
                        <w:tabs>
                          <w:tab w:val="center" w:pos="4153"/>
                          <w:tab w:val="right" w:pos="8306"/>
                        </w:tabs>
                        <w:spacing w:line="276" w:lineRule="auto"/>
                        <w:ind w:left="720"/>
                        <w:jc w:val="both"/>
                        <w:rPr>
                          <w:szCs w:val="24"/>
                          <w:lang w:eastAsia="lt-LT"/>
                        </w:rPr>
                      </w:pPr>
                    </w:p>
                    <w:p>
                      <w:pPr>
                        <w:spacing w:line="276" w:lineRule="auto"/>
                        <w:ind w:firstLine="720"/>
                        <w:jc w:val="both"/>
                        <w:rPr>
                          <w:szCs w:val="24"/>
                          <w:lang w:eastAsia="lt-LT"/>
                        </w:rPr>
                      </w:pPr>
                    </w:p>
                    <w:p>
                      <w:pPr>
                        <w:spacing w:line="276" w:lineRule="auto"/>
                        <w:ind w:firstLine="720"/>
                        <w:jc w:val="both"/>
                        <w:rPr>
                          <w:szCs w:val="24"/>
                          <w:lang w:eastAsia="lt-LT"/>
                        </w:rPr>
                      </w:pPr>
                    </w:p>
                    <w:p>
                      <w:pPr>
                        <w:tabs>
                          <w:tab w:val="left" w:pos="720"/>
                          <w:tab w:val="left" w:pos="993"/>
                        </w:tabs>
                        <w:spacing w:line="276" w:lineRule="auto"/>
                        <w:ind w:left="709"/>
                        <w:jc w:val="both"/>
                        <w:rPr>
                          <w:rFonts w:eastAsia="Calibri"/>
                          <w:szCs w:val="24"/>
                          <w:lang w:eastAsia="lt-LT"/>
                        </w:rPr>
                      </w:pPr>
                    </w:p>
                    <w:p>
                      <w:pPr>
                        <w:tabs>
                          <w:tab w:val="center" w:pos="-7800"/>
                          <w:tab w:val="left" w:pos="6237"/>
                          <w:tab w:val="right" w:pos="8306"/>
                        </w:tabs>
                        <w:rPr>
                          <w:lang w:eastAsia="lt-LT"/>
                        </w:rPr>
                      </w:pPr>
                    </w:p>
                  </w:sdtContent>
                </w:sdt>
              </w:sdtContent>
            </w:sdt>
          </w:sdtContent>
        </w:sdt>
        <w:sdt>
          <w:sdtPr>
            <w:alias w:val="signatura"/>
            <w:tag w:val="part_63a2bd9d71334697bfd08ce14a964071"/>
            <w:lock w:val="sdtLocked"/>
            <w:richText/>
          </w:sdtPr>
          <w:sdtContent>
            <w:p>
              <w:pPr>
                <w:tabs>
                  <w:tab w:val="center" w:pos="-7800"/>
                  <w:tab w:val="left" w:pos="6237"/>
                  <w:tab w:val="right" w:pos="8306"/>
                </w:tabs>
                <w:rPr>
                  <w:lang w:eastAsia="lt-LT"/>
                </w:rPr>
              </w:pPr>
              <w:r>
                <w:rPr>
                  <w:lang w:eastAsia="lt-LT"/>
                </w:rPr>
                <w:t>Ministras Pirmininkas</w:t>
                <w:tab/>
                <w:t xml:space="preserve">                 </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 xml:space="preserve">Krašto apsaugos ministras                                                                            </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FD2741F-046B-415E-9F19-891B95F3142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836587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65652679">
      <w:bodyDiv w:val="1"/>
      <w:marLeft w:val="0"/>
      <w:marRight w:val="0"/>
      <w:marTop w:val="0"/>
      <w:marBottom w:val="0"/>
      <w:divBdr>
        <w:top w:val="none" w:sz="0" w:space="0" w:color="auto"/>
        <w:left w:val="none" w:sz="0" w:space="0" w:color="auto"/>
        <w:bottom w:val="none" w:sz="0" w:space="0" w:color="auto"/>
        <w:right w:val="none" w:sz="0" w:space="0" w:color="auto"/>
      </w:divBdr>
      <w:divsChild>
        <w:div w:id="1235822058">
          <w:marLeft w:val="0"/>
          <w:marRight w:val="0"/>
          <w:marTop w:val="0"/>
          <w:marBottom w:val="0"/>
          <w:divBdr>
            <w:top w:val="none" w:sz="0" w:space="0" w:color="auto"/>
            <w:left w:val="none" w:sz="0" w:space="0" w:color="auto"/>
            <w:bottom w:val="none" w:sz="0" w:space="0" w:color="auto"/>
            <w:right w:val="none" w:sz="0" w:space="0" w:color="auto"/>
          </w:divBdr>
        </w:div>
        <w:div w:id="571160815">
          <w:marLeft w:val="0"/>
          <w:marRight w:val="0"/>
          <w:marTop w:val="0"/>
          <w:marBottom w:val="0"/>
          <w:divBdr>
            <w:top w:val="none" w:sz="0" w:space="0" w:color="auto"/>
            <w:left w:val="none" w:sz="0" w:space="0" w:color="auto"/>
            <w:bottom w:val="none" w:sz="0" w:space="0" w:color="auto"/>
            <w:right w:val="none" w:sz="0" w:space="0" w:color="auto"/>
          </w:divBdr>
        </w:div>
        <w:div w:id="1392574992">
          <w:marLeft w:val="0"/>
          <w:marRight w:val="0"/>
          <w:marTop w:val="0"/>
          <w:marBottom w:val="0"/>
          <w:divBdr>
            <w:top w:val="none" w:sz="0" w:space="0" w:color="auto"/>
            <w:left w:val="none" w:sz="0" w:space="0" w:color="auto"/>
            <w:bottom w:val="none" w:sz="0" w:space="0" w:color="auto"/>
            <w:right w:val="none" w:sz="0" w:space="0" w:color="auto"/>
          </w:divBdr>
          <w:divsChild>
            <w:div w:id="992761928">
              <w:marLeft w:val="0"/>
              <w:marRight w:val="0"/>
              <w:marTop w:val="0"/>
              <w:marBottom w:val="0"/>
              <w:divBdr>
                <w:top w:val="none" w:sz="0" w:space="0" w:color="auto"/>
                <w:left w:val="none" w:sz="0" w:space="0" w:color="auto"/>
                <w:bottom w:val="none" w:sz="0" w:space="0" w:color="auto"/>
                <w:right w:val="none" w:sz="0" w:space="0" w:color="auto"/>
              </w:divBdr>
            </w:div>
            <w:div w:id="1766337945">
              <w:marLeft w:val="0"/>
              <w:marRight w:val="0"/>
              <w:marTop w:val="0"/>
              <w:marBottom w:val="0"/>
              <w:divBdr>
                <w:top w:val="none" w:sz="0" w:space="0" w:color="auto"/>
                <w:left w:val="none" w:sz="0" w:space="0" w:color="auto"/>
                <w:bottom w:val="none" w:sz="0" w:space="0" w:color="auto"/>
                <w:right w:val="none" w:sz="0" w:space="0" w:color="auto"/>
              </w:divBdr>
            </w:div>
            <w:div w:id="1859419260">
              <w:marLeft w:val="0"/>
              <w:marRight w:val="0"/>
              <w:marTop w:val="0"/>
              <w:marBottom w:val="0"/>
              <w:divBdr>
                <w:top w:val="none" w:sz="0" w:space="0" w:color="auto"/>
                <w:left w:val="none" w:sz="0" w:space="0" w:color="auto"/>
                <w:bottom w:val="none" w:sz="0" w:space="0" w:color="auto"/>
                <w:right w:val="none" w:sz="0" w:space="0" w:color="auto"/>
              </w:divBdr>
            </w:div>
          </w:divsChild>
        </w:div>
        <w:div w:id="686098589">
          <w:marLeft w:val="0"/>
          <w:marRight w:val="0"/>
          <w:marTop w:val="0"/>
          <w:marBottom w:val="0"/>
          <w:divBdr>
            <w:top w:val="none" w:sz="0" w:space="0" w:color="auto"/>
            <w:left w:val="none" w:sz="0" w:space="0" w:color="auto"/>
            <w:bottom w:val="none" w:sz="0" w:space="0" w:color="auto"/>
            <w:right w:val="none" w:sz="0" w:space="0" w:color="auto"/>
          </w:divBdr>
          <w:divsChild>
            <w:div w:id="969941741">
              <w:marLeft w:val="0"/>
              <w:marRight w:val="0"/>
              <w:marTop w:val="0"/>
              <w:marBottom w:val="0"/>
              <w:divBdr>
                <w:top w:val="none" w:sz="0" w:space="0" w:color="auto"/>
                <w:left w:val="none" w:sz="0" w:space="0" w:color="auto"/>
                <w:bottom w:val="none" w:sz="0" w:space="0" w:color="auto"/>
                <w:right w:val="none" w:sz="0" w:space="0" w:color="auto"/>
              </w:divBdr>
            </w:div>
            <w:div w:id="2040157321">
              <w:marLeft w:val="0"/>
              <w:marRight w:val="0"/>
              <w:marTop w:val="0"/>
              <w:marBottom w:val="0"/>
              <w:divBdr>
                <w:top w:val="none" w:sz="0" w:space="0" w:color="auto"/>
                <w:left w:val="none" w:sz="0" w:space="0" w:color="auto"/>
                <w:bottom w:val="none" w:sz="0" w:space="0" w:color="auto"/>
                <w:right w:val="none" w:sz="0" w:space="0" w:color="auto"/>
              </w:divBdr>
            </w:div>
            <w:div w:id="949623047">
              <w:marLeft w:val="0"/>
              <w:marRight w:val="0"/>
              <w:marTop w:val="0"/>
              <w:marBottom w:val="0"/>
              <w:divBdr>
                <w:top w:val="none" w:sz="0" w:space="0" w:color="auto"/>
                <w:left w:val="none" w:sz="0" w:space="0" w:color="auto"/>
                <w:bottom w:val="none" w:sz="0" w:space="0" w:color="auto"/>
                <w:right w:val="none" w:sz="0" w:space="0" w:color="auto"/>
              </w:divBdr>
            </w:div>
            <w:div w:id="1062215283">
              <w:marLeft w:val="0"/>
              <w:marRight w:val="0"/>
              <w:marTop w:val="0"/>
              <w:marBottom w:val="0"/>
              <w:divBdr>
                <w:top w:val="none" w:sz="0" w:space="0" w:color="auto"/>
                <w:left w:val="none" w:sz="0" w:space="0" w:color="auto"/>
                <w:bottom w:val="none" w:sz="0" w:space="0" w:color="auto"/>
                <w:right w:val="none" w:sz="0" w:space="0" w:color="auto"/>
              </w:divBdr>
            </w:div>
          </w:divsChild>
        </w:div>
        <w:div w:id="137308978">
          <w:marLeft w:val="0"/>
          <w:marRight w:val="0"/>
          <w:marTop w:val="0"/>
          <w:marBottom w:val="0"/>
          <w:divBdr>
            <w:top w:val="none" w:sz="0" w:space="0" w:color="auto"/>
            <w:left w:val="none" w:sz="0" w:space="0" w:color="auto"/>
            <w:bottom w:val="none" w:sz="0" w:space="0" w:color="auto"/>
            <w:right w:val="none" w:sz="0" w:space="0" w:color="auto"/>
          </w:divBdr>
        </w:div>
        <w:div w:id="557323518">
          <w:marLeft w:val="0"/>
          <w:marRight w:val="0"/>
          <w:marTop w:val="0"/>
          <w:marBottom w:val="0"/>
          <w:divBdr>
            <w:top w:val="none" w:sz="0" w:space="0" w:color="auto"/>
            <w:left w:val="none" w:sz="0" w:space="0" w:color="auto"/>
            <w:bottom w:val="none" w:sz="0" w:space="0" w:color="auto"/>
            <w:right w:val="none" w:sz="0" w:space="0" w:color="auto"/>
          </w:divBdr>
          <w:divsChild>
            <w:div w:id="1016889008">
              <w:marLeft w:val="0"/>
              <w:marRight w:val="0"/>
              <w:marTop w:val="0"/>
              <w:marBottom w:val="0"/>
              <w:divBdr>
                <w:top w:val="none" w:sz="0" w:space="0" w:color="auto"/>
                <w:left w:val="none" w:sz="0" w:space="0" w:color="auto"/>
                <w:bottom w:val="none" w:sz="0" w:space="0" w:color="auto"/>
                <w:right w:val="none" w:sz="0" w:space="0" w:color="auto"/>
              </w:divBdr>
            </w:div>
            <w:div w:id="1344626626">
              <w:marLeft w:val="0"/>
              <w:marRight w:val="0"/>
              <w:marTop w:val="0"/>
              <w:marBottom w:val="0"/>
              <w:divBdr>
                <w:top w:val="none" w:sz="0" w:space="0" w:color="auto"/>
                <w:left w:val="none" w:sz="0" w:space="0" w:color="auto"/>
                <w:bottom w:val="none" w:sz="0" w:space="0" w:color="auto"/>
                <w:right w:val="none" w:sz="0" w:space="0" w:color="auto"/>
              </w:divBdr>
            </w:div>
            <w:div w:id="1229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3653396">
      <w:bodyDiv w:val="1"/>
      <w:marLeft w:val="0"/>
      <w:marRight w:val="0"/>
      <w:marTop w:val="0"/>
      <w:marBottom w:val="0"/>
      <w:divBdr>
        <w:top w:val="none" w:sz="0" w:space="0" w:color="auto"/>
        <w:left w:val="none" w:sz="0" w:space="0" w:color="auto"/>
        <w:bottom w:val="none" w:sz="0" w:space="0" w:color="auto"/>
        <w:right w:val="none" w:sz="0" w:space="0" w:color="auto"/>
      </w:divBdr>
      <w:divsChild>
        <w:div w:id="1540779453">
          <w:marLeft w:val="0"/>
          <w:marRight w:val="0"/>
          <w:marTop w:val="0"/>
          <w:marBottom w:val="0"/>
          <w:divBdr>
            <w:top w:val="none" w:sz="0" w:space="0" w:color="auto"/>
            <w:left w:val="none" w:sz="0" w:space="0" w:color="auto"/>
            <w:bottom w:val="none" w:sz="0" w:space="0" w:color="auto"/>
            <w:right w:val="none" w:sz="0" w:space="0" w:color="auto"/>
          </w:divBdr>
          <w:divsChild>
            <w:div w:id="125049743">
              <w:marLeft w:val="0"/>
              <w:marRight w:val="0"/>
              <w:marTop w:val="0"/>
              <w:marBottom w:val="0"/>
              <w:divBdr>
                <w:top w:val="none" w:sz="0" w:space="0" w:color="auto"/>
                <w:left w:val="none" w:sz="0" w:space="0" w:color="auto"/>
                <w:bottom w:val="none" w:sz="0" w:space="0" w:color="auto"/>
                <w:right w:val="none" w:sz="0" w:space="0" w:color="auto"/>
              </w:divBdr>
            </w:div>
            <w:div w:id="1243877924">
              <w:marLeft w:val="0"/>
              <w:marRight w:val="0"/>
              <w:marTop w:val="0"/>
              <w:marBottom w:val="0"/>
              <w:divBdr>
                <w:top w:val="none" w:sz="0" w:space="0" w:color="auto"/>
                <w:left w:val="none" w:sz="0" w:space="0" w:color="auto"/>
                <w:bottom w:val="none" w:sz="0" w:space="0" w:color="auto"/>
                <w:right w:val="none" w:sz="0" w:space="0" w:color="auto"/>
              </w:divBdr>
            </w:div>
            <w:div w:id="1937133859">
              <w:marLeft w:val="0"/>
              <w:marRight w:val="0"/>
              <w:marTop w:val="0"/>
              <w:marBottom w:val="0"/>
              <w:divBdr>
                <w:top w:val="none" w:sz="0" w:space="0" w:color="auto"/>
                <w:left w:val="none" w:sz="0" w:space="0" w:color="auto"/>
                <w:bottom w:val="none" w:sz="0" w:space="0" w:color="auto"/>
                <w:right w:val="none" w:sz="0" w:space="0" w:color="auto"/>
              </w:divBdr>
            </w:div>
          </w:divsChild>
        </w:div>
        <w:div w:id="657655151">
          <w:marLeft w:val="0"/>
          <w:marRight w:val="0"/>
          <w:marTop w:val="0"/>
          <w:marBottom w:val="0"/>
          <w:divBdr>
            <w:top w:val="none" w:sz="0" w:space="0" w:color="auto"/>
            <w:left w:val="none" w:sz="0" w:space="0" w:color="auto"/>
            <w:bottom w:val="none" w:sz="0" w:space="0" w:color="auto"/>
            <w:right w:val="none" w:sz="0" w:space="0" w:color="auto"/>
          </w:divBdr>
        </w:div>
        <w:div w:id="2100179548">
          <w:marLeft w:val="0"/>
          <w:marRight w:val="0"/>
          <w:marTop w:val="0"/>
          <w:marBottom w:val="0"/>
          <w:divBdr>
            <w:top w:val="none" w:sz="0" w:space="0" w:color="auto"/>
            <w:left w:val="none" w:sz="0" w:space="0" w:color="auto"/>
            <w:bottom w:val="none" w:sz="0" w:space="0" w:color="auto"/>
            <w:right w:val="none" w:sz="0" w:space="0" w:color="auto"/>
          </w:divBdr>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8c31bdba106345d49716f2afe2018de0" PartId="1c04eff917d44af5bb71306b0ae29f76">
    <Part Type="preambule" DocPartId="2d7ad97cd9f5482b85d82fbf37eec9b5" PartId="19ca90e7a78f4c85889d3b66d959aadc"/>
    <Part Type="pastraipa" DocPartId="f2fb21d494ea4bd7a6cae7928b2a96d1" PartId="b9d863f6b9404299ad7d1a10e37d3dcf"/>
    <Part Type="punktas" Nr="1" Abbr="1 p." DocPartId="b2365618473e426bbdb8fa62495d6bb8" PartId="92505724550d4ef490ed8e97789c20e3">
      <Part Type="citata" DocPartId="b49b9f06346d4effb28d23111bb81230" PartId="0549a1a5642940bba43ba901aaebc871">
        <Part Type="punktas" Nr="1" Abbr="1 p." DocPartId="c834648688f64bff87d1e2bc493cc161" PartId="515c9d0c4280425cbdb2765a2a61bd82"/>
      </Part>
    </Part>
    <Part Type="punktas" Nr="2" Abbr="2 p." DocPartId="24c4a6078e564c53b65f75cc9e2d9dfd" PartId="53dba64a7eae41e0b1b749e5f4335525"/>
    <Part Type="punktas" Nr="10" Abbr="10 p." Notes="Numeris ne iš eilės. Trūksta dalių? [DocDalys]" DocPartId="c5b0055e77cd4ba5b1ab578d1cb182a1" PartId="05483a1e54b34100ad22c604ffca368f"/>
    <Part Type="punktas" Nr="3" Abbr="3 p." Notes="Numeris ne iš eilės. Trūksta dalių? [DocDalys]" DocPartId="f8fb7e80d20a4ef2810fdbc973fd37ef" PartId="fb39be4b3f4e42f6adddafd3ea3f607f">
      <Part Type="citata" DocPartId="0775909f2763476f9a9b9ee06d6c6ac7" PartId="14b46ddaa92e4c008bc04600dc3f3a55">
        <Part Type="punktas" Nr="14" Abbr="14 p." DocPartId="8c60ef80ada34e6187433549a91f3f85" PartId="6e20ebedfd92498ca94d5ed9c35f72fa"/>
      </Part>
    </Part>
    <Part Type="signatura" DocPartId="acba5356a4644028a6823c7d8a7da0fd" PartId="63a2bd9d71334697bfd08ce14a964071"/>
  </Part>
</Parts>
</file>

<file path=customXml/itemProps1.xml><?xml version="1.0" encoding="utf-8"?>
<ds:datastoreItem xmlns:ds="http://schemas.openxmlformats.org/officeDocument/2006/customXml" ds:itemID="{5286F515-C74F-48E0-A7E1-2AEDDFE41E07}">
  <ds:schemaRefs>
    <ds:schemaRef ds:uri="http://schemas.microsoft.com/sharepoint/v3/contenttype/forms"/>
  </ds:schemaRefs>
</ds:datastoreItem>
</file>

<file path=customXml/itemProps2.xml><?xml version="1.0" encoding="utf-8"?>
<ds:datastoreItem xmlns:ds="http://schemas.openxmlformats.org/officeDocument/2006/customXml" ds:itemID="{AC541A9B-45CE-4657-985D-3F94053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DE68B1-64D5-49D1-9C30-07B0CF6BC6F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0F1BFDC-38DD-4B0F-8DAA-B9AF05593FF0}">
  <ds:schemaRefs>
    <ds:schemaRef ds:uri="http://schemas.openxmlformats.org/officeDocument/2006/bibliography"/>
  </ds:schemaRefs>
</ds:datastoreItem>
</file>

<file path=customXml/itemProps5.xml><?xml version="1.0" encoding="utf-8"?>
<ds:datastoreItem xmlns:ds="http://schemas.openxmlformats.org/officeDocument/2006/customXml" ds:itemID="{74DB08A3-4FA3-48E4-883F-36446B9A084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2389</Characters>
  <Application>Microsoft Office Word</Application>
  <DocSecurity>4</DocSecurity>
  <Lines>61</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2022-01-04T13:06:00Z</dcterms:created>
  <dc:creator>lrvk</dc:creator>
  <cp:lastModifiedBy>adlibuser</cp:lastModifiedBy>
  <cp:lastPrinted>2020-10-05T07:58:00Z</cp:lastPrinted>
  <dcterms:modified xsi:type="dcterms:W3CDTF">2022-01-04T13:06:00Z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