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E3" w:rsidRDefault="00F355E3" w:rsidP="00F355E3">
      <w:pPr>
        <w:pStyle w:val="Pagrindiniotekstotrauka"/>
        <w:jc w:val="center"/>
        <w:rPr>
          <w:b/>
        </w:rPr>
      </w:pPr>
      <w:bookmarkStart w:id="0" w:name="_GoBack"/>
      <w:bookmarkEnd w:id="0"/>
      <w:r>
        <w:rPr>
          <w:b/>
        </w:rPr>
        <w:t xml:space="preserve">DIREKTYVOS 2013/34/ES </w:t>
      </w:r>
      <w:r w:rsidR="000A0A0F" w:rsidRPr="000A0A0F">
        <w:rPr>
          <w:b/>
          <w:color w:val="000000"/>
          <w:szCs w:val="24"/>
          <w:lang w:eastAsia="lt-LT"/>
        </w:rPr>
        <w:t xml:space="preserve">7 </w:t>
      </w:r>
      <w:r w:rsidR="000A0A0F">
        <w:rPr>
          <w:b/>
          <w:color w:val="000000"/>
          <w:szCs w:val="24"/>
          <w:lang w:eastAsia="lt-LT"/>
        </w:rPr>
        <w:t>STRAIPSNIO</w:t>
      </w:r>
      <w:r w:rsidR="000A0A0F" w:rsidRPr="000A0A0F">
        <w:rPr>
          <w:b/>
          <w:color w:val="000000"/>
          <w:szCs w:val="24"/>
          <w:lang w:eastAsia="lt-LT"/>
        </w:rPr>
        <w:t xml:space="preserve"> 2 </w:t>
      </w:r>
      <w:r w:rsidR="000A0A0F">
        <w:rPr>
          <w:b/>
          <w:color w:val="000000"/>
          <w:szCs w:val="24"/>
          <w:lang w:eastAsia="lt-LT"/>
        </w:rPr>
        <w:t>DALIES</w:t>
      </w:r>
      <w:r w:rsidR="003A3A71">
        <w:rPr>
          <w:b/>
          <w:color w:val="000000"/>
          <w:szCs w:val="24"/>
          <w:lang w:eastAsia="lt-LT"/>
        </w:rPr>
        <w:t xml:space="preserve"> </w:t>
      </w:r>
      <w:r w:rsidR="00845781">
        <w:rPr>
          <w:b/>
          <w:color w:val="000000"/>
          <w:szCs w:val="24"/>
          <w:lang w:eastAsia="lt-LT"/>
        </w:rPr>
        <w:t>ANTROS</w:t>
      </w:r>
      <w:r w:rsidR="00B70FD5">
        <w:rPr>
          <w:b/>
          <w:color w:val="000000"/>
          <w:szCs w:val="24"/>
          <w:lang w:eastAsia="lt-LT"/>
        </w:rPr>
        <w:t xml:space="preserve"> IR</w:t>
      </w:r>
      <w:r w:rsidR="00845781">
        <w:rPr>
          <w:b/>
          <w:color w:val="000000"/>
          <w:szCs w:val="24"/>
          <w:lang w:eastAsia="lt-LT"/>
        </w:rPr>
        <w:t xml:space="preserve"> </w:t>
      </w:r>
      <w:r w:rsidR="003A3A71">
        <w:rPr>
          <w:b/>
        </w:rPr>
        <w:t>TREČIOS PASTRAIP</w:t>
      </w:r>
      <w:r w:rsidR="00845781">
        <w:rPr>
          <w:b/>
        </w:rPr>
        <w:t>Ų</w:t>
      </w:r>
      <w:r w:rsidR="000A0A0F" w:rsidRPr="000A0A0F">
        <w:rPr>
          <w:b/>
          <w:color w:val="000000"/>
          <w:szCs w:val="24"/>
          <w:lang w:eastAsia="lt-LT"/>
        </w:rPr>
        <w:t>,</w:t>
      </w:r>
      <w:r w:rsidR="000A0A0F" w:rsidRPr="000A0A0F">
        <w:rPr>
          <w:b/>
        </w:rPr>
        <w:t xml:space="preserve"> </w:t>
      </w:r>
      <w:r w:rsidR="000A0A0F" w:rsidRPr="000A0A0F">
        <w:rPr>
          <w:b/>
          <w:iCs/>
          <w:color w:val="000000"/>
          <w:szCs w:val="24"/>
          <w:lang w:eastAsia="lt-LT"/>
        </w:rPr>
        <w:t xml:space="preserve">12 </w:t>
      </w:r>
      <w:r w:rsidR="000A0A0F">
        <w:rPr>
          <w:b/>
          <w:iCs/>
          <w:color w:val="000000"/>
          <w:szCs w:val="24"/>
          <w:lang w:eastAsia="lt-LT"/>
        </w:rPr>
        <w:t>STRAIPSNIO</w:t>
      </w:r>
      <w:r w:rsidR="000A0A0F" w:rsidRPr="000A0A0F">
        <w:rPr>
          <w:b/>
          <w:iCs/>
          <w:color w:val="000000"/>
          <w:szCs w:val="24"/>
          <w:lang w:eastAsia="lt-LT"/>
        </w:rPr>
        <w:t xml:space="preserve"> 11</w:t>
      </w:r>
      <w:r w:rsidR="00AC10A0">
        <w:rPr>
          <w:b/>
          <w:iCs/>
          <w:color w:val="000000"/>
          <w:szCs w:val="24"/>
          <w:lang w:eastAsia="lt-LT"/>
        </w:rPr>
        <w:t> </w:t>
      </w:r>
      <w:r w:rsidR="000A0A0F">
        <w:rPr>
          <w:b/>
          <w:iCs/>
          <w:color w:val="000000"/>
          <w:szCs w:val="24"/>
          <w:lang w:eastAsia="lt-LT"/>
        </w:rPr>
        <w:t>DALIES</w:t>
      </w:r>
      <w:r w:rsidR="003A3A71">
        <w:rPr>
          <w:b/>
          <w:iCs/>
          <w:color w:val="000000"/>
          <w:szCs w:val="24"/>
          <w:lang w:eastAsia="lt-LT"/>
        </w:rPr>
        <w:t xml:space="preserve"> TREČIOS PASTRAIPOS</w:t>
      </w:r>
      <w:r w:rsidR="000A0A0F" w:rsidRPr="000A0A0F">
        <w:rPr>
          <w:b/>
          <w:iCs/>
          <w:color w:val="000000"/>
          <w:szCs w:val="24"/>
          <w:lang w:eastAsia="lt-LT"/>
        </w:rPr>
        <w:t>,</w:t>
      </w:r>
      <w:r w:rsidR="000A0A0F">
        <w:rPr>
          <w:iCs/>
          <w:color w:val="000000"/>
          <w:szCs w:val="24"/>
          <w:lang w:eastAsia="lt-LT"/>
        </w:rPr>
        <w:t xml:space="preserve"> </w:t>
      </w:r>
      <w:r>
        <w:rPr>
          <w:b/>
        </w:rPr>
        <w:t>42</w:t>
      </w:r>
      <w:r w:rsidR="003A3A71">
        <w:rPr>
          <w:b/>
        </w:rPr>
        <w:t> </w:t>
      </w:r>
      <w:r>
        <w:rPr>
          <w:b/>
        </w:rPr>
        <w:t>STRAIPSNIO 2 DALIES, 44 STRAIPSNIO 2 DALIES IR LIETUVOS RESPUBLIKOS NACIONALINIŲ TEISĖS AKTŲ ATITIKTIES LENTELĖ</w:t>
      </w:r>
    </w:p>
    <w:p w:rsidR="00F355E3" w:rsidRDefault="00F355E3" w:rsidP="00F355E3">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3868"/>
        <w:gridCol w:w="1640"/>
      </w:tblGrid>
      <w:tr w:rsidR="00F355E3" w:rsidTr="00F355E3">
        <w:tc>
          <w:tcPr>
            <w:tcW w:w="4320" w:type="dxa"/>
            <w:tcBorders>
              <w:top w:val="single" w:sz="4" w:space="0" w:color="auto"/>
              <w:left w:val="single" w:sz="4" w:space="0" w:color="auto"/>
              <w:bottom w:val="single" w:sz="4" w:space="0" w:color="auto"/>
              <w:right w:val="single" w:sz="4" w:space="0" w:color="auto"/>
            </w:tcBorders>
            <w:hideMark/>
          </w:tcPr>
          <w:p w:rsidR="00F355E3" w:rsidRDefault="00F355E3">
            <w:pPr>
              <w:jc w:val="both"/>
              <w:rPr>
                <w:b/>
                <w:szCs w:val="24"/>
              </w:rPr>
            </w:pPr>
            <w:r>
              <w:rPr>
                <w:b/>
                <w:szCs w:val="24"/>
              </w:rPr>
              <w:t>2013 m. birželio 26 d. Europos Parlamento ir Tarybos direktyva 2013/34/ES dėl tam tikrų rūšių įmonių metinių finansinių ataskaitų, konsoliduotųjų finansinių ataskaitų ir susijusių pranešimų, kuria iš dalies keičiama Europos Parlamento ir Tarybos direktyva 2006/43/EB ir panaikinamos Tarybos direktyvos 78/660/EEB ir 83/349/EEB</w:t>
            </w:r>
          </w:p>
        </w:tc>
        <w:tc>
          <w:tcPr>
            <w:tcW w:w="3868" w:type="dxa"/>
            <w:tcBorders>
              <w:top w:val="single" w:sz="4" w:space="0" w:color="auto"/>
              <w:left w:val="single" w:sz="4" w:space="0" w:color="auto"/>
              <w:bottom w:val="single" w:sz="4" w:space="0" w:color="auto"/>
              <w:right w:val="single" w:sz="4" w:space="0" w:color="auto"/>
            </w:tcBorders>
            <w:hideMark/>
          </w:tcPr>
          <w:p w:rsidR="00F355E3" w:rsidRDefault="00F355E3" w:rsidP="00FF730D">
            <w:pPr>
              <w:pStyle w:val="pavadinimas1"/>
              <w:spacing w:before="0" w:beforeAutospacing="0" w:after="0" w:afterAutospacing="0"/>
              <w:jc w:val="both"/>
              <w:rPr>
                <w:b/>
                <w:bCs/>
              </w:rPr>
            </w:pPr>
            <w:r>
              <w:rPr>
                <w:b/>
              </w:rPr>
              <w:t xml:space="preserve">Lietuvos Respublikos įmonių finansinės atskaitomybės įstatymo Nr. IX-575 </w:t>
            </w:r>
            <w:r w:rsidR="00643393">
              <w:rPr>
                <w:b/>
              </w:rPr>
              <w:t xml:space="preserve">pavadinimo, </w:t>
            </w:r>
            <w:r w:rsidR="009E6707">
              <w:rPr>
                <w:b/>
              </w:rPr>
              <w:t xml:space="preserve">2, </w:t>
            </w:r>
            <w:r>
              <w:rPr>
                <w:b/>
              </w:rPr>
              <w:t>3,</w:t>
            </w:r>
            <w:r w:rsidR="00011F15">
              <w:rPr>
                <w:b/>
              </w:rPr>
              <w:t xml:space="preserve"> 4,</w:t>
            </w:r>
            <w:r>
              <w:rPr>
                <w:b/>
              </w:rPr>
              <w:t xml:space="preserve"> 16, 17, </w:t>
            </w:r>
            <w:r w:rsidR="005D26EE">
              <w:rPr>
                <w:b/>
              </w:rPr>
              <w:t xml:space="preserve">19, </w:t>
            </w:r>
            <w:r w:rsidR="00011F15">
              <w:rPr>
                <w:b/>
              </w:rPr>
              <w:t xml:space="preserve">20, </w:t>
            </w:r>
            <w:r w:rsidR="00335F44">
              <w:rPr>
                <w:b/>
              </w:rPr>
              <w:t xml:space="preserve">21, </w:t>
            </w:r>
            <w:r w:rsidR="00275E9A">
              <w:rPr>
                <w:b/>
              </w:rPr>
              <w:t xml:space="preserve">22, </w:t>
            </w:r>
            <w:r w:rsidR="00835323">
              <w:rPr>
                <w:b/>
              </w:rPr>
              <w:t xml:space="preserve">23, </w:t>
            </w:r>
            <w:r w:rsidR="00275E9A">
              <w:rPr>
                <w:b/>
              </w:rPr>
              <w:t>23</w:t>
            </w:r>
            <w:r w:rsidR="00275E9A" w:rsidRPr="002F2BDD">
              <w:rPr>
                <w:b/>
                <w:vertAlign w:val="superscript"/>
              </w:rPr>
              <w:t>2</w:t>
            </w:r>
            <w:r w:rsidR="00275E9A">
              <w:rPr>
                <w:b/>
              </w:rPr>
              <w:t xml:space="preserve">, </w:t>
            </w:r>
            <w:r w:rsidR="00011F15">
              <w:rPr>
                <w:b/>
              </w:rPr>
              <w:t>23</w:t>
            </w:r>
            <w:r w:rsidR="00011F15" w:rsidRPr="00011F15">
              <w:rPr>
                <w:b/>
                <w:vertAlign w:val="superscript"/>
              </w:rPr>
              <w:t>3</w:t>
            </w:r>
            <w:r w:rsidR="00011F15">
              <w:rPr>
                <w:b/>
              </w:rPr>
              <w:t xml:space="preserve">, </w:t>
            </w:r>
            <w:r>
              <w:rPr>
                <w:b/>
              </w:rPr>
              <w:t xml:space="preserve">25, </w:t>
            </w:r>
            <w:r w:rsidR="00275E9A">
              <w:rPr>
                <w:b/>
              </w:rPr>
              <w:t xml:space="preserve">26, </w:t>
            </w:r>
            <w:r w:rsidR="00572FD3">
              <w:rPr>
                <w:b/>
              </w:rPr>
              <w:t xml:space="preserve">28, </w:t>
            </w:r>
            <w:r>
              <w:rPr>
                <w:b/>
              </w:rPr>
              <w:t>29 straipsnių</w:t>
            </w:r>
            <w:r w:rsidR="00335F44">
              <w:rPr>
                <w:b/>
              </w:rPr>
              <w:t>, ketvirtojo skirsnio pavadinimo</w:t>
            </w:r>
            <w:r w:rsidR="0011391B">
              <w:rPr>
                <w:b/>
              </w:rPr>
              <w:t xml:space="preserve"> </w:t>
            </w:r>
            <w:r w:rsidR="00011F15">
              <w:rPr>
                <w:b/>
              </w:rPr>
              <w:t xml:space="preserve">ir priedo </w:t>
            </w:r>
            <w:r>
              <w:rPr>
                <w:b/>
              </w:rPr>
              <w:t>pakeitimo</w:t>
            </w:r>
            <w:r w:rsidR="0083454E">
              <w:rPr>
                <w:b/>
              </w:rPr>
              <w:t>, Įstatymo papildymo 3</w:t>
            </w:r>
            <w:r w:rsidR="0083454E" w:rsidRPr="0083454E">
              <w:rPr>
                <w:b/>
                <w:vertAlign w:val="superscript"/>
              </w:rPr>
              <w:t xml:space="preserve">1 </w:t>
            </w:r>
            <w:r w:rsidR="0083454E">
              <w:rPr>
                <w:b/>
              </w:rPr>
              <w:t>straipsniu</w:t>
            </w:r>
            <w:r>
              <w:rPr>
                <w:b/>
              </w:rPr>
              <w:t xml:space="preserve"> ir trečiojo skirsnio pripažinimo netekusiu galios įstatymo projektas</w:t>
            </w:r>
            <w:r>
              <w:rPr>
                <w:b/>
                <w:bCs/>
              </w:rPr>
              <w:t xml:space="preserve"> (toliau – ĮFAĮ projektas)</w:t>
            </w:r>
          </w:p>
          <w:p w:rsidR="00F355E3" w:rsidRDefault="00F355E3" w:rsidP="0011391B">
            <w:pPr>
              <w:pStyle w:val="pavadinimas1"/>
              <w:spacing w:before="0" w:beforeAutospacing="0" w:after="0" w:afterAutospacing="0"/>
              <w:jc w:val="both"/>
              <w:rPr>
                <w:b/>
                <w:bCs/>
              </w:rPr>
            </w:pPr>
            <w:r>
              <w:rPr>
                <w:b/>
              </w:rPr>
              <w:t xml:space="preserve">Lietuvos Respublikos įmonių grupių konsoliduotosios finansinės atskaitomybės įstatymo Nr. IX-576 </w:t>
            </w:r>
            <w:r w:rsidR="00643393">
              <w:rPr>
                <w:b/>
              </w:rPr>
              <w:t xml:space="preserve">pavadinimo, </w:t>
            </w:r>
            <w:r>
              <w:rPr>
                <w:b/>
              </w:rPr>
              <w:t xml:space="preserve">3, </w:t>
            </w:r>
            <w:r w:rsidR="00A74B1D">
              <w:rPr>
                <w:b/>
              </w:rPr>
              <w:t xml:space="preserve">8, </w:t>
            </w:r>
            <w:r>
              <w:rPr>
                <w:b/>
              </w:rPr>
              <w:t xml:space="preserve">9, </w:t>
            </w:r>
            <w:r w:rsidR="00C815E8">
              <w:rPr>
                <w:b/>
              </w:rPr>
              <w:t xml:space="preserve">10, </w:t>
            </w:r>
            <w:r w:rsidR="00032E8A">
              <w:rPr>
                <w:b/>
              </w:rPr>
              <w:t>10</w:t>
            </w:r>
            <w:r w:rsidR="00032E8A" w:rsidRPr="00032E8A">
              <w:rPr>
                <w:b/>
                <w:vertAlign w:val="superscript"/>
              </w:rPr>
              <w:t>1</w:t>
            </w:r>
            <w:r w:rsidR="00032E8A">
              <w:rPr>
                <w:b/>
              </w:rPr>
              <w:t xml:space="preserve">, </w:t>
            </w:r>
            <w:r>
              <w:rPr>
                <w:b/>
              </w:rPr>
              <w:t>12</w:t>
            </w:r>
            <w:r w:rsidR="00ED3829">
              <w:rPr>
                <w:b/>
              </w:rPr>
              <w:t>,</w:t>
            </w:r>
            <w:r>
              <w:rPr>
                <w:b/>
              </w:rPr>
              <w:t xml:space="preserve"> 15 straipsnių</w:t>
            </w:r>
            <w:r w:rsidR="00335F44">
              <w:rPr>
                <w:b/>
              </w:rPr>
              <w:t>, ketvirtojo skirsnio pavadinimo</w:t>
            </w:r>
            <w:r w:rsidR="00441A94">
              <w:rPr>
                <w:b/>
              </w:rPr>
              <w:t xml:space="preserve"> </w:t>
            </w:r>
            <w:r w:rsidR="00ED3829">
              <w:rPr>
                <w:b/>
              </w:rPr>
              <w:t xml:space="preserve">ir priedo </w:t>
            </w:r>
            <w:r>
              <w:rPr>
                <w:b/>
              </w:rPr>
              <w:t>pakeitimo įstatymo projektas</w:t>
            </w:r>
            <w:r>
              <w:rPr>
                <w:b/>
                <w:bCs/>
              </w:rPr>
              <w:t xml:space="preserve"> (toliau – ĮGKFAĮ projektas)</w:t>
            </w:r>
          </w:p>
          <w:p w:rsidR="00D61471" w:rsidRDefault="00807CCC" w:rsidP="00807CCC">
            <w:pPr>
              <w:pStyle w:val="pavadinimas1"/>
              <w:spacing w:before="0" w:beforeAutospacing="0" w:after="0" w:afterAutospacing="0"/>
              <w:jc w:val="both"/>
              <w:rPr>
                <w:rFonts w:cs="Times New (W1)"/>
                <w:b/>
                <w:bCs/>
              </w:rPr>
            </w:pPr>
            <w:r>
              <w:rPr>
                <w:b/>
                <w:bCs/>
              </w:rPr>
              <w:t xml:space="preserve">Lietuvos Respublikos akcinių bendrovių įstatymo Nr. </w:t>
            </w:r>
            <w:r w:rsidRPr="009B10D2">
              <w:rPr>
                <w:b/>
              </w:rPr>
              <w:t>IX-</w:t>
            </w:r>
            <w:r>
              <w:rPr>
                <w:b/>
              </w:rPr>
              <w:t>751</w:t>
            </w:r>
            <w:r w:rsidR="00684AF8">
              <w:rPr>
                <w:b/>
              </w:rPr>
              <w:t> </w:t>
            </w:r>
            <w:r w:rsidR="00694FD7">
              <w:rPr>
                <w:b/>
              </w:rPr>
              <w:t xml:space="preserve">20, </w:t>
            </w:r>
            <w:r w:rsidR="00684AF8">
              <w:rPr>
                <w:b/>
              </w:rPr>
              <w:t>37</w:t>
            </w:r>
            <w:r w:rsidR="00684AF8" w:rsidRPr="00684AF8">
              <w:rPr>
                <w:b/>
                <w:vertAlign w:val="superscript"/>
              </w:rPr>
              <w:t>2</w:t>
            </w:r>
            <w:r w:rsidR="00684AF8">
              <w:rPr>
                <w:b/>
              </w:rPr>
              <w:t xml:space="preserve">, </w:t>
            </w:r>
            <w:r>
              <w:rPr>
                <w:b/>
              </w:rPr>
              <w:t>39, 47</w:t>
            </w:r>
            <w:r w:rsidRPr="00AF34B5">
              <w:rPr>
                <w:b/>
                <w:vertAlign w:val="superscript"/>
              </w:rPr>
              <w:t>2</w:t>
            </w:r>
            <w:r>
              <w:rPr>
                <w:b/>
              </w:rPr>
              <w:t xml:space="preserve">, </w:t>
            </w:r>
            <w:r w:rsidR="00694FD7">
              <w:rPr>
                <w:b/>
              </w:rPr>
              <w:t xml:space="preserve">58, </w:t>
            </w:r>
            <w:r>
              <w:rPr>
                <w:b/>
              </w:rPr>
              <w:t>59</w:t>
            </w:r>
            <w:r w:rsidR="00684AF8">
              <w:rPr>
                <w:b/>
              </w:rPr>
              <w:t xml:space="preserve">, 63, </w:t>
            </w:r>
            <w:r w:rsidR="00A1445D">
              <w:rPr>
                <w:b/>
              </w:rPr>
              <w:t xml:space="preserve">74, </w:t>
            </w:r>
            <w:r w:rsidR="00684AF8">
              <w:rPr>
                <w:b/>
              </w:rPr>
              <w:t>76</w:t>
            </w:r>
            <w:r>
              <w:rPr>
                <w:b/>
              </w:rPr>
              <w:t xml:space="preserve"> straipsnių ir priedo pakeitimo įstatymo projektas (toliau – ABĮ projektas)</w:t>
            </w:r>
          </w:p>
        </w:tc>
        <w:tc>
          <w:tcPr>
            <w:tcW w:w="1640" w:type="dxa"/>
            <w:tcBorders>
              <w:top w:val="single" w:sz="4" w:space="0" w:color="auto"/>
              <w:left w:val="single" w:sz="4" w:space="0" w:color="auto"/>
              <w:bottom w:val="single" w:sz="4" w:space="0" w:color="auto"/>
              <w:right w:val="single" w:sz="4" w:space="0" w:color="auto"/>
            </w:tcBorders>
          </w:tcPr>
          <w:p w:rsidR="00F355E3" w:rsidRDefault="00F355E3">
            <w:pPr>
              <w:rPr>
                <w:b/>
                <w:szCs w:val="24"/>
              </w:rPr>
            </w:pPr>
            <w:r>
              <w:rPr>
                <w:b/>
                <w:szCs w:val="24"/>
              </w:rPr>
              <w:t>Direktyvos perkėlimo lygis</w:t>
            </w:r>
          </w:p>
          <w:p w:rsidR="00F355E3" w:rsidRDefault="00F355E3">
            <w:pPr>
              <w:rPr>
                <w:szCs w:val="24"/>
              </w:rPr>
            </w:pPr>
          </w:p>
        </w:tc>
      </w:tr>
      <w:tr w:rsidR="00D61471" w:rsidTr="00F355E3">
        <w:tc>
          <w:tcPr>
            <w:tcW w:w="4320" w:type="dxa"/>
            <w:tcBorders>
              <w:top w:val="single" w:sz="4" w:space="0" w:color="auto"/>
              <w:left w:val="single" w:sz="4" w:space="0" w:color="auto"/>
              <w:bottom w:val="single" w:sz="4" w:space="0" w:color="auto"/>
              <w:right w:val="single" w:sz="4" w:space="0" w:color="auto"/>
            </w:tcBorders>
          </w:tcPr>
          <w:p w:rsidR="00D61471" w:rsidRPr="00217885" w:rsidRDefault="00D61471" w:rsidP="00D61471">
            <w:pPr>
              <w:jc w:val="both"/>
              <w:rPr>
                <w:b/>
                <w:szCs w:val="24"/>
              </w:rPr>
            </w:pPr>
            <w:r w:rsidRPr="00217885">
              <w:rPr>
                <w:b/>
                <w:szCs w:val="24"/>
              </w:rPr>
              <w:t>7 straipsnis. Alternatyvus ilgalaikio turto vertinimas perkainota verte</w:t>
            </w:r>
          </w:p>
          <w:p w:rsidR="00D61471" w:rsidRDefault="00D61471" w:rsidP="00D61471">
            <w:pPr>
              <w:jc w:val="both"/>
              <w:rPr>
                <w:iCs/>
                <w:szCs w:val="24"/>
              </w:rPr>
            </w:pPr>
            <w:r w:rsidRPr="00D61471">
              <w:rPr>
                <w:iCs/>
                <w:szCs w:val="24"/>
              </w:rPr>
              <w:t>2. &lt;...&gt;</w:t>
            </w:r>
          </w:p>
          <w:p w:rsidR="005D4DA5" w:rsidRPr="00217885" w:rsidRDefault="005D4DA5" w:rsidP="005D4DA5">
            <w:pPr>
              <w:jc w:val="both"/>
              <w:rPr>
                <w:szCs w:val="24"/>
              </w:rPr>
            </w:pPr>
            <w:r w:rsidRPr="00217885">
              <w:rPr>
                <w:szCs w:val="24"/>
              </w:rPr>
              <w:t>Visas perkainojimo rezervas arba jo dalis bet kuriuo metu gali būti kapitalizuotas.</w:t>
            </w:r>
          </w:p>
          <w:p w:rsidR="00D61471" w:rsidRDefault="00D61471" w:rsidP="00FE52DD">
            <w:pPr>
              <w:jc w:val="both"/>
              <w:rPr>
                <w:szCs w:val="24"/>
              </w:rPr>
            </w:pPr>
            <w:r>
              <w:rPr>
                <w:szCs w:val="24"/>
              </w:rPr>
              <w:t>&lt;...&gt;</w:t>
            </w:r>
          </w:p>
          <w:p w:rsidR="00B70FD5" w:rsidRDefault="00EE5F47" w:rsidP="00B70FD5">
            <w:pPr>
              <w:jc w:val="both"/>
              <w:rPr>
                <w:szCs w:val="24"/>
              </w:rPr>
            </w:pPr>
            <w:r w:rsidRPr="00EE5F47">
              <w:rPr>
                <w:szCs w:val="24"/>
              </w:rPr>
              <w:t>Jokios perkainojimo rezervo dalies nei tiesiogiai, nei netiesiogiai paskirstyti negalima, nebent ta dalis būtų lygi faktiškai realizuotam pelnui.</w:t>
            </w:r>
          </w:p>
          <w:p w:rsidR="00EE5F47" w:rsidRDefault="00EE5F47" w:rsidP="009217D2">
            <w:pPr>
              <w:jc w:val="both"/>
              <w:rPr>
                <w:b/>
                <w:szCs w:val="24"/>
              </w:rPr>
            </w:pPr>
            <w:r>
              <w:rPr>
                <w:szCs w:val="24"/>
              </w:rPr>
              <w:t>&lt;...&gt;</w:t>
            </w:r>
          </w:p>
        </w:tc>
        <w:tc>
          <w:tcPr>
            <w:tcW w:w="3868" w:type="dxa"/>
            <w:tcBorders>
              <w:top w:val="single" w:sz="4" w:space="0" w:color="auto"/>
              <w:left w:val="single" w:sz="4" w:space="0" w:color="auto"/>
              <w:bottom w:val="single" w:sz="4" w:space="0" w:color="auto"/>
              <w:right w:val="single" w:sz="4" w:space="0" w:color="auto"/>
            </w:tcBorders>
          </w:tcPr>
          <w:p w:rsidR="00D61471" w:rsidRDefault="00807CCC" w:rsidP="00FF730D">
            <w:pPr>
              <w:pStyle w:val="pavadinimas1"/>
              <w:spacing w:before="0" w:beforeAutospacing="0" w:after="0" w:afterAutospacing="0"/>
              <w:jc w:val="both"/>
              <w:rPr>
                <w:b/>
              </w:rPr>
            </w:pPr>
            <w:r>
              <w:rPr>
                <w:b/>
              </w:rPr>
              <w:t>ABĮ projektas</w:t>
            </w:r>
          </w:p>
          <w:p w:rsidR="00807CCC" w:rsidRDefault="002969EE" w:rsidP="00807CCC">
            <w:pPr>
              <w:jc w:val="both"/>
              <w:rPr>
                <w:b/>
              </w:rPr>
            </w:pPr>
            <w:r>
              <w:rPr>
                <w:b/>
              </w:rPr>
              <w:t>3</w:t>
            </w:r>
            <w:r w:rsidR="00807CCC">
              <w:rPr>
                <w:b/>
              </w:rPr>
              <w:t xml:space="preserve"> straipsnis. 39 straipsnio pakeitimas</w:t>
            </w:r>
          </w:p>
          <w:p w:rsidR="00807CCC" w:rsidRDefault="00807CCC" w:rsidP="00807CCC">
            <w:pPr>
              <w:jc w:val="both"/>
            </w:pPr>
            <w:r w:rsidRPr="00172290">
              <w:t xml:space="preserve">Pakeisti </w:t>
            </w:r>
            <w:r>
              <w:t>39</w:t>
            </w:r>
            <w:r w:rsidRPr="00172290">
              <w:t xml:space="preserve"> s</w:t>
            </w:r>
            <w:r>
              <w:t>traipsnio 7 dalį ir ją išdėstyti taip:</w:t>
            </w:r>
          </w:p>
          <w:p w:rsidR="00807CCC" w:rsidRDefault="005D523E" w:rsidP="00132A61">
            <w:pPr>
              <w:jc w:val="both"/>
              <w:rPr>
                <w:b/>
              </w:rPr>
            </w:pPr>
            <w:r>
              <w:rPr>
                <w:sz w:val="22"/>
                <w:szCs w:val="22"/>
              </w:rPr>
              <w:t>„</w:t>
            </w:r>
            <w:r w:rsidRPr="004A5F18">
              <w:rPr>
                <w:szCs w:val="24"/>
              </w:rPr>
              <w:t>7</w:t>
            </w:r>
            <w:r w:rsidRPr="00DF78CD">
              <w:rPr>
                <w:szCs w:val="24"/>
              </w:rPr>
              <w:t>. Perkainojimo</w:t>
            </w:r>
            <w:r w:rsidRPr="0068238A">
              <w:t xml:space="preserve"> rezervas – ilgalaikio materialiojo turto</w:t>
            </w:r>
            <w:r w:rsidR="00DF6FE8">
              <w:t>, nematerialiojo turto</w:t>
            </w:r>
            <w:r w:rsidRPr="0068238A">
              <w:t xml:space="preserve"> ir finansinio turto vertės padidėjimo </w:t>
            </w:r>
            <w:r w:rsidRPr="00AE2695">
              <w:t>(sumažėjimo)</w:t>
            </w:r>
            <w:r>
              <w:t xml:space="preserve"> </w:t>
            </w:r>
            <w:r w:rsidRPr="0068238A">
              <w:t>suma, gauta perkainojus turtą</w:t>
            </w:r>
            <w:r w:rsidR="0010093C" w:rsidRPr="003D26ED">
              <w:t xml:space="preserve"> pagal taikomus finansinės atskaitomybės standartus</w:t>
            </w:r>
            <w:r w:rsidRPr="0068238A">
              <w:t>.</w:t>
            </w:r>
            <w:r w:rsidR="00B70FD5">
              <w:t xml:space="preserve"> </w:t>
            </w:r>
            <w:r w:rsidR="00B70FD5" w:rsidRPr="0068238A">
              <w:t xml:space="preserve">Perkainojimo rezervu arba jo dalimi gali būti didinamas įstatinis kapitalas. </w:t>
            </w:r>
            <w:r w:rsidR="00132A61">
              <w:t>P</w:t>
            </w:r>
            <w:r w:rsidR="00B70FD5" w:rsidRPr="0068238A">
              <w:t xml:space="preserve">erkainojimo rezervo </w:t>
            </w:r>
            <w:r w:rsidR="00B70FD5" w:rsidRPr="00AE2695">
              <w:rPr>
                <w:szCs w:val="24"/>
              </w:rPr>
              <w:t>nei tiesiogiai, nei netiesiogiai</w:t>
            </w:r>
            <w:r w:rsidR="00132A61">
              <w:rPr>
                <w:szCs w:val="24"/>
              </w:rPr>
              <w:t xml:space="preserve"> paskirstyti negalima</w:t>
            </w:r>
            <w:r w:rsidR="00B70FD5" w:rsidRPr="0068238A">
              <w:t>.</w:t>
            </w:r>
            <w:r>
              <w:t>“</w:t>
            </w:r>
          </w:p>
        </w:tc>
        <w:tc>
          <w:tcPr>
            <w:tcW w:w="1640" w:type="dxa"/>
            <w:tcBorders>
              <w:top w:val="single" w:sz="4" w:space="0" w:color="auto"/>
              <w:left w:val="single" w:sz="4" w:space="0" w:color="auto"/>
              <w:bottom w:val="single" w:sz="4" w:space="0" w:color="auto"/>
              <w:right w:val="single" w:sz="4" w:space="0" w:color="auto"/>
            </w:tcBorders>
          </w:tcPr>
          <w:p w:rsidR="00D61471" w:rsidRPr="00956115" w:rsidRDefault="00D61471">
            <w:pPr>
              <w:rPr>
                <w:szCs w:val="24"/>
              </w:rPr>
            </w:pPr>
            <w:r w:rsidRPr="00956115">
              <w:rPr>
                <w:szCs w:val="24"/>
              </w:rPr>
              <w:t>Visiškas</w:t>
            </w:r>
          </w:p>
        </w:tc>
      </w:tr>
      <w:tr w:rsidR="00AC10A0" w:rsidTr="00F355E3">
        <w:tc>
          <w:tcPr>
            <w:tcW w:w="4320" w:type="dxa"/>
            <w:tcBorders>
              <w:top w:val="single" w:sz="4" w:space="0" w:color="auto"/>
              <w:left w:val="single" w:sz="4" w:space="0" w:color="auto"/>
              <w:bottom w:val="single" w:sz="4" w:space="0" w:color="auto"/>
              <w:right w:val="single" w:sz="4" w:space="0" w:color="auto"/>
            </w:tcBorders>
          </w:tcPr>
          <w:p w:rsidR="009B5998" w:rsidRDefault="009B5998" w:rsidP="009B5998">
            <w:pPr>
              <w:jc w:val="both"/>
              <w:rPr>
                <w:b/>
                <w:bCs/>
                <w:szCs w:val="24"/>
              </w:rPr>
            </w:pPr>
            <w:r w:rsidRPr="00217885">
              <w:rPr>
                <w:b/>
                <w:iCs/>
                <w:szCs w:val="24"/>
              </w:rPr>
              <w:t>12 straipsnis.</w:t>
            </w:r>
            <w:r w:rsidRPr="00217885">
              <w:rPr>
                <w:i/>
                <w:iCs/>
                <w:szCs w:val="24"/>
              </w:rPr>
              <w:t xml:space="preserve"> </w:t>
            </w:r>
            <w:r w:rsidRPr="00217885">
              <w:rPr>
                <w:b/>
                <w:bCs/>
                <w:szCs w:val="24"/>
              </w:rPr>
              <w:t>Specialiosios nuostatos, susijusios su tam tikrais balanso straipsniais</w:t>
            </w:r>
          </w:p>
          <w:p w:rsidR="003A3A71" w:rsidRPr="003A3A71" w:rsidRDefault="003A3A71" w:rsidP="009B5998">
            <w:pPr>
              <w:jc w:val="both"/>
              <w:rPr>
                <w:bCs/>
                <w:szCs w:val="24"/>
              </w:rPr>
            </w:pPr>
            <w:r w:rsidRPr="003A3A71">
              <w:rPr>
                <w:bCs/>
                <w:szCs w:val="24"/>
              </w:rPr>
              <w:t>11. &lt;...&gt;</w:t>
            </w:r>
          </w:p>
          <w:p w:rsidR="003A3A71" w:rsidRPr="00217885" w:rsidRDefault="003A3A71" w:rsidP="003A3A71">
            <w:pPr>
              <w:jc w:val="both"/>
              <w:rPr>
                <w:szCs w:val="24"/>
              </w:rPr>
            </w:pPr>
            <w:r w:rsidRPr="00217885">
              <w:rPr>
                <w:szCs w:val="24"/>
              </w:rPr>
              <w:t xml:space="preserve">Jeigu nacionalinės teisės aktais leidžiama plėtros išlaidas rodyti dalyje „Turtas“, ir </w:t>
            </w:r>
            <w:r w:rsidRPr="00217885">
              <w:rPr>
                <w:szCs w:val="24"/>
              </w:rPr>
              <w:lastRenderedPageBreak/>
              <w:t>plėtros išlaidos nėra visiškai nurašytos, valstybės narės reikalauja, kad pelnas nebūtų skirstomas, išskyrus tą atvejį, kai paskirstymui skirtų rezervų ir ankstesnių metų pelno suma yra bent jau lygi nenurašytai išlaidų sumai.</w:t>
            </w:r>
          </w:p>
          <w:p w:rsidR="00AC10A0" w:rsidRPr="00217885" w:rsidRDefault="003A3A71" w:rsidP="003A3A71">
            <w:pPr>
              <w:jc w:val="both"/>
              <w:rPr>
                <w:b/>
                <w:szCs w:val="24"/>
              </w:rPr>
            </w:pPr>
            <w:r>
              <w:rPr>
                <w:szCs w:val="24"/>
              </w:rPr>
              <w:t>&lt;...&gt;</w:t>
            </w:r>
          </w:p>
        </w:tc>
        <w:tc>
          <w:tcPr>
            <w:tcW w:w="3868" w:type="dxa"/>
            <w:tcBorders>
              <w:top w:val="single" w:sz="4" w:space="0" w:color="auto"/>
              <w:left w:val="single" w:sz="4" w:space="0" w:color="auto"/>
              <w:bottom w:val="single" w:sz="4" w:space="0" w:color="auto"/>
              <w:right w:val="single" w:sz="4" w:space="0" w:color="auto"/>
            </w:tcBorders>
          </w:tcPr>
          <w:p w:rsidR="00956115" w:rsidRDefault="00956115" w:rsidP="00956115">
            <w:pPr>
              <w:pStyle w:val="pavadinimas1"/>
              <w:spacing w:before="0" w:beforeAutospacing="0" w:after="0" w:afterAutospacing="0"/>
              <w:jc w:val="both"/>
              <w:rPr>
                <w:b/>
              </w:rPr>
            </w:pPr>
            <w:r>
              <w:rPr>
                <w:b/>
              </w:rPr>
              <w:lastRenderedPageBreak/>
              <w:t>ABĮ projektas</w:t>
            </w:r>
          </w:p>
          <w:p w:rsidR="008D0AC3" w:rsidRDefault="002969EE" w:rsidP="008D0AC3">
            <w:pPr>
              <w:jc w:val="both"/>
              <w:rPr>
                <w:b/>
                <w:szCs w:val="24"/>
              </w:rPr>
            </w:pPr>
            <w:r>
              <w:rPr>
                <w:b/>
                <w:szCs w:val="24"/>
              </w:rPr>
              <w:t>6</w:t>
            </w:r>
            <w:r w:rsidR="008D0AC3" w:rsidRPr="00DC0E15">
              <w:rPr>
                <w:b/>
                <w:szCs w:val="24"/>
              </w:rPr>
              <w:t xml:space="preserve"> straipsnis. 5</w:t>
            </w:r>
            <w:r w:rsidR="008D0AC3">
              <w:rPr>
                <w:b/>
                <w:szCs w:val="24"/>
              </w:rPr>
              <w:t>9</w:t>
            </w:r>
            <w:r w:rsidR="008D0AC3" w:rsidRPr="00DC0E15">
              <w:rPr>
                <w:b/>
                <w:szCs w:val="24"/>
              </w:rPr>
              <w:t xml:space="preserve"> straipsnio pakeitimas</w:t>
            </w:r>
          </w:p>
          <w:p w:rsidR="00FA5234" w:rsidRDefault="00FA5234" w:rsidP="00FA5234">
            <w:pPr>
              <w:jc w:val="both"/>
              <w:rPr>
                <w:b/>
                <w:szCs w:val="24"/>
              </w:rPr>
            </w:pPr>
            <w:r w:rsidRPr="00172290">
              <w:t xml:space="preserve">Pakeisti </w:t>
            </w:r>
            <w:r>
              <w:t>59</w:t>
            </w:r>
            <w:r w:rsidRPr="00AF34B5">
              <w:rPr>
                <w:vertAlign w:val="superscript"/>
              </w:rPr>
              <w:t xml:space="preserve"> </w:t>
            </w:r>
            <w:r w:rsidRPr="00172290">
              <w:t>s</w:t>
            </w:r>
            <w:r>
              <w:t>traipsnio 3 dalį ir ją išdėstyti taip:</w:t>
            </w:r>
          </w:p>
          <w:p w:rsidR="00AC10A0" w:rsidRDefault="00FA5234" w:rsidP="00194519">
            <w:pPr>
              <w:ind w:right="92"/>
              <w:jc w:val="both"/>
              <w:rPr>
                <w:b/>
              </w:rPr>
            </w:pPr>
            <w:bookmarkStart w:id="1" w:name="part_c4bfc7e749a542cb9fcfe4e729f7065b"/>
            <w:bookmarkEnd w:id="1"/>
            <w:r>
              <w:rPr>
                <w:rFonts w:ascii="&amp;quot" w:hAnsi="&amp;quot"/>
                <w:color w:val="000000"/>
                <w:szCs w:val="24"/>
                <w:lang w:eastAsia="lt-LT"/>
              </w:rPr>
              <w:t>„</w:t>
            </w:r>
            <w:r w:rsidR="00EE685A" w:rsidRPr="00BE308A">
              <w:rPr>
                <w:rFonts w:ascii="&amp;quot" w:hAnsi="&amp;quot"/>
                <w:color w:val="000000"/>
                <w:szCs w:val="24"/>
                <w:lang w:eastAsia="lt-LT"/>
              </w:rPr>
              <w:t xml:space="preserve">3. Bendrovės </w:t>
            </w:r>
            <w:proofErr w:type="spellStart"/>
            <w:r w:rsidR="00EE685A" w:rsidRPr="00BE308A">
              <w:rPr>
                <w:rFonts w:ascii="&amp;quot" w:hAnsi="&amp;quot"/>
                <w:color w:val="000000"/>
                <w:szCs w:val="24"/>
                <w:lang w:eastAsia="lt-LT"/>
              </w:rPr>
              <w:t>paskirstytinąjį</w:t>
            </w:r>
            <w:proofErr w:type="spellEnd"/>
            <w:r w:rsidR="00EE685A" w:rsidRPr="00BE308A">
              <w:rPr>
                <w:rFonts w:ascii="&amp;quot" w:hAnsi="&amp;quot"/>
                <w:color w:val="000000"/>
                <w:szCs w:val="24"/>
                <w:lang w:eastAsia="lt-LT"/>
              </w:rPr>
              <w:t xml:space="preserve"> pelną </w:t>
            </w:r>
            <w:r w:rsidR="00EE685A" w:rsidRPr="00BE308A">
              <w:rPr>
                <w:rFonts w:ascii="&amp;quot" w:hAnsi="&amp;quot"/>
                <w:color w:val="000000"/>
                <w:szCs w:val="24"/>
                <w:lang w:eastAsia="lt-LT"/>
              </w:rPr>
              <w:lastRenderedPageBreak/>
              <w:t>(nuostolius) sudaro ataskaitinių finansinių metų pelno (nuostolių) ir ankstesnių finansinių metų nepaskirstytojo pelno (nuostolių) ataskaitinių finansinių metų pabaigoje, pervedimų iš rezervų bei akcininkų</w:t>
            </w:r>
            <w:r w:rsidR="00EE685A">
              <w:rPr>
                <w:rFonts w:ascii="&amp;quot" w:hAnsi="&amp;quot"/>
                <w:color w:val="000000"/>
                <w:szCs w:val="24"/>
                <w:lang w:eastAsia="lt-LT"/>
              </w:rPr>
              <w:t xml:space="preserve"> įnašų nuostoliams padengti sum</w:t>
            </w:r>
            <w:r w:rsidR="005820B7">
              <w:rPr>
                <w:rFonts w:ascii="&amp;quot" w:hAnsi="&amp;quot"/>
                <w:color w:val="000000"/>
                <w:szCs w:val="24"/>
                <w:lang w:eastAsia="lt-LT"/>
              </w:rPr>
              <w:t>a</w:t>
            </w:r>
            <w:r w:rsidR="00EE685A">
              <w:rPr>
                <w:rFonts w:ascii="&amp;quot" w:hAnsi="&amp;quot"/>
                <w:color w:val="000000"/>
                <w:szCs w:val="24"/>
                <w:lang w:eastAsia="lt-LT"/>
              </w:rPr>
              <w:t>.</w:t>
            </w:r>
            <w:r w:rsidR="00EE685A" w:rsidRPr="00354AD8">
              <w:rPr>
                <w:rFonts w:ascii="&amp;quot" w:hAnsi="&amp;quot"/>
                <w:color w:val="000000"/>
                <w:szCs w:val="24"/>
                <w:lang w:eastAsia="lt-LT"/>
              </w:rPr>
              <w:t xml:space="preserve"> </w:t>
            </w:r>
            <w:r w:rsidR="00EE685A" w:rsidRPr="00EE685A">
              <w:rPr>
                <w:rFonts w:ascii="&amp;quot" w:hAnsi="&amp;quot"/>
                <w:color w:val="000000"/>
                <w:szCs w:val="24"/>
                <w:lang w:eastAsia="lt-LT"/>
              </w:rPr>
              <w:t>Po pelno paskirstymo likusi paskirstytino pelno (nuostolių) suma turi būti ne</w:t>
            </w:r>
            <w:r w:rsidR="00B36136">
              <w:rPr>
                <w:rFonts w:ascii="&amp;quot" w:hAnsi="&amp;quot"/>
                <w:color w:val="000000"/>
                <w:szCs w:val="24"/>
                <w:lang w:eastAsia="lt-LT"/>
              </w:rPr>
              <w:t xml:space="preserve"> </w:t>
            </w:r>
            <w:r w:rsidR="00EE685A" w:rsidRPr="00EE685A">
              <w:rPr>
                <w:rFonts w:ascii="&amp;quot" w:hAnsi="&amp;quot"/>
                <w:color w:val="000000"/>
                <w:szCs w:val="24"/>
                <w:lang w:eastAsia="lt-LT"/>
              </w:rPr>
              <w:t>mažesnė nei</w:t>
            </w:r>
            <w:r w:rsidR="00EE685A" w:rsidRPr="00354AD8">
              <w:rPr>
                <w:rFonts w:ascii="&amp;quot" w:hAnsi="&amp;quot"/>
                <w:color w:val="000000"/>
                <w:szCs w:val="24"/>
                <w:lang w:eastAsia="lt-LT"/>
              </w:rPr>
              <w:t xml:space="preserve"> </w:t>
            </w:r>
            <w:r w:rsidR="00194519">
              <w:rPr>
                <w:rFonts w:eastAsiaTheme="minorHAnsi"/>
                <w:bCs/>
                <w:color w:val="000000"/>
                <w:szCs w:val="24"/>
              </w:rPr>
              <w:t>pagal taikomus finansinės atskaitomybės standartus</w:t>
            </w:r>
            <w:r w:rsidR="00194519">
              <w:rPr>
                <w:rFonts w:eastAsiaTheme="minorHAnsi"/>
                <w:b/>
                <w:bCs/>
                <w:color w:val="000000"/>
                <w:szCs w:val="24"/>
              </w:rPr>
              <w:t xml:space="preserve"> </w:t>
            </w:r>
            <w:r w:rsidR="00EE685A" w:rsidRPr="00354AD8">
              <w:rPr>
                <w:szCs w:val="24"/>
              </w:rPr>
              <w:t>nematerialiajam turtui priskirtų plėtros darbų balansinės vertės ataskaitinių finansinių metų pabaigoje sum</w:t>
            </w:r>
            <w:r w:rsidR="00EE685A">
              <w:rPr>
                <w:szCs w:val="24"/>
              </w:rPr>
              <w:t>a</w:t>
            </w:r>
            <w:r w:rsidR="00EE685A" w:rsidRPr="00354AD8">
              <w:rPr>
                <w:rFonts w:ascii="&amp;quot" w:hAnsi="&amp;quot"/>
                <w:color w:val="000000"/>
                <w:szCs w:val="24"/>
                <w:lang w:eastAsia="lt-LT"/>
              </w:rPr>
              <w:t>.</w:t>
            </w:r>
            <w:r>
              <w:rPr>
                <w:rFonts w:ascii="&amp;quot" w:hAnsi="&amp;quot"/>
                <w:color w:val="000000"/>
                <w:szCs w:val="24"/>
                <w:lang w:eastAsia="lt-LT"/>
              </w:rPr>
              <w:t>“</w:t>
            </w:r>
          </w:p>
        </w:tc>
        <w:tc>
          <w:tcPr>
            <w:tcW w:w="1640" w:type="dxa"/>
            <w:tcBorders>
              <w:top w:val="single" w:sz="4" w:space="0" w:color="auto"/>
              <w:left w:val="single" w:sz="4" w:space="0" w:color="auto"/>
              <w:bottom w:val="single" w:sz="4" w:space="0" w:color="auto"/>
              <w:right w:val="single" w:sz="4" w:space="0" w:color="auto"/>
            </w:tcBorders>
          </w:tcPr>
          <w:p w:rsidR="00AC10A0" w:rsidRDefault="00956115">
            <w:pPr>
              <w:rPr>
                <w:b/>
                <w:szCs w:val="24"/>
              </w:rPr>
            </w:pPr>
            <w:r w:rsidRPr="00956115">
              <w:rPr>
                <w:szCs w:val="24"/>
              </w:rPr>
              <w:lastRenderedPageBreak/>
              <w:t>Visiškas</w:t>
            </w:r>
          </w:p>
        </w:tc>
      </w:tr>
      <w:tr w:rsidR="00F355E3" w:rsidTr="00F355E3">
        <w:tc>
          <w:tcPr>
            <w:tcW w:w="4320" w:type="dxa"/>
            <w:tcBorders>
              <w:top w:val="single" w:sz="4" w:space="0" w:color="auto"/>
              <w:left w:val="single" w:sz="4" w:space="0" w:color="auto"/>
              <w:bottom w:val="single" w:sz="4" w:space="0" w:color="auto"/>
              <w:right w:val="single" w:sz="4" w:space="0" w:color="auto"/>
            </w:tcBorders>
            <w:hideMark/>
          </w:tcPr>
          <w:p w:rsidR="00F355E3" w:rsidRDefault="00F355E3">
            <w:pPr>
              <w:jc w:val="both"/>
              <w:rPr>
                <w:b/>
                <w:szCs w:val="24"/>
              </w:rPr>
            </w:pPr>
            <w:r>
              <w:rPr>
                <w:b/>
                <w:iCs/>
                <w:szCs w:val="24"/>
              </w:rPr>
              <w:lastRenderedPageBreak/>
              <w:t>42 straipsnis.</w:t>
            </w:r>
            <w:r>
              <w:rPr>
                <w:b/>
                <w:i/>
                <w:iCs/>
                <w:szCs w:val="24"/>
              </w:rPr>
              <w:t xml:space="preserve"> </w:t>
            </w:r>
            <w:r>
              <w:rPr>
                <w:b/>
                <w:bCs/>
                <w:szCs w:val="24"/>
              </w:rPr>
              <w:t>Įmonės, privalančios teikti mokėjimų valdžios institucijoms ataskaitas</w:t>
            </w:r>
          </w:p>
          <w:p w:rsidR="00F355E3" w:rsidRDefault="00F355E3">
            <w:pPr>
              <w:jc w:val="both"/>
              <w:rPr>
                <w:szCs w:val="24"/>
              </w:rPr>
            </w:pPr>
            <w:r>
              <w:rPr>
                <w:szCs w:val="24"/>
              </w:rPr>
              <w:t xml:space="preserve">2. Ta prievolė netaikoma jokiai valstybės narės teisės aktais reglamentuojamai įmonei, kuri yra patronuojamoji įmonė arba patronuojančioji įmonė, jei įvykdomos abi šios sąlygos: </w:t>
            </w:r>
          </w:p>
          <w:p w:rsidR="00F355E3" w:rsidRDefault="00F355E3">
            <w:pPr>
              <w:jc w:val="both"/>
              <w:rPr>
                <w:szCs w:val="24"/>
              </w:rPr>
            </w:pPr>
            <w:r>
              <w:rPr>
                <w:szCs w:val="24"/>
              </w:rPr>
              <w:t>a) patronuojančiajai įmonei taikomi valstybės narės įstatymai ir</w:t>
            </w:r>
          </w:p>
          <w:p w:rsidR="00F355E3" w:rsidRDefault="00F355E3">
            <w:pPr>
              <w:rPr>
                <w:b/>
                <w:szCs w:val="24"/>
                <w:highlight w:val="yellow"/>
              </w:rPr>
            </w:pPr>
            <w:r>
              <w:rPr>
                <w:szCs w:val="24"/>
              </w:rPr>
              <w:t>b) įmonės mokėjimai valdžios institucijoms įtraukiami į tos patronuojančiosios įmonės pagal 44 straipsnį rengiamą konsoliduotąją mokėjimų valdžios institucijoms ataskaitą.</w:t>
            </w:r>
          </w:p>
        </w:tc>
        <w:tc>
          <w:tcPr>
            <w:tcW w:w="3868" w:type="dxa"/>
            <w:tcBorders>
              <w:top w:val="single" w:sz="4" w:space="0" w:color="auto"/>
              <w:left w:val="single" w:sz="4" w:space="0" w:color="auto"/>
              <w:bottom w:val="single" w:sz="4" w:space="0" w:color="auto"/>
              <w:right w:val="single" w:sz="4" w:space="0" w:color="auto"/>
            </w:tcBorders>
            <w:hideMark/>
          </w:tcPr>
          <w:p w:rsidR="00F355E3" w:rsidRDefault="00F355E3">
            <w:pPr>
              <w:jc w:val="both"/>
              <w:rPr>
                <w:b/>
                <w:bCs/>
              </w:rPr>
            </w:pPr>
            <w:r>
              <w:rPr>
                <w:b/>
                <w:bCs/>
              </w:rPr>
              <w:t>ĮFAĮ projektas</w:t>
            </w:r>
          </w:p>
          <w:p w:rsidR="00F355E3" w:rsidRDefault="003E0CEE">
            <w:pPr>
              <w:jc w:val="both"/>
              <w:rPr>
                <w:b/>
              </w:rPr>
            </w:pPr>
            <w:r>
              <w:rPr>
                <w:b/>
              </w:rPr>
              <w:t>20</w:t>
            </w:r>
            <w:r w:rsidR="00F355E3">
              <w:rPr>
                <w:b/>
              </w:rPr>
              <w:t xml:space="preserve"> straipsnis. 29 straipsnio pakeitimas</w:t>
            </w:r>
          </w:p>
          <w:p w:rsidR="00F355E3" w:rsidRDefault="00F355E3">
            <w:pPr>
              <w:jc w:val="both"/>
            </w:pPr>
            <w:r>
              <w:t>Pakeisti 29 straipsnio 2 dal</w:t>
            </w:r>
            <w:r w:rsidR="000D007B">
              <w:t>ies 1 punktą</w:t>
            </w:r>
            <w:r>
              <w:t xml:space="preserve"> ir j</w:t>
            </w:r>
            <w:r w:rsidR="000D007B">
              <w:t>į</w:t>
            </w:r>
            <w:r>
              <w:t xml:space="preserve"> išdėstyti taip:</w:t>
            </w:r>
          </w:p>
          <w:p w:rsidR="00F355E3" w:rsidRDefault="00F355E3" w:rsidP="000D007B">
            <w:pPr>
              <w:jc w:val="both"/>
              <w:rPr>
                <w:highlight w:val="yellow"/>
              </w:rPr>
            </w:pPr>
            <w:r>
              <w:t>„</w:t>
            </w:r>
            <w:r>
              <w:rPr>
                <w:szCs w:val="24"/>
              </w:rPr>
              <w:t>1) patronuojančiajai įmonei taikomi Lietuvos Respublikos arba kitos valstybės narės teisės aktai ir</w:t>
            </w:r>
            <w:r w:rsidRPr="000D007B">
              <w:t>“</w:t>
            </w:r>
            <w:r w:rsidR="000D007B">
              <w:t>.</w:t>
            </w:r>
          </w:p>
        </w:tc>
        <w:tc>
          <w:tcPr>
            <w:tcW w:w="1640" w:type="dxa"/>
            <w:tcBorders>
              <w:top w:val="single" w:sz="4" w:space="0" w:color="auto"/>
              <w:left w:val="single" w:sz="4" w:space="0" w:color="auto"/>
              <w:bottom w:val="single" w:sz="4" w:space="0" w:color="auto"/>
              <w:right w:val="single" w:sz="4" w:space="0" w:color="auto"/>
            </w:tcBorders>
          </w:tcPr>
          <w:p w:rsidR="00F355E3" w:rsidRDefault="00F355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Visiškas</w:t>
            </w:r>
          </w:p>
          <w:p w:rsidR="00F355E3" w:rsidRDefault="00F355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tc>
      </w:tr>
      <w:tr w:rsidR="00F355E3" w:rsidTr="00F355E3">
        <w:tc>
          <w:tcPr>
            <w:tcW w:w="4320" w:type="dxa"/>
            <w:tcBorders>
              <w:top w:val="single" w:sz="4" w:space="0" w:color="auto"/>
              <w:left w:val="single" w:sz="4" w:space="0" w:color="auto"/>
              <w:bottom w:val="single" w:sz="4" w:space="0" w:color="auto"/>
              <w:right w:val="single" w:sz="4" w:space="0" w:color="auto"/>
            </w:tcBorders>
            <w:hideMark/>
          </w:tcPr>
          <w:p w:rsidR="00F355E3" w:rsidRDefault="00F355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iCs/>
                <w:szCs w:val="24"/>
              </w:rPr>
              <w:t>44 straipsnis.</w:t>
            </w:r>
            <w:r>
              <w:rPr>
                <w:i/>
                <w:iCs/>
                <w:szCs w:val="24"/>
              </w:rPr>
              <w:t xml:space="preserve"> </w:t>
            </w:r>
            <w:r>
              <w:rPr>
                <w:b/>
                <w:bCs/>
                <w:szCs w:val="24"/>
              </w:rPr>
              <w:t>Konsoliduotoji mokėjimų valdžios institucijoms ataskaita</w:t>
            </w:r>
          </w:p>
          <w:p w:rsidR="00F355E3" w:rsidRDefault="00F355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2. Prievolė parengti 1 dalyje nurodytą konsoliduotąją ataskaitą netaikoma:</w:t>
            </w:r>
          </w:p>
          <w:p w:rsidR="00F355E3" w:rsidRDefault="00F355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a) 3 straipsnio 5 dalyje apibrėžtos mažosios grupės patronuojančiajai įmonei, išskyrus atvejus, kai kuri nors susijusi įmonė yra viešojo intereso įmonė; </w:t>
            </w:r>
          </w:p>
          <w:p w:rsidR="00F355E3" w:rsidRDefault="00F355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b) 3 straipsnio 6 dalyje apibrėžtos vidutinės grupės patronuojančiajai įmonei, išskyrus atvejus, kai kuri nors susijusi įmonė yra viešojo intereso įmonė, ir </w:t>
            </w:r>
          </w:p>
          <w:p w:rsidR="00F355E3" w:rsidRDefault="00F355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r>
              <w:rPr>
                <w:szCs w:val="24"/>
              </w:rPr>
              <w:t>c) valstybės narės teisės aktais reglamentuojamai patronuojančiajai įmonei, kuri taip pat yra patronuojamoji įmonė, jei jos patronuojančioji įmonė reglamentuojama valstybės narės teisės aktais.</w:t>
            </w:r>
          </w:p>
        </w:tc>
        <w:tc>
          <w:tcPr>
            <w:tcW w:w="3868" w:type="dxa"/>
            <w:tcBorders>
              <w:top w:val="single" w:sz="4" w:space="0" w:color="auto"/>
              <w:left w:val="single" w:sz="4" w:space="0" w:color="auto"/>
              <w:bottom w:val="single" w:sz="4" w:space="0" w:color="auto"/>
              <w:right w:val="single" w:sz="4" w:space="0" w:color="auto"/>
            </w:tcBorders>
            <w:hideMark/>
          </w:tcPr>
          <w:p w:rsidR="00F355E3" w:rsidRDefault="00F355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bCs/>
              </w:rPr>
              <w:t>ĮGKFAĮ projektas</w:t>
            </w:r>
          </w:p>
          <w:p w:rsidR="00F355E3" w:rsidRDefault="004364C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9</w:t>
            </w:r>
            <w:r w:rsidR="00F355E3">
              <w:rPr>
                <w:b/>
              </w:rPr>
              <w:t xml:space="preserve"> straipsnis. 15 straipsnio pakeitimas</w:t>
            </w:r>
          </w:p>
          <w:p w:rsidR="00F355E3" w:rsidRDefault="00F355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Pakeisti 15 straipsnio 2 dal</w:t>
            </w:r>
            <w:r w:rsidR="00B23278">
              <w:t xml:space="preserve">ies </w:t>
            </w:r>
            <w:r w:rsidR="00B23278">
              <w:rPr>
                <w:lang w:val="en-US"/>
              </w:rPr>
              <w:t>2</w:t>
            </w:r>
            <w:r w:rsidR="00B23278">
              <w:t> </w:t>
            </w:r>
            <w:r w:rsidR="00B23278" w:rsidRPr="00D54A17">
              <w:t>punktą</w:t>
            </w:r>
            <w:r>
              <w:t xml:space="preserve"> ir j</w:t>
            </w:r>
            <w:r w:rsidR="00B23278">
              <w:t>į</w:t>
            </w:r>
            <w:r>
              <w:t xml:space="preserve"> išdėstyti taip:</w:t>
            </w:r>
          </w:p>
          <w:p w:rsidR="00F355E3" w:rsidRDefault="00F355E3" w:rsidP="00D54A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t>„</w:t>
            </w:r>
            <w:r>
              <w:rPr>
                <w:color w:val="000000"/>
              </w:rPr>
              <w:t xml:space="preserve">2) patronuojančiajai įmonei, kuri taip pat yra patronuojamoji įmonė, jeigu jos patronuojančiosios įmonės veikla reglamentuojama Lietuvos Respublikos </w:t>
            </w:r>
            <w:r>
              <w:t xml:space="preserve">arba kitos valstybės narės </w:t>
            </w:r>
            <w:r>
              <w:rPr>
                <w:color w:val="000000"/>
              </w:rPr>
              <w:t>teisės aktais.</w:t>
            </w:r>
            <w:r w:rsidRPr="00B306B3">
              <w:t>“</w:t>
            </w:r>
          </w:p>
        </w:tc>
        <w:tc>
          <w:tcPr>
            <w:tcW w:w="1640" w:type="dxa"/>
            <w:tcBorders>
              <w:top w:val="single" w:sz="4" w:space="0" w:color="auto"/>
              <w:left w:val="single" w:sz="4" w:space="0" w:color="auto"/>
              <w:bottom w:val="single" w:sz="4" w:space="0" w:color="auto"/>
              <w:right w:val="single" w:sz="4" w:space="0" w:color="auto"/>
            </w:tcBorders>
            <w:hideMark/>
          </w:tcPr>
          <w:p w:rsidR="00F355E3" w:rsidRDefault="00F355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visiškas</w:t>
            </w:r>
          </w:p>
        </w:tc>
      </w:tr>
    </w:tbl>
    <w:p w:rsidR="00B903E5" w:rsidRPr="00F355E3" w:rsidRDefault="00B903E5" w:rsidP="00F355E3"/>
    <w:sectPr w:rsidR="00B903E5" w:rsidRPr="00F355E3" w:rsidSect="00F63933">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B3" w:rsidRDefault="005165B3">
      <w:r>
        <w:separator/>
      </w:r>
    </w:p>
  </w:endnote>
  <w:endnote w:type="continuationSeparator" w:id="0">
    <w:p w:rsidR="005165B3" w:rsidRDefault="0051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rsidR="00950F83" w:rsidRDefault="00950F83">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B3" w:rsidRDefault="005165B3">
      <w:r>
        <w:separator/>
      </w:r>
    </w:p>
  </w:footnote>
  <w:footnote w:type="continuationSeparator" w:id="0">
    <w:p w:rsidR="005165B3" w:rsidRDefault="00516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rsidR="00950F83" w:rsidRDefault="00950F83">
        <w:pPr>
          <w:pStyle w:val="Antrats"/>
          <w:jc w:val="center"/>
        </w:pPr>
        <w:r>
          <w:fldChar w:fldCharType="begin"/>
        </w:r>
        <w:r>
          <w:instrText>PAGE   \* MERGEFORMAT</w:instrText>
        </w:r>
        <w:r>
          <w:fldChar w:fldCharType="separate"/>
        </w:r>
        <w:r w:rsidR="004B58FA">
          <w:rPr>
            <w:noProof/>
          </w:rPr>
          <w:t>2</w:t>
        </w:r>
        <w:r>
          <w:fldChar w:fldCharType="end"/>
        </w:r>
      </w:p>
    </w:sdtContent>
  </w:sdt>
  <w:p w:rsidR="00950F83" w:rsidRDefault="00950F83">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83" w:rsidRDefault="00950F83">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EE9"/>
    <w:multiLevelType w:val="hybridMultilevel"/>
    <w:tmpl w:val="219259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0E5829"/>
    <w:multiLevelType w:val="hybridMultilevel"/>
    <w:tmpl w:val="48F6520C"/>
    <w:lvl w:ilvl="0" w:tplc="6DE084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B207DAC"/>
    <w:multiLevelType w:val="hybridMultilevel"/>
    <w:tmpl w:val="94064EE8"/>
    <w:lvl w:ilvl="0" w:tplc="38660C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E0B7AA2"/>
    <w:multiLevelType w:val="hybridMultilevel"/>
    <w:tmpl w:val="268A00E2"/>
    <w:lvl w:ilvl="0" w:tplc="37588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F99137D"/>
    <w:multiLevelType w:val="hybridMultilevel"/>
    <w:tmpl w:val="9F923136"/>
    <w:lvl w:ilvl="0" w:tplc="4B708E44">
      <w:start w:val="1"/>
      <w:numFmt w:val="bullet"/>
      <w:lvlText w:val="•"/>
      <w:lvlJc w:val="left"/>
      <w:pPr>
        <w:tabs>
          <w:tab w:val="num" w:pos="720"/>
        </w:tabs>
        <w:ind w:left="720" w:hanging="360"/>
      </w:pPr>
      <w:rPr>
        <w:rFonts w:ascii="Arial" w:hAnsi="Arial" w:hint="default"/>
      </w:rPr>
    </w:lvl>
    <w:lvl w:ilvl="1" w:tplc="3F983736" w:tentative="1">
      <w:start w:val="1"/>
      <w:numFmt w:val="bullet"/>
      <w:lvlText w:val="•"/>
      <w:lvlJc w:val="left"/>
      <w:pPr>
        <w:tabs>
          <w:tab w:val="num" w:pos="1440"/>
        </w:tabs>
        <w:ind w:left="1440" w:hanging="360"/>
      </w:pPr>
      <w:rPr>
        <w:rFonts w:ascii="Arial" w:hAnsi="Arial" w:hint="default"/>
      </w:rPr>
    </w:lvl>
    <w:lvl w:ilvl="2" w:tplc="5BD69CDE" w:tentative="1">
      <w:start w:val="1"/>
      <w:numFmt w:val="bullet"/>
      <w:lvlText w:val="•"/>
      <w:lvlJc w:val="left"/>
      <w:pPr>
        <w:tabs>
          <w:tab w:val="num" w:pos="2160"/>
        </w:tabs>
        <w:ind w:left="2160" w:hanging="360"/>
      </w:pPr>
      <w:rPr>
        <w:rFonts w:ascii="Arial" w:hAnsi="Arial" w:hint="default"/>
      </w:rPr>
    </w:lvl>
    <w:lvl w:ilvl="3" w:tplc="924E449E" w:tentative="1">
      <w:start w:val="1"/>
      <w:numFmt w:val="bullet"/>
      <w:lvlText w:val="•"/>
      <w:lvlJc w:val="left"/>
      <w:pPr>
        <w:tabs>
          <w:tab w:val="num" w:pos="2880"/>
        </w:tabs>
        <w:ind w:left="2880" w:hanging="360"/>
      </w:pPr>
      <w:rPr>
        <w:rFonts w:ascii="Arial" w:hAnsi="Arial" w:hint="default"/>
      </w:rPr>
    </w:lvl>
    <w:lvl w:ilvl="4" w:tplc="C2F81674" w:tentative="1">
      <w:start w:val="1"/>
      <w:numFmt w:val="bullet"/>
      <w:lvlText w:val="•"/>
      <w:lvlJc w:val="left"/>
      <w:pPr>
        <w:tabs>
          <w:tab w:val="num" w:pos="3600"/>
        </w:tabs>
        <w:ind w:left="3600" w:hanging="360"/>
      </w:pPr>
      <w:rPr>
        <w:rFonts w:ascii="Arial" w:hAnsi="Arial" w:hint="default"/>
      </w:rPr>
    </w:lvl>
    <w:lvl w:ilvl="5" w:tplc="A5263318" w:tentative="1">
      <w:start w:val="1"/>
      <w:numFmt w:val="bullet"/>
      <w:lvlText w:val="•"/>
      <w:lvlJc w:val="left"/>
      <w:pPr>
        <w:tabs>
          <w:tab w:val="num" w:pos="4320"/>
        </w:tabs>
        <w:ind w:left="4320" w:hanging="360"/>
      </w:pPr>
      <w:rPr>
        <w:rFonts w:ascii="Arial" w:hAnsi="Arial" w:hint="default"/>
      </w:rPr>
    </w:lvl>
    <w:lvl w:ilvl="6" w:tplc="7CF08D20" w:tentative="1">
      <w:start w:val="1"/>
      <w:numFmt w:val="bullet"/>
      <w:lvlText w:val="•"/>
      <w:lvlJc w:val="left"/>
      <w:pPr>
        <w:tabs>
          <w:tab w:val="num" w:pos="5040"/>
        </w:tabs>
        <w:ind w:left="5040" w:hanging="360"/>
      </w:pPr>
      <w:rPr>
        <w:rFonts w:ascii="Arial" w:hAnsi="Arial" w:hint="default"/>
      </w:rPr>
    </w:lvl>
    <w:lvl w:ilvl="7" w:tplc="B11E6540" w:tentative="1">
      <w:start w:val="1"/>
      <w:numFmt w:val="bullet"/>
      <w:lvlText w:val="•"/>
      <w:lvlJc w:val="left"/>
      <w:pPr>
        <w:tabs>
          <w:tab w:val="num" w:pos="5760"/>
        </w:tabs>
        <w:ind w:left="5760" w:hanging="360"/>
      </w:pPr>
      <w:rPr>
        <w:rFonts w:ascii="Arial" w:hAnsi="Arial" w:hint="default"/>
      </w:rPr>
    </w:lvl>
    <w:lvl w:ilvl="8" w:tplc="DFF08672" w:tentative="1">
      <w:start w:val="1"/>
      <w:numFmt w:val="bullet"/>
      <w:lvlText w:val="•"/>
      <w:lvlJc w:val="left"/>
      <w:pPr>
        <w:tabs>
          <w:tab w:val="num" w:pos="6480"/>
        </w:tabs>
        <w:ind w:left="6480" w:hanging="360"/>
      </w:pPr>
      <w:rPr>
        <w:rFonts w:ascii="Arial" w:hAnsi="Arial" w:hint="default"/>
      </w:rPr>
    </w:lvl>
  </w:abstractNum>
  <w:abstractNum w:abstractNumId="5">
    <w:nsid w:val="14D1396D"/>
    <w:multiLevelType w:val="hybridMultilevel"/>
    <w:tmpl w:val="A4FAAC56"/>
    <w:lvl w:ilvl="0" w:tplc="B34C110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753FCD"/>
    <w:multiLevelType w:val="multilevel"/>
    <w:tmpl w:val="0427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EA193F"/>
    <w:multiLevelType w:val="hybridMultilevel"/>
    <w:tmpl w:val="6304015A"/>
    <w:lvl w:ilvl="0" w:tplc="02247BA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nsid w:val="200E6B46"/>
    <w:multiLevelType w:val="hybridMultilevel"/>
    <w:tmpl w:val="6978997A"/>
    <w:lvl w:ilvl="0" w:tplc="0E58C40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55C6718"/>
    <w:multiLevelType w:val="hybridMultilevel"/>
    <w:tmpl w:val="7D988C2A"/>
    <w:lvl w:ilvl="0" w:tplc="60029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39175A30"/>
    <w:multiLevelType w:val="hybridMultilevel"/>
    <w:tmpl w:val="8C42342A"/>
    <w:lvl w:ilvl="0" w:tplc="330CAFC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9D67E51"/>
    <w:multiLevelType w:val="hybridMultilevel"/>
    <w:tmpl w:val="873810F2"/>
    <w:lvl w:ilvl="0" w:tplc="6986D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90F129E"/>
    <w:multiLevelType w:val="hybridMultilevel"/>
    <w:tmpl w:val="2E30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9A46396"/>
    <w:multiLevelType w:val="hybridMultilevel"/>
    <w:tmpl w:val="CD248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B0711D1"/>
    <w:multiLevelType w:val="hybridMultilevel"/>
    <w:tmpl w:val="96222450"/>
    <w:lvl w:ilvl="0" w:tplc="9EFE0C92">
      <w:start w:val="1"/>
      <w:numFmt w:val="decimal"/>
      <w:lvlText w:val="%1)"/>
      <w:lvlJc w:val="left"/>
      <w:pPr>
        <w:ind w:left="1824" w:hanging="110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51481013"/>
    <w:multiLevelType w:val="hybridMultilevel"/>
    <w:tmpl w:val="D6029348"/>
    <w:lvl w:ilvl="0" w:tplc="39CE0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53287716"/>
    <w:multiLevelType w:val="hybridMultilevel"/>
    <w:tmpl w:val="7078128A"/>
    <w:lvl w:ilvl="0" w:tplc="E16A2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6BB0463"/>
    <w:multiLevelType w:val="hybridMultilevel"/>
    <w:tmpl w:val="1442990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75E0477"/>
    <w:multiLevelType w:val="hybridMultilevel"/>
    <w:tmpl w:val="DBEA4E3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9">
    <w:nsid w:val="594455FD"/>
    <w:multiLevelType w:val="hybridMultilevel"/>
    <w:tmpl w:val="4266B3C8"/>
    <w:lvl w:ilvl="0" w:tplc="4B5A1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FEC389B"/>
    <w:multiLevelType w:val="hybridMultilevel"/>
    <w:tmpl w:val="0814622A"/>
    <w:lvl w:ilvl="0" w:tplc="433E037C">
      <w:start w:val="1"/>
      <w:numFmt w:val="decimal"/>
      <w:lvlText w:val="%1)"/>
      <w:lvlJc w:val="left"/>
      <w:pPr>
        <w:ind w:left="1728" w:hanging="1008"/>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610B1EEC"/>
    <w:multiLevelType w:val="hybridMultilevel"/>
    <w:tmpl w:val="2F72B1F4"/>
    <w:lvl w:ilvl="0" w:tplc="F10AA0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6B961A6C"/>
    <w:multiLevelType w:val="hybridMultilevel"/>
    <w:tmpl w:val="99A4D7F2"/>
    <w:lvl w:ilvl="0" w:tplc="98BCD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71DF5AEA"/>
    <w:multiLevelType w:val="hybridMultilevel"/>
    <w:tmpl w:val="E9B4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23"/>
  </w:num>
  <w:num w:numId="3">
    <w:abstractNumId w:val="13"/>
  </w:num>
  <w:num w:numId="4">
    <w:abstractNumId w:val="0"/>
  </w:num>
  <w:num w:numId="5">
    <w:abstractNumId w:val="4"/>
  </w:num>
  <w:num w:numId="6">
    <w:abstractNumId w:val="5"/>
  </w:num>
  <w:num w:numId="7">
    <w:abstractNumId w:val="8"/>
  </w:num>
  <w:num w:numId="8">
    <w:abstractNumId w:val="21"/>
  </w:num>
  <w:num w:numId="9">
    <w:abstractNumId w:val="6"/>
  </w:num>
  <w:num w:numId="10">
    <w:abstractNumId w:val="15"/>
  </w:num>
  <w:num w:numId="11">
    <w:abstractNumId w:val="19"/>
  </w:num>
  <w:num w:numId="12">
    <w:abstractNumId w:val="14"/>
  </w:num>
  <w:num w:numId="13">
    <w:abstractNumId w:val="20"/>
  </w:num>
  <w:num w:numId="14">
    <w:abstractNumId w:val="12"/>
  </w:num>
  <w:num w:numId="15">
    <w:abstractNumId w:val="22"/>
  </w:num>
  <w:num w:numId="16">
    <w:abstractNumId w:val="3"/>
  </w:num>
  <w:num w:numId="17">
    <w:abstractNumId w:val="16"/>
  </w:num>
  <w:num w:numId="18">
    <w:abstractNumId w:val="1"/>
  </w:num>
  <w:num w:numId="19">
    <w:abstractNumId w:val="9"/>
  </w:num>
  <w:num w:numId="20">
    <w:abstractNumId w:val="11"/>
  </w:num>
  <w:num w:numId="21">
    <w:abstractNumId w:val="18"/>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33"/>
    <w:rsid w:val="000075D9"/>
    <w:rsid w:val="00011728"/>
    <w:rsid w:val="00011F15"/>
    <w:rsid w:val="000151C6"/>
    <w:rsid w:val="000205C5"/>
    <w:rsid w:val="00023E80"/>
    <w:rsid w:val="00024C36"/>
    <w:rsid w:val="00032E8A"/>
    <w:rsid w:val="000551EC"/>
    <w:rsid w:val="00062D4B"/>
    <w:rsid w:val="0007176D"/>
    <w:rsid w:val="00071C35"/>
    <w:rsid w:val="000776B5"/>
    <w:rsid w:val="0008404E"/>
    <w:rsid w:val="000935C6"/>
    <w:rsid w:val="00096BF7"/>
    <w:rsid w:val="000A0A0F"/>
    <w:rsid w:val="000A3698"/>
    <w:rsid w:val="000A425C"/>
    <w:rsid w:val="000A687A"/>
    <w:rsid w:val="000B554D"/>
    <w:rsid w:val="000C017C"/>
    <w:rsid w:val="000C4FA8"/>
    <w:rsid w:val="000D007B"/>
    <w:rsid w:val="000D008C"/>
    <w:rsid w:val="000D1327"/>
    <w:rsid w:val="000D24E7"/>
    <w:rsid w:val="000D4359"/>
    <w:rsid w:val="000D49DC"/>
    <w:rsid w:val="000E7353"/>
    <w:rsid w:val="000F6ECE"/>
    <w:rsid w:val="000F779E"/>
    <w:rsid w:val="0010093C"/>
    <w:rsid w:val="001129A9"/>
    <w:rsid w:val="0011391B"/>
    <w:rsid w:val="00114601"/>
    <w:rsid w:val="001231FB"/>
    <w:rsid w:val="001240B7"/>
    <w:rsid w:val="00127309"/>
    <w:rsid w:val="001302E7"/>
    <w:rsid w:val="00130734"/>
    <w:rsid w:val="00131D4C"/>
    <w:rsid w:val="00131FA9"/>
    <w:rsid w:val="00132A61"/>
    <w:rsid w:val="0013305B"/>
    <w:rsid w:val="0013777D"/>
    <w:rsid w:val="001410C5"/>
    <w:rsid w:val="00143BB4"/>
    <w:rsid w:val="001446E4"/>
    <w:rsid w:val="001454CF"/>
    <w:rsid w:val="00147D8A"/>
    <w:rsid w:val="00147E92"/>
    <w:rsid w:val="00151567"/>
    <w:rsid w:val="00155C76"/>
    <w:rsid w:val="001627AA"/>
    <w:rsid w:val="00163882"/>
    <w:rsid w:val="00163C05"/>
    <w:rsid w:val="00180BBE"/>
    <w:rsid w:val="00192827"/>
    <w:rsid w:val="00194519"/>
    <w:rsid w:val="001A0948"/>
    <w:rsid w:val="001A28D6"/>
    <w:rsid w:val="001A4D49"/>
    <w:rsid w:val="001A55D7"/>
    <w:rsid w:val="001B3EC1"/>
    <w:rsid w:val="001B62F3"/>
    <w:rsid w:val="001C15FC"/>
    <w:rsid w:val="001C603D"/>
    <w:rsid w:val="001D2590"/>
    <w:rsid w:val="001D3D3A"/>
    <w:rsid w:val="001D72DF"/>
    <w:rsid w:val="001E1055"/>
    <w:rsid w:val="001E1B4E"/>
    <w:rsid w:val="001E78E1"/>
    <w:rsid w:val="001E7962"/>
    <w:rsid w:val="001F6309"/>
    <w:rsid w:val="00203697"/>
    <w:rsid w:val="00213980"/>
    <w:rsid w:val="00215CBD"/>
    <w:rsid w:val="00217231"/>
    <w:rsid w:val="00231327"/>
    <w:rsid w:val="002340FC"/>
    <w:rsid w:val="0023685D"/>
    <w:rsid w:val="00242B71"/>
    <w:rsid w:val="0024425C"/>
    <w:rsid w:val="00245043"/>
    <w:rsid w:val="00245929"/>
    <w:rsid w:val="0025590D"/>
    <w:rsid w:val="00271E0E"/>
    <w:rsid w:val="0027285D"/>
    <w:rsid w:val="00275E9A"/>
    <w:rsid w:val="00280802"/>
    <w:rsid w:val="00286CCD"/>
    <w:rsid w:val="00292D4E"/>
    <w:rsid w:val="00295BCE"/>
    <w:rsid w:val="00296323"/>
    <w:rsid w:val="002969EE"/>
    <w:rsid w:val="002A14A3"/>
    <w:rsid w:val="002A434E"/>
    <w:rsid w:val="002A44AA"/>
    <w:rsid w:val="002B28D3"/>
    <w:rsid w:val="002B39FB"/>
    <w:rsid w:val="002B4133"/>
    <w:rsid w:val="002B6F87"/>
    <w:rsid w:val="002B7558"/>
    <w:rsid w:val="002C20A5"/>
    <w:rsid w:val="002D00D0"/>
    <w:rsid w:val="002D3C84"/>
    <w:rsid w:val="002D49A5"/>
    <w:rsid w:val="002D6D11"/>
    <w:rsid w:val="002D728A"/>
    <w:rsid w:val="002D7804"/>
    <w:rsid w:val="002D7B2C"/>
    <w:rsid w:val="002E1D42"/>
    <w:rsid w:val="002E4104"/>
    <w:rsid w:val="002E5EEB"/>
    <w:rsid w:val="002F11CB"/>
    <w:rsid w:val="00306DB5"/>
    <w:rsid w:val="00307C2A"/>
    <w:rsid w:val="00312E0B"/>
    <w:rsid w:val="00321835"/>
    <w:rsid w:val="00335CA7"/>
    <w:rsid w:val="00335F44"/>
    <w:rsid w:val="003434B0"/>
    <w:rsid w:val="00344C1F"/>
    <w:rsid w:val="00346278"/>
    <w:rsid w:val="00346B2A"/>
    <w:rsid w:val="003538C5"/>
    <w:rsid w:val="00357B1D"/>
    <w:rsid w:val="00362177"/>
    <w:rsid w:val="00366505"/>
    <w:rsid w:val="00375BA4"/>
    <w:rsid w:val="00382A0E"/>
    <w:rsid w:val="00390208"/>
    <w:rsid w:val="003A1CA8"/>
    <w:rsid w:val="003A3A71"/>
    <w:rsid w:val="003A4330"/>
    <w:rsid w:val="003B134B"/>
    <w:rsid w:val="003B6436"/>
    <w:rsid w:val="003B7F8F"/>
    <w:rsid w:val="003C04F7"/>
    <w:rsid w:val="003C7A30"/>
    <w:rsid w:val="003D623E"/>
    <w:rsid w:val="003D7F90"/>
    <w:rsid w:val="003E0CEE"/>
    <w:rsid w:val="003E1015"/>
    <w:rsid w:val="003E12F5"/>
    <w:rsid w:val="003E5781"/>
    <w:rsid w:val="003E5AE7"/>
    <w:rsid w:val="003F281C"/>
    <w:rsid w:val="003F3AA1"/>
    <w:rsid w:val="003F46E5"/>
    <w:rsid w:val="003F5F48"/>
    <w:rsid w:val="003F6908"/>
    <w:rsid w:val="003F6E50"/>
    <w:rsid w:val="0040062D"/>
    <w:rsid w:val="00416A44"/>
    <w:rsid w:val="00417D5F"/>
    <w:rsid w:val="00421F94"/>
    <w:rsid w:val="00423384"/>
    <w:rsid w:val="00425149"/>
    <w:rsid w:val="0042768A"/>
    <w:rsid w:val="0043117A"/>
    <w:rsid w:val="004351D4"/>
    <w:rsid w:val="0043635A"/>
    <w:rsid w:val="004364C8"/>
    <w:rsid w:val="0044175D"/>
    <w:rsid w:val="00441A94"/>
    <w:rsid w:val="00445609"/>
    <w:rsid w:val="00450062"/>
    <w:rsid w:val="004535C3"/>
    <w:rsid w:val="00471098"/>
    <w:rsid w:val="00476240"/>
    <w:rsid w:val="00477418"/>
    <w:rsid w:val="00484807"/>
    <w:rsid w:val="00495174"/>
    <w:rsid w:val="004A3E03"/>
    <w:rsid w:val="004A5455"/>
    <w:rsid w:val="004A7614"/>
    <w:rsid w:val="004B58FA"/>
    <w:rsid w:val="004C127F"/>
    <w:rsid w:val="004C37C6"/>
    <w:rsid w:val="004C49DD"/>
    <w:rsid w:val="004D2755"/>
    <w:rsid w:val="004D5929"/>
    <w:rsid w:val="004E3153"/>
    <w:rsid w:val="004E5800"/>
    <w:rsid w:val="004E6C49"/>
    <w:rsid w:val="004E7068"/>
    <w:rsid w:val="005165B3"/>
    <w:rsid w:val="0051750E"/>
    <w:rsid w:val="0052246D"/>
    <w:rsid w:val="0052255E"/>
    <w:rsid w:val="00525BB9"/>
    <w:rsid w:val="00536B4C"/>
    <w:rsid w:val="00537FF1"/>
    <w:rsid w:val="005653CA"/>
    <w:rsid w:val="00572FD3"/>
    <w:rsid w:val="005820B7"/>
    <w:rsid w:val="00592AE4"/>
    <w:rsid w:val="00595A6F"/>
    <w:rsid w:val="005B7F41"/>
    <w:rsid w:val="005C22BE"/>
    <w:rsid w:val="005C74C5"/>
    <w:rsid w:val="005D26EE"/>
    <w:rsid w:val="005D4DA5"/>
    <w:rsid w:val="005D523E"/>
    <w:rsid w:val="005D5923"/>
    <w:rsid w:val="005D7522"/>
    <w:rsid w:val="005E14EF"/>
    <w:rsid w:val="005F2D2C"/>
    <w:rsid w:val="005F314B"/>
    <w:rsid w:val="00612303"/>
    <w:rsid w:val="00617084"/>
    <w:rsid w:val="0062654A"/>
    <w:rsid w:val="00643393"/>
    <w:rsid w:val="00643B1C"/>
    <w:rsid w:val="00664CF2"/>
    <w:rsid w:val="006651EF"/>
    <w:rsid w:val="006747D4"/>
    <w:rsid w:val="00676AAC"/>
    <w:rsid w:val="00683598"/>
    <w:rsid w:val="00683993"/>
    <w:rsid w:val="00684AF8"/>
    <w:rsid w:val="00684E1F"/>
    <w:rsid w:val="00694FD7"/>
    <w:rsid w:val="006A1954"/>
    <w:rsid w:val="006B1896"/>
    <w:rsid w:val="006C3E5D"/>
    <w:rsid w:val="006C422F"/>
    <w:rsid w:val="006D5637"/>
    <w:rsid w:val="006E101B"/>
    <w:rsid w:val="006E4B0C"/>
    <w:rsid w:val="006F2948"/>
    <w:rsid w:val="00705953"/>
    <w:rsid w:val="0070655F"/>
    <w:rsid w:val="0071070B"/>
    <w:rsid w:val="0072339C"/>
    <w:rsid w:val="0072771C"/>
    <w:rsid w:val="00732E47"/>
    <w:rsid w:val="00735185"/>
    <w:rsid w:val="00740456"/>
    <w:rsid w:val="00740A6D"/>
    <w:rsid w:val="00741B12"/>
    <w:rsid w:val="007477EA"/>
    <w:rsid w:val="007565E1"/>
    <w:rsid w:val="00764362"/>
    <w:rsid w:val="007735A1"/>
    <w:rsid w:val="00775D24"/>
    <w:rsid w:val="00776842"/>
    <w:rsid w:val="0078172C"/>
    <w:rsid w:val="007820BC"/>
    <w:rsid w:val="00783351"/>
    <w:rsid w:val="00791A9E"/>
    <w:rsid w:val="00791FEA"/>
    <w:rsid w:val="00795BE5"/>
    <w:rsid w:val="00796687"/>
    <w:rsid w:val="007A17EE"/>
    <w:rsid w:val="007A683F"/>
    <w:rsid w:val="007B4FC4"/>
    <w:rsid w:val="007B66B2"/>
    <w:rsid w:val="007E4771"/>
    <w:rsid w:val="007E4931"/>
    <w:rsid w:val="007F06A7"/>
    <w:rsid w:val="007F2BA2"/>
    <w:rsid w:val="007F7DFA"/>
    <w:rsid w:val="00801ED2"/>
    <w:rsid w:val="008062A4"/>
    <w:rsid w:val="00807CCC"/>
    <w:rsid w:val="00821958"/>
    <w:rsid w:val="00831CB1"/>
    <w:rsid w:val="0083454E"/>
    <w:rsid w:val="00835323"/>
    <w:rsid w:val="0083595F"/>
    <w:rsid w:val="00836C75"/>
    <w:rsid w:val="00843463"/>
    <w:rsid w:val="00845781"/>
    <w:rsid w:val="00847AE2"/>
    <w:rsid w:val="00866BA0"/>
    <w:rsid w:val="008758E8"/>
    <w:rsid w:val="00882BB7"/>
    <w:rsid w:val="00884507"/>
    <w:rsid w:val="00892C4A"/>
    <w:rsid w:val="00897111"/>
    <w:rsid w:val="008C07E2"/>
    <w:rsid w:val="008C5338"/>
    <w:rsid w:val="008C588D"/>
    <w:rsid w:val="008D0AC3"/>
    <w:rsid w:val="008D7170"/>
    <w:rsid w:val="008E1F26"/>
    <w:rsid w:val="008E5423"/>
    <w:rsid w:val="008F0835"/>
    <w:rsid w:val="008F15A0"/>
    <w:rsid w:val="008F1754"/>
    <w:rsid w:val="008F3654"/>
    <w:rsid w:val="008F4031"/>
    <w:rsid w:val="0091144E"/>
    <w:rsid w:val="009131A3"/>
    <w:rsid w:val="009160F3"/>
    <w:rsid w:val="009217D2"/>
    <w:rsid w:val="00923938"/>
    <w:rsid w:val="009243DA"/>
    <w:rsid w:val="00925DA7"/>
    <w:rsid w:val="00925F7F"/>
    <w:rsid w:val="00932392"/>
    <w:rsid w:val="00937109"/>
    <w:rsid w:val="009411BE"/>
    <w:rsid w:val="00941A12"/>
    <w:rsid w:val="00941B3C"/>
    <w:rsid w:val="00944D01"/>
    <w:rsid w:val="0094524A"/>
    <w:rsid w:val="00945914"/>
    <w:rsid w:val="00950F83"/>
    <w:rsid w:val="00956115"/>
    <w:rsid w:val="0096242D"/>
    <w:rsid w:val="00965231"/>
    <w:rsid w:val="009765D7"/>
    <w:rsid w:val="0099203C"/>
    <w:rsid w:val="00994FF1"/>
    <w:rsid w:val="009A1F1A"/>
    <w:rsid w:val="009A289F"/>
    <w:rsid w:val="009A2FB6"/>
    <w:rsid w:val="009A39F2"/>
    <w:rsid w:val="009A6BFB"/>
    <w:rsid w:val="009B4B43"/>
    <w:rsid w:val="009B5998"/>
    <w:rsid w:val="009B622B"/>
    <w:rsid w:val="009C4736"/>
    <w:rsid w:val="009C6010"/>
    <w:rsid w:val="009D6FDB"/>
    <w:rsid w:val="009E2121"/>
    <w:rsid w:val="009E4AB1"/>
    <w:rsid w:val="009E6707"/>
    <w:rsid w:val="009F78DE"/>
    <w:rsid w:val="00A0433C"/>
    <w:rsid w:val="00A0492A"/>
    <w:rsid w:val="00A04AAB"/>
    <w:rsid w:val="00A1445D"/>
    <w:rsid w:val="00A15C35"/>
    <w:rsid w:val="00A23FBB"/>
    <w:rsid w:val="00A2798D"/>
    <w:rsid w:val="00A34DBE"/>
    <w:rsid w:val="00A355E2"/>
    <w:rsid w:val="00A3589D"/>
    <w:rsid w:val="00A36C6C"/>
    <w:rsid w:val="00A428AF"/>
    <w:rsid w:val="00A470D1"/>
    <w:rsid w:val="00A5169B"/>
    <w:rsid w:val="00A6332E"/>
    <w:rsid w:val="00A63816"/>
    <w:rsid w:val="00A66D7D"/>
    <w:rsid w:val="00A67651"/>
    <w:rsid w:val="00A70DA3"/>
    <w:rsid w:val="00A72D12"/>
    <w:rsid w:val="00A74662"/>
    <w:rsid w:val="00A74B1D"/>
    <w:rsid w:val="00A82FCE"/>
    <w:rsid w:val="00A85E71"/>
    <w:rsid w:val="00A930A0"/>
    <w:rsid w:val="00AA0039"/>
    <w:rsid w:val="00AC10A0"/>
    <w:rsid w:val="00AC7CAB"/>
    <w:rsid w:val="00AD3F46"/>
    <w:rsid w:val="00AD6132"/>
    <w:rsid w:val="00AD6781"/>
    <w:rsid w:val="00AE0159"/>
    <w:rsid w:val="00AE1610"/>
    <w:rsid w:val="00AE2F16"/>
    <w:rsid w:val="00AF0AF8"/>
    <w:rsid w:val="00AF7549"/>
    <w:rsid w:val="00AF761E"/>
    <w:rsid w:val="00B003ED"/>
    <w:rsid w:val="00B0109F"/>
    <w:rsid w:val="00B04ED7"/>
    <w:rsid w:val="00B05614"/>
    <w:rsid w:val="00B06920"/>
    <w:rsid w:val="00B11E0F"/>
    <w:rsid w:val="00B14892"/>
    <w:rsid w:val="00B1548F"/>
    <w:rsid w:val="00B15748"/>
    <w:rsid w:val="00B23278"/>
    <w:rsid w:val="00B306B3"/>
    <w:rsid w:val="00B32F37"/>
    <w:rsid w:val="00B34710"/>
    <w:rsid w:val="00B36136"/>
    <w:rsid w:val="00B36A58"/>
    <w:rsid w:val="00B43B77"/>
    <w:rsid w:val="00B46E73"/>
    <w:rsid w:val="00B47DE1"/>
    <w:rsid w:val="00B54516"/>
    <w:rsid w:val="00B62296"/>
    <w:rsid w:val="00B65F8D"/>
    <w:rsid w:val="00B70FD5"/>
    <w:rsid w:val="00B72467"/>
    <w:rsid w:val="00B72AC1"/>
    <w:rsid w:val="00B903E5"/>
    <w:rsid w:val="00B92A18"/>
    <w:rsid w:val="00B96A8C"/>
    <w:rsid w:val="00BA4D8A"/>
    <w:rsid w:val="00BB67E4"/>
    <w:rsid w:val="00BC5D97"/>
    <w:rsid w:val="00BD1B9D"/>
    <w:rsid w:val="00BD2AC3"/>
    <w:rsid w:val="00BD2BAB"/>
    <w:rsid w:val="00BD39B5"/>
    <w:rsid w:val="00BD4764"/>
    <w:rsid w:val="00BE02C0"/>
    <w:rsid w:val="00BF3213"/>
    <w:rsid w:val="00BF7FB4"/>
    <w:rsid w:val="00C011A8"/>
    <w:rsid w:val="00C06532"/>
    <w:rsid w:val="00C22625"/>
    <w:rsid w:val="00C31746"/>
    <w:rsid w:val="00C31E6E"/>
    <w:rsid w:val="00C4091E"/>
    <w:rsid w:val="00C51606"/>
    <w:rsid w:val="00C63F3B"/>
    <w:rsid w:val="00C80B42"/>
    <w:rsid w:val="00C8125A"/>
    <w:rsid w:val="00C815E8"/>
    <w:rsid w:val="00C824C3"/>
    <w:rsid w:val="00C8256F"/>
    <w:rsid w:val="00CA2814"/>
    <w:rsid w:val="00CA6831"/>
    <w:rsid w:val="00CB1DD9"/>
    <w:rsid w:val="00CB2FE6"/>
    <w:rsid w:val="00CB4646"/>
    <w:rsid w:val="00CC16E1"/>
    <w:rsid w:val="00CD082C"/>
    <w:rsid w:val="00CD1251"/>
    <w:rsid w:val="00CD2D6F"/>
    <w:rsid w:val="00CE10D4"/>
    <w:rsid w:val="00CF2B49"/>
    <w:rsid w:val="00CF374F"/>
    <w:rsid w:val="00CF6F88"/>
    <w:rsid w:val="00D1117A"/>
    <w:rsid w:val="00D11884"/>
    <w:rsid w:val="00D12E78"/>
    <w:rsid w:val="00D3205F"/>
    <w:rsid w:val="00D3381C"/>
    <w:rsid w:val="00D369E7"/>
    <w:rsid w:val="00D42F7C"/>
    <w:rsid w:val="00D51FA5"/>
    <w:rsid w:val="00D54A17"/>
    <w:rsid w:val="00D54F39"/>
    <w:rsid w:val="00D61245"/>
    <w:rsid w:val="00D61471"/>
    <w:rsid w:val="00D63E66"/>
    <w:rsid w:val="00D766F5"/>
    <w:rsid w:val="00D81E87"/>
    <w:rsid w:val="00D846E2"/>
    <w:rsid w:val="00D859EC"/>
    <w:rsid w:val="00D863A1"/>
    <w:rsid w:val="00D92C21"/>
    <w:rsid w:val="00D935B3"/>
    <w:rsid w:val="00D9368E"/>
    <w:rsid w:val="00DA4B03"/>
    <w:rsid w:val="00DA669F"/>
    <w:rsid w:val="00DB1C62"/>
    <w:rsid w:val="00DB540A"/>
    <w:rsid w:val="00DB7A1D"/>
    <w:rsid w:val="00DB7A60"/>
    <w:rsid w:val="00DC222D"/>
    <w:rsid w:val="00DC2DF8"/>
    <w:rsid w:val="00DC45F7"/>
    <w:rsid w:val="00DD02B5"/>
    <w:rsid w:val="00DE47E6"/>
    <w:rsid w:val="00DF46B6"/>
    <w:rsid w:val="00DF6FE8"/>
    <w:rsid w:val="00E01490"/>
    <w:rsid w:val="00E017DB"/>
    <w:rsid w:val="00E0250D"/>
    <w:rsid w:val="00E05EC3"/>
    <w:rsid w:val="00E124E8"/>
    <w:rsid w:val="00E13617"/>
    <w:rsid w:val="00E2240F"/>
    <w:rsid w:val="00E26B34"/>
    <w:rsid w:val="00E3015F"/>
    <w:rsid w:val="00E30B59"/>
    <w:rsid w:val="00E36730"/>
    <w:rsid w:val="00E4068A"/>
    <w:rsid w:val="00E46142"/>
    <w:rsid w:val="00E508D9"/>
    <w:rsid w:val="00E54FD7"/>
    <w:rsid w:val="00E662CE"/>
    <w:rsid w:val="00E6675A"/>
    <w:rsid w:val="00E76E3A"/>
    <w:rsid w:val="00E81318"/>
    <w:rsid w:val="00E83B8D"/>
    <w:rsid w:val="00E93221"/>
    <w:rsid w:val="00E9366B"/>
    <w:rsid w:val="00EB3A43"/>
    <w:rsid w:val="00EB78EB"/>
    <w:rsid w:val="00EC5773"/>
    <w:rsid w:val="00EC6A05"/>
    <w:rsid w:val="00ED3829"/>
    <w:rsid w:val="00ED3F44"/>
    <w:rsid w:val="00ED408B"/>
    <w:rsid w:val="00ED7D6A"/>
    <w:rsid w:val="00EE2270"/>
    <w:rsid w:val="00EE3B19"/>
    <w:rsid w:val="00EE3B52"/>
    <w:rsid w:val="00EE5F47"/>
    <w:rsid w:val="00EE685A"/>
    <w:rsid w:val="00EF2074"/>
    <w:rsid w:val="00EF3F93"/>
    <w:rsid w:val="00EF456B"/>
    <w:rsid w:val="00F04640"/>
    <w:rsid w:val="00F136C8"/>
    <w:rsid w:val="00F143EB"/>
    <w:rsid w:val="00F2103B"/>
    <w:rsid w:val="00F31385"/>
    <w:rsid w:val="00F355E3"/>
    <w:rsid w:val="00F55CC8"/>
    <w:rsid w:val="00F56C0D"/>
    <w:rsid w:val="00F57946"/>
    <w:rsid w:val="00F63933"/>
    <w:rsid w:val="00F72764"/>
    <w:rsid w:val="00F8023F"/>
    <w:rsid w:val="00F84068"/>
    <w:rsid w:val="00F84855"/>
    <w:rsid w:val="00F91126"/>
    <w:rsid w:val="00F96DB9"/>
    <w:rsid w:val="00F97814"/>
    <w:rsid w:val="00FA0A40"/>
    <w:rsid w:val="00FA5234"/>
    <w:rsid w:val="00FC470C"/>
    <w:rsid w:val="00FD1840"/>
    <w:rsid w:val="00FE2F83"/>
    <w:rsid w:val="00FE5169"/>
    <w:rsid w:val="00FE52DD"/>
    <w:rsid w:val="00FE655E"/>
    <w:rsid w:val="00FF3B18"/>
    <w:rsid w:val="00FF730D"/>
    <w:rsid w:val="00FF7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 w:type="paragraph" w:customStyle="1" w:styleId="pavadinimas1">
    <w:name w:val="pavadinimas1"/>
    <w:basedOn w:val="prastasis"/>
    <w:rsid w:val="00F355E3"/>
    <w:pPr>
      <w:spacing w:before="100" w:beforeAutospacing="1" w:after="100" w:afterAutospacing="1"/>
    </w:pPr>
    <w:rPr>
      <w:szCs w:val="24"/>
      <w:lang w:eastAsia="lt-LT" w:bidi="lo-LA"/>
    </w:rPr>
  </w:style>
  <w:style w:type="paragraph" w:customStyle="1" w:styleId="CM1">
    <w:name w:val="CM1"/>
    <w:basedOn w:val="prastasis"/>
    <w:next w:val="prastasis"/>
    <w:uiPriority w:val="99"/>
    <w:rsid w:val="00FE52DD"/>
    <w:pPr>
      <w:autoSpaceDE w:val="0"/>
      <w:autoSpaceDN w:val="0"/>
      <w:adjustRightInd w:val="0"/>
    </w:pPr>
    <w:rPr>
      <w:rFonts w:eastAsiaTheme="minorHAnsi"/>
      <w:szCs w:val="24"/>
    </w:rPr>
  </w:style>
  <w:style w:type="paragraph" w:customStyle="1" w:styleId="CM3">
    <w:name w:val="CM3"/>
    <w:basedOn w:val="prastasis"/>
    <w:next w:val="prastasis"/>
    <w:uiPriority w:val="99"/>
    <w:rsid w:val="00FE52DD"/>
    <w:pPr>
      <w:autoSpaceDE w:val="0"/>
      <w:autoSpaceDN w:val="0"/>
      <w:adjustRightInd w:val="0"/>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 w:type="paragraph" w:customStyle="1" w:styleId="pavadinimas1">
    <w:name w:val="pavadinimas1"/>
    <w:basedOn w:val="prastasis"/>
    <w:rsid w:val="00F355E3"/>
    <w:pPr>
      <w:spacing w:before="100" w:beforeAutospacing="1" w:after="100" w:afterAutospacing="1"/>
    </w:pPr>
    <w:rPr>
      <w:szCs w:val="24"/>
      <w:lang w:eastAsia="lt-LT" w:bidi="lo-LA"/>
    </w:rPr>
  </w:style>
  <w:style w:type="paragraph" w:customStyle="1" w:styleId="CM1">
    <w:name w:val="CM1"/>
    <w:basedOn w:val="prastasis"/>
    <w:next w:val="prastasis"/>
    <w:uiPriority w:val="99"/>
    <w:rsid w:val="00FE52DD"/>
    <w:pPr>
      <w:autoSpaceDE w:val="0"/>
      <w:autoSpaceDN w:val="0"/>
      <w:adjustRightInd w:val="0"/>
    </w:pPr>
    <w:rPr>
      <w:rFonts w:eastAsiaTheme="minorHAnsi"/>
      <w:szCs w:val="24"/>
    </w:rPr>
  </w:style>
  <w:style w:type="paragraph" w:customStyle="1" w:styleId="CM3">
    <w:name w:val="CM3"/>
    <w:basedOn w:val="prastasis"/>
    <w:next w:val="prastasis"/>
    <w:uiPriority w:val="99"/>
    <w:rsid w:val="00FE52DD"/>
    <w:pPr>
      <w:autoSpaceDE w:val="0"/>
      <w:autoSpaceDN w:val="0"/>
      <w:adjustRightInd w:val="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4007">
      <w:bodyDiv w:val="1"/>
      <w:marLeft w:val="0"/>
      <w:marRight w:val="0"/>
      <w:marTop w:val="0"/>
      <w:marBottom w:val="0"/>
      <w:divBdr>
        <w:top w:val="none" w:sz="0" w:space="0" w:color="auto"/>
        <w:left w:val="none" w:sz="0" w:space="0" w:color="auto"/>
        <w:bottom w:val="none" w:sz="0" w:space="0" w:color="auto"/>
        <w:right w:val="none" w:sz="0" w:space="0" w:color="auto"/>
      </w:divBdr>
    </w:div>
    <w:div w:id="1055741114">
      <w:bodyDiv w:val="1"/>
      <w:marLeft w:val="0"/>
      <w:marRight w:val="0"/>
      <w:marTop w:val="0"/>
      <w:marBottom w:val="0"/>
      <w:divBdr>
        <w:top w:val="none" w:sz="0" w:space="0" w:color="auto"/>
        <w:left w:val="none" w:sz="0" w:space="0" w:color="auto"/>
        <w:bottom w:val="none" w:sz="0" w:space="0" w:color="auto"/>
        <w:right w:val="none" w:sz="0" w:space="0" w:color="auto"/>
      </w:divBdr>
    </w:div>
    <w:div w:id="1424834738">
      <w:bodyDiv w:val="1"/>
      <w:marLeft w:val="0"/>
      <w:marRight w:val="0"/>
      <w:marTop w:val="0"/>
      <w:marBottom w:val="0"/>
      <w:divBdr>
        <w:top w:val="none" w:sz="0" w:space="0" w:color="auto"/>
        <w:left w:val="none" w:sz="0" w:space="0" w:color="auto"/>
        <w:bottom w:val="none" w:sz="0" w:space="0" w:color="auto"/>
        <w:right w:val="none" w:sz="0" w:space="0" w:color="auto"/>
      </w:divBdr>
      <w:divsChild>
        <w:div w:id="852302472">
          <w:marLeft w:val="0"/>
          <w:marRight w:val="0"/>
          <w:marTop w:val="0"/>
          <w:marBottom w:val="0"/>
          <w:divBdr>
            <w:top w:val="none" w:sz="0" w:space="0" w:color="auto"/>
            <w:left w:val="none" w:sz="0" w:space="0" w:color="auto"/>
            <w:bottom w:val="none" w:sz="0" w:space="0" w:color="auto"/>
            <w:right w:val="none" w:sz="0" w:space="0" w:color="auto"/>
          </w:divBdr>
          <w:divsChild>
            <w:div w:id="1286883784">
              <w:marLeft w:val="0"/>
              <w:marRight w:val="0"/>
              <w:marTop w:val="0"/>
              <w:marBottom w:val="0"/>
              <w:divBdr>
                <w:top w:val="none" w:sz="0" w:space="0" w:color="auto"/>
                <w:left w:val="none" w:sz="0" w:space="0" w:color="auto"/>
                <w:bottom w:val="none" w:sz="0" w:space="0" w:color="auto"/>
                <w:right w:val="none" w:sz="0" w:space="0" w:color="auto"/>
              </w:divBdr>
              <w:divsChild>
                <w:div w:id="1462918179">
                  <w:marLeft w:val="0"/>
                  <w:marRight w:val="0"/>
                  <w:marTop w:val="0"/>
                  <w:marBottom w:val="0"/>
                  <w:divBdr>
                    <w:top w:val="none" w:sz="0" w:space="0" w:color="auto"/>
                    <w:left w:val="none" w:sz="0" w:space="0" w:color="auto"/>
                    <w:bottom w:val="none" w:sz="0" w:space="0" w:color="auto"/>
                    <w:right w:val="none" w:sz="0" w:space="0" w:color="auto"/>
                  </w:divBdr>
                  <w:divsChild>
                    <w:div w:id="96171385">
                      <w:marLeft w:val="0"/>
                      <w:marRight w:val="0"/>
                      <w:marTop w:val="0"/>
                      <w:marBottom w:val="0"/>
                      <w:divBdr>
                        <w:top w:val="none" w:sz="0" w:space="0" w:color="auto"/>
                        <w:left w:val="none" w:sz="0" w:space="0" w:color="auto"/>
                        <w:bottom w:val="none" w:sz="0" w:space="0" w:color="auto"/>
                        <w:right w:val="none" w:sz="0" w:space="0" w:color="auto"/>
                      </w:divBdr>
                      <w:divsChild>
                        <w:div w:id="1545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716">
                  <w:marLeft w:val="0"/>
                  <w:marRight w:val="0"/>
                  <w:marTop w:val="0"/>
                  <w:marBottom w:val="0"/>
                  <w:divBdr>
                    <w:top w:val="none" w:sz="0" w:space="0" w:color="auto"/>
                    <w:left w:val="none" w:sz="0" w:space="0" w:color="auto"/>
                    <w:bottom w:val="none" w:sz="0" w:space="0" w:color="auto"/>
                    <w:right w:val="none" w:sz="0" w:space="0" w:color="auto"/>
                  </w:divBdr>
                  <w:divsChild>
                    <w:div w:id="1523862241">
                      <w:marLeft w:val="0"/>
                      <w:marRight w:val="0"/>
                      <w:marTop w:val="0"/>
                      <w:marBottom w:val="0"/>
                      <w:divBdr>
                        <w:top w:val="none" w:sz="0" w:space="0" w:color="auto"/>
                        <w:left w:val="none" w:sz="0" w:space="0" w:color="auto"/>
                        <w:bottom w:val="none" w:sz="0" w:space="0" w:color="auto"/>
                        <w:right w:val="none" w:sz="0" w:space="0" w:color="auto"/>
                      </w:divBdr>
                      <w:divsChild>
                        <w:div w:id="15560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5603">
              <w:marLeft w:val="0"/>
              <w:marRight w:val="0"/>
              <w:marTop w:val="0"/>
              <w:marBottom w:val="0"/>
              <w:divBdr>
                <w:top w:val="none" w:sz="0" w:space="0" w:color="auto"/>
                <w:left w:val="none" w:sz="0" w:space="0" w:color="auto"/>
                <w:bottom w:val="none" w:sz="0" w:space="0" w:color="auto"/>
                <w:right w:val="none" w:sz="0" w:space="0" w:color="auto"/>
              </w:divBdr>
              <w:divsChild>
                <w:div w:id="764151706">
                  <w:marLeft w:val="0"/>
                  <w:marRight w:val="0"/>
                  <w:marTop w:val="0"/>
                  <w:marBottom w:val="0"/>
                  <w:divBdr>
                    <w:top w:val="none" w:sz="0" w:space="0" w:color="auto"/>
                    <w:left w:val="none" w:sz="0" w:space="0" w:color="auto"/>
                    <w:bottom w:val="none" w:sz="0" w:space="0" w:color="auto"/>
                    <w:right w:val="none" w:sz="0" w:space="0" w:color="auto"/>
                  </w:divBdr>
                </w:div>
                <w:div w:id="613904117">
                  <w:marLeft w:val="0"/>
                  <w:marRight w:val="0"/>
                  <w:marTop w:val="0"/>
                  <w:marBottom w:val="0"/>
                  <w:divBdr>
                    <w:top w:val="none" w:sz="0" w:space="0" w:color="auto"/>
                    <w:left w:val="none" w:sz="0" w:space="0" w:color="auto"/>
                    <w:bottom w:val="none" w:sz="0" w:space="0" w:color="auto"/>
                    <w:right w:val="none" w:sz="0" w:space="0" w:color="auto"/>
                  </w:divBdr>
                </w:div>
                <w:div w:id="1559701245">
                  <w:marLeft w:val="0"/>
                  <w:marRight w:val="0"/>
                  <w:marTop w:val="0"/>
                  <w:marBottom w:val="0"/>
                  <w:divBdr>
                    <w:top w:val="none" w:sz="0" w:space="0" w:color="auto"/>
                    <w:left w:val="none" w:sz="0" w:space="0" w:color="auto"/>
                    <w:bottom w:val="none" w:sz="0" w:space="0" w:color="auto"/>
                    <w:right w:val="none" w:sz="0" w:space="0" w:color="auto"/>
                  </w:divBdr>
                </w:div>
                <w:div w:id="1209341525">
                  <w:marLeft w:val="0"/>
                  <w:marRight w:val="0"/>
                  <w:marTop w:val="0"/>
                  <w:marBottom w:val="0"/>
                  <w:divBdr>
                    <w:top w:val="none" w:sz="0" w:space="0" w:color="auto"/>
                    <w:left w:val="none" w:sz="0" w:space="0" w:color="auto"/>
                    <w:bottom w:val="none" w:sz="0" w:space="0" w:color="auto"/>
                    <w:right w:val="none" w:sz="0" w:space="0" w:color="auto"/>
                  </w:divBdr>
                </w:div>
                <w:div w:id="1171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6672">
      <w:bodyDiv w:val="1"/>
      <w:marLeft w:val="0"/>
      <w:marRight w:val="0"/>
      <w:marTop w:val="0"/>
      <w:marBottom w:val="0"/>
      <w:divBdr>
        <w:top w:val="none" w:sz="0" w:space="0" w:color="auto"/>
        <w:left w:val="none" w:sz="0" w:space="0" w:color="auto"/>
        <w:bottom w:val="none" w:sz="0" w:space="0" w:color="auto"/>
        <w:right w:val="none" w:sz="0" w:space="0" w:color="auto"/>
      </w:divBdr>
    </w:div>
    <w:div w:id="1690598676">
      <w:bodyDiv w:val="1"/>
      <w:marLeft w:val="0"/>
      <w:marRight w:val="0"/>
      <w:marTop w:val="0"/>
      <w:marBottom w:val="0"/>
      <w:divBdr>
        <w:top w:val="none" w:sz="0" w:space="0" w:color="auto"/>
        <w:left w:val="none" w:sz="0" w:space="0" w:color="auto"/>
        <w:bottom w:val="none" w:sz="0" w:space="0" w:color="auto"/>
        <w:right w:val="none" w:sz="0" w:space="0" w:color="auto"/>
      </w:divBdr>
    </w:div>
    <w:div w:id="1726951123">
      <w:bodyDiv w:val="1"/>
      <w:marLeft w:val="0"/>
      <w:marRight w:val="0"/>
      <w:marTop w:val="0"/>
      <w:marBottom w:val="0"/>
      <w:divBdr>
        <w:top w:val="none" w:sz="0" w:space="0" w:color="auto"/>
        <w:left w:val="none" w:sz="0" w:space="0" w:color="auto"/>
        <w:bottom w:val="none" w:sz="0" w:space="0" w:color="auto"/>
        <w:right w:val="none" w:sz="0" w:space="0" w:color="auto"/>
      </w:divBdr>
    </w:div>
    <w:div w:id="1777286898">
      <w:bodyDiv w:val="1"/>
      <w:marLeft w:val="0"/>
      <w:marRight w:val="0"/>
      <w:marTop w:val="0"/>
      <w:marBottom w:val="0"/>
      <w:divBdr>
        <w:top w:val="none" w:sz="0" w:space="0" w:color="auto"/>
        <w:left w:val="none" w:sz="0" w:space="0" w:color="auto"/>
        <w:bottom w:val="none" w:sz="0" w:space="0" w:color="auto"/>
        <w:right w:val="none" w:sz="0" w:space="0" w:color="auto"/>
      </w:divBdr>
    </w:div>
    <w:div w:id="2058043239">
      <w:bodyDiv w:val="1"/>
      <w:marLeft w:val="0"/>
      <w:marRight w:val="0"/>
      <w:marTop w:val="0"/>
      <w:marBottom w:val="0"/>
      <w:divBdr>
        <w:top w:val="none" w:sz="0" w:space="0" w:color="auto"/>
        <w:left w:val="none" w:sz="0" w:space="0" w:color="auto"/>
        <w:bottom w:val="none" w:sz="0" w:space="0" w:color="auto"/>
        <w:right w:val="none" w:sz="0" w:space="0" w:color="auto"/>
      </w:divBdr>
      <w:divsChild>
        <w:div w:id="692461313">
          <w:marLeft w:val="0"/>
          <w:marRight w:val="0"/>
          <w:marTop w:val="0"/>
          <w:marBottom w:val="0"/>
          <w:divBdr>
            <w:top w:val="none" w:sz="0" w:space="0" w:color="auto"/>
            <w:left w:val="none" w:sz="0" w:space="0" w:color="auto"/>
            <w:bottom w:val="none" w:sz="0" w:space="0" w:color="auto"/>
            <w:right w:val="none" w:sz="0" w:space="0" w:color="auto"/>
          </w:divBdr>
          <w:divsChild>
            <w:div w:id="1185244902">
              <w:marLeft w:val="0"/>
              <w:marRight w:val="0"/>
              <w:marTop w:val="0"/>
              <w:marBottom w:val="0"/>
              <w:divBdr>
                <w:top w:val="none" w:sz="0" w:space="0" w:color="auto"/>
                <w:left w:val="none" w:sz="0" w:space="0" w:color="auto"/>
                <w:bottom w:val="none" w:sz="0" w:space="0" w:color="auto"/>
                <w:right w:val="none" w:sz="0" w:space="0" w:color="auto"/>
              </w:divBdr>
              <w:divsChild>
                <w:div w:id="798108747">
                  <w:marLeft w:val="0"/>
                  <w:marRight w:val="0"/>
                  <w:marTop w:val="0"/>
                  <w:marBottom w:val="0"/>
                  <w:divBdr>
                    <w:top w:val="none" w:sz="0" w:space="0" w:color="auto"/>
                    <w:left w:val="none" w:sz="0" w:space="0" w:color="auto"/>
                    <w:bottom w:val="none" w:sz="0" w:space="0" w:color="auto"/>
                    <w:right w:val="none" w:sz="0" w:space="0" w:color="auto"/>
                  </w:divBdr>
                  <w:divsChild>
                    <w:div w:id="436409069">
                      <w:marLeft w:val="0"/>
                      <w:marRight w:val="0"/>
                      <w:marTop w:val="0"/>
                      <w:marBottom w:val="0"/>
                      <w:divBdr>
                        <w:top w:val="none" w:sz="0" w:space="0" w:color="auto"/>
                        <w:left w:val="none" w:sz="0" w:space="0" w:color="auto"/>
                        <w:bottom w:val="none" w:sz="0" w:space="0" w:color="auto"/>
                        <w:right w:val="none" w:sz="0" w:space="0" w:color="auto"/>
                      </w:divBdr>
                    </w:div>
                    <w:div w:id="347759574">
                      <w:marLeft w:val="0"/>
                      <w:marRight w:val="0"/>
                      <w:marTop w:val="0"/>
                      <w:marBottom w:val="0"/>
                      <w:divBdr>
                        <w:top w:val="none" w:sz="0" w:space="0" w:color="auto"/>
                        <w:left w:val="none" w:sz="0" w:space="0" w:color="auto"/>
                        <w:bottom w:val="none" w:sz="0" w:space="0" w:color="auto"/>
                        <w:right w:val="none" w:sz="0" w:space="0" w:color="auto"/>
                      </w:divBdr>
                    </w:div>
                    <w:div w:id="482743399">
                      <w:marLeft w:val="0"/>
                      <w:marRight w:val="0"/>
                      <w:marTop w:val="0"/>
                      <w:marBottom w:val="0"/>
                      <w:divBdr>
                        <w:top w:val="none" w:sz="0" w:space="0" w:color="auto"/>
                        <w:left w:val="none" w:sz="0" w:space="0" w:color="auto"/>
                        <w:bottom w:val="none" w:sz="0" w:space="0" w:color="auto"/>
                        <w:right w:val="none" w:sz="0" w:space="0" w:color="auto"/>
                      </w:divBdr>
                    </w:div>
                    <w:div w:id="1218475799">
                      <w:marLeft w:val="0"/>
                      <w:marRight w:val="0"/>
                      <w:marTop w:val="0"/>
                      <w:marBottom w:val="0"/>
                      <w:divBdr>
                        <w:top w:val="none" w:sz="0" w:space="0" w:color="auto"/>
                        <w:left w:val="none" w:sz="0" w:space="0" w:color="auto"/>
                        <w:bottom w:val="none" w:sz="0" w:space="0" w:color="auto"/>
                        <w:right w:val="none" w:sz="0" w:space="0" w:color="auto"/>
                      </w:divBdr>
                    </w:div>
                    <w:div w:id="1196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5839">
      <w:bodyDiv w:val="1"/>
      <w:marLeft w:val="0"/>
      <w:marRight w:val="0"/>
      <w:marTop w:val="0"/>
      <w:marBottom w:val="0"/>
      <w:divBdr>
        <w:top w:val="none" w:sz="0" w:space="0" w:color="auto"/>
        <w:left w:val="none" w:sz="0" w:space="0" w:color="auto"/>
        <w:bottom w:val="none" w:sz="0" w:space="0" w:color="auto"/>
        <w:right w:val="none" w:sz="0" w:space="0" w:color="auto"/>
      </w:divBdr>
      <w:divsChild>
        <w:div w:id="152380012">
          <w:marLeft w:val="446"/>
          <w:marRight w:val="0"/>
          <w:marTop w:val="0"/>
          <w:marBottom w:val="0"/>
          <w:divBdr>
            <w:top w:val="none" w:sz="0" w:space="0" w:color="auto"/>
            <w:left w:val="none" w:sz="0" w:space="0" w:color="auto"/>
            <w:bottom w:val="none" w:sz="0" w:space="0" w:color="auto"/>
            <w:right w:val="none" w:sz="0" w:space="0" w:color="auto"/>
          </w:divBdr>
        </w:div>
        <w:div w:id="1052388017">
          <w:marLeft w:val="446"/>
          <w:marRight w:val="0"/>
          <w:marTop w:val="0"/>
          <w:marBottom w:val="0"/>
          <w:divBdr>
            <w:top w:val="none" w:sz="0" w:space="0" w:color="auto"/>
            <w:left w:val="none" w:sz="0" w:space="0" w:color="auto"/>
            <w:bottom w:val="none" w:sz="0" w:space="0" w:color="auto"/>
            <w:right w:val="none" w:sz="0" w:space="0" w:color="auto"/>
          </w:divBdr>
        </w:div>
        <w:div w:id="1679652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785A-9CAC-4448-979C-48713B0D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2</Pages>
  <Words>3131</Words>
  <Characters>1786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Paulė Svorobovičienė</dc:creator>
  <cp:lastModifiedBy>Asta Nareckaite</cp:lastModifiedBy>
  <cp:revision>682</cp:revision>
  <cp:lastPrinted>2019-06-20T10:22:00Z</cp:lastPrinted>
  <dcterms:created xsi:type="dcterms:W3CDTF">2019-06-18T11:23:00Z</dcterms:created>
  <dcterms:modified xsi:type="dcterms:W3CDTF">2021-05-21T08:29:00Z</dcterms:modified>
</cp:coreProperties>
</file>