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1D5FB" w14:textId="77777777" w:rsidR="00E614BF" w:rsidRPr="00192E9E" w:rsidRDefault="00C66D56" w:rsidP="00192E9E">
      <w:pPr>
        <w:spacing w:line="276" w:lineRule="auto"/>
        <w:jc w:val="center"/>
        <w:rPr>
          <w:b/>
          <w:bCs/>
          <w:lang w:eastAsia="lt-LT"/>
        </w:rPr>
      </w:pPr>
      <w:r w:rsidRPr="00192E9E">
        <w:rPr>
          <w:b/>
          <w:bCs/>
          <w:lang w:eastAsia="lt-LT"/>
        </w:rPr>
        <w:t xml:space="preserve">LIETUVOS RESPUBLIKOS </w:t>
      </w:r>
      <w:r w:rsidR="00E614BF" w:rsidRPr="00192E9E">
        <w:rPr>
          <w:b/>
          <w:bCs/>
          <w:lang w:eastAsia="lt-LT"/>
        </w:rPr>
        <w:t xml:space="preserve">VYRIAUSYBĖS 1995 M. RUGPJŪČIO 14 D. NUTARIMO NR. 1119 </w:t>
      </w:r>
    </w:p>
    <w:p w14:paraId="0EFFB6E5" w14:textId="02F13243" w:rsidR="00E614BF" w:rsidRPr="00192E9E" w:rsidRDefault="00E614BF" w:rsidP="00192E9E">
      <w:pPr>
        <w:spacing w:line="276" w:lineRule="auto"/>
        <w:jc w:val="center"/>
        <w:rPr>
          <w:b/>
          <w:bCs/>
          <w:lang w:eastAsia="lt-LT"/>
        </w:rPr>
      </w:pPr>
      <w:r w:rsidRPr="00192E9E">
        <w:rPr>
          <w:b/>
          <w:bCs/>
          <w:lang w:eastAsia="lt-LT"/>
        </w:rPr>
        <w:t>„DĖL LIETUVOS RESPUBLIKOS VALSTYBINĖS REIKŠMĖS VIDAUS VANDENŲ KELIŲ SĄRAŠO PATVIRTINIMO“ PAKEITIMO</w:t>
      </w:r>
    </w:p>
    <w:p w14:paraId="1C362A82" w14:textId="77777777" w:rsidR="00C1694D" w:rsidRPr="00192E9E" w:rsidRDefault="00C1694D" w:rsidP="00192E9E">
      <w:pPr>
        <w:spacing w:line="276" w:lineRule="auto"/>
        <w:jc w:val="center"/>
        <w:rPr>
          <w:b/>
          <w:color w:val="000000" w:themeColor="text1"/>
          <w:lang w:eastAsia="lt-LT"/>
        </w:rPr>
      </w:pPr>
      <w:r w:rsidRPr="00192E9E">
        <w:rPr>
          <w:b/>
          <w:bCs/>
          <w:color w:val="000000" w:themeColor="text1"/>
          <w:lang w:eastAsia="lt-LT"/>
        </w:rPr>
        <w:t xml:space="preserve"> PROJEKTO</w:t>
      </w:r>
      <w:r w:rsidRPr="00192E9E">
        <w:rPr>
          <w:rFonts w:eastAsia="Calibri"/>
          <w:b/>
          <w:color w:val="000000" w:themeColor="text1"/>
          <w:lang w:eastAsia="lt-LT"/>
        </w:rPr>
        <w:t xml:space="preserve"> </w:t>
      </w:r>
      <w:r w:rsidRPr="00192E9E">
        <w:rPr>
          <w:b/>
          <w:color w:val="000000" w:themeColor="text1"/>
        </w:rPr>
        <w:t>DERINIMO PAŽYMA</w:t>
      </w:r>
    </w:p>
    <w:p w14:paraId="650977D2" w14:textId="77777777" w:rsidR="00C1694D" w:rsidRPr="00192E9E" w:rsidRDefault="00C1694D" w:rsidP="00192E9E">
      <w:pPr>
        <w:spacing w:line="276" w:lineRule="auto"/>
        <w:jc w:val="center"/>
        <w:rPr>
          <w:rFonts w:eastAsia="Calibri"/>
          <w:b/>
          <w:lang w:eastAsia="lt-LT"/>
        </w:rPr>
      </w:pPr>
    </w:p>
    <w:p w14:paraId="37468EC7" w14:textId="77777777" w:rsidR="00C1694D" w:rsidRPr="00192E9E" w:rsidRDefault="00C1694D" w:rsidP="00192E9E">
      <w:pPr>
        <w:spacing w:line="276" w:lineRule="auto"/>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34"/>
        <w:gridCol w:w="6662"/>
      </w:tblGrid>
      <w:tr w:rsidR="00C1694D" w:rsidRPr="00192E9E" w14:paraId="5F88987F" w14:textId="77777777" w:rsidTr="00B77CB8">
        <w:tc>
          <w:tcPr>
            <w:tcW w:w="1838" w:type="dxa"/>
          </w:tcPr>
          <w:p w14:paraId="28E039D1" w14:textId="77777777" w:rsidR="00C1694D" w:rsidRPr="00192E9E" w:rsidRDefault="00C1694D" w:rsidP="00192E9E">
            <w:pPr>
              <w:spacing w:line="276" w:lineRule="auto"/>
              <w:jc w:val="center"/>
              <w:rPr>
                <w:color w:val="000000" w:themeColor="text1"/>
              </w:rPr>
            </w:pPr>
            <w:r w:rsidRPr="00192E9E">
              <w:rPr>
                <w:color w:val="000000" w:themeColor="text1"/>
              </w:rPr>
              <w:t>Institucijos pavadinimas,</w:t>
            </w:r>
          </w:p>
          <w:p w14:paraId="3D16D261" w14:textId="77777777" w:rsidR="00C1694D" w:rsidRPr="00192E9E" w:rsidRDefault="00C1694D" w:rsidP="00192E9E">
            <w:pPr>
              <w:spacing w:line="276" w:lineRule="auto"/>
              <w:jc w:val="center"/>
              <w:rPr>
                <w:color w:val="000000" w:themeColor="text1"/>
              </w:rPr>
            </w:pPr>
            <w:r w:rsidRPr="00192E9E">
              <w:rPr>
                <w:color w:val="000000" w:themeColor="text1"/>
              </w:rPr>
              <w:t>rašto data ir numeris</w:t>
            </w:r>
          </w:p>
        </w:tc>
        <w:tc>
          <w:tcPr>
            <w:tcW w:w="6634" w:type="dxa"/>
          </w:tcPr>
          <w:p w14:paraId="2F91A9B5" w14:textId="77777777" w:rsidR="00C1694D" w:rsidRPr="00192E9E" w:rsidRDefault="00C1694D" w:rsidP="00192E9E">
            <w:pPr>
              <w:spacing w:line="276" w:lineRule="auto"/>
              <w:jc w:val="center"/>
              <w:rPr>
                <w:color w:val="000000" w:themeColor="text1"/>
              </w:rPr>
            </w:pPr>
            <w:r w:rsidRPr="00192E9E">
              <w:rPr>
                <w:color w:val="000000" w:themeColor="text1"/>
              </w:rPr>
              <w:t>Pastabos ir pasiūlymai</w:t>
            </w:r>
          </w:p>
        </w:tc>
        <w:tc>
          <w:tcPr>
            <w:tcW w:w="6662" w:type="dxa"/>
          </w:tcPr>
          <w:p w14:paraId="02284FC3" w14:textId="77777777" w:rsidR="00C1694D" w:rsidRPr="00192E9E" w:rsidRDefault="00C1694D" w:rsidP="00192E9E">
            <w:pPr>
              <w:spacing w:line="276" w:lineRule="auto"/>
              <w:jc w:val="center"/>
              <w:rPr>
                <w:color w:val="000000" w:themeColor="text1"/>
              </w:rPr>
            </w:pPr>
            <w:r w:rsidRPr="00192E9E">
              <w:rPr>
                <w:color w:val="000000" w:themeColor="text1"/>
              </w:rPr>
              <w:t>Argumentai, kodėl neatsižvelgta arba atsižvelgta iš dalies į pastabas ir pasiūlymus</w:t>
            </w:r>
          </w:p>
        </w:tc>
      </w:tr>
      <w:tr w:rsidR="00C1694D" w:rsidRPr="00192E9E" w14:paraId="0B1371D7" w14:textId="77777777" w:rsidTr="00B77CB8">
        <w:tc>
          <w:tcPr>
            <w:tcW w:w="1838" w:type="dxa"/>
          </w:tcPr>
          <w:p w14:paraId="164F23DF" w14:textId="302C9A91" w:rsidR="00C1694D" w:rsidRPr="00192E9E" w:rsidRDefault="00904198" w:rsidP="00192E9E">
            <w:pPr>
              <w:pStyle w:val="Default"/>
              <w:spacing w:line="276" w:lineRule="auto"/>
            </w:pPr>
            <w:r w:rsidRPr="00192E9E">
              <w:rPr>
                <w:color w:val="000000" w:themeColor="text1"/>
              </w:rPr>
              <w:t>Lietuvos Respublikos t</w:t>
            </w:r>
            <w:r w:rsidR="00E614BF" w:rsidRPr="00192E9E">
              <w:rPr>
                <w:color w:val="000000" w:themeColor="text1"/>
              </w:rPr>
              <w:t>eisingumo ministerijos</w:t>
            </w:r>
            <w:r w:rsidR="00C1694D" w:rsidRPr="00192E9E">
              <w:rPr>
                <w:color w:val="000000" w:themeColor="text1"/>
              </w:rPr>
              <w:t xml:space="preserve"> 20</w:t>
            </w:r>
            <w:r w:rsidR="00E614BF" w:rsidRPr="00192E9E">
              <w:rPr>
                <w:color w:val="000000" w:themeColor="text1"/>
              </w:rPr>
              <w:t>20</w:t>
            </w:r>
            <w:r w:rsidR="00C1694D" w:rsidRPr="00192E9E">
              <w:rPr>
                <w:color w:val="000000" w:themeColor="text1"/>
              </w:rPr>
              <w:t>-0</w:t>
            </w:r>
            <w:r w:rsidR="00E614BF" w:rsidRPr="00192E9E">
              <w:rPr>
                <w:color w:val="000000" w:themeColor="text1"/>
              </w:rPr>
              <w:t>6-16</w:t>
            </w:r>
            <w:r w:rsidR="00C1694D" w:rsidRPr="00192E9E">
              <w:rPr>
                <w:color w:val="000000" w:themeColor="text1"/>
              </w:rPr>
              <w:t xml:space="preserve"> raštas </w:t>
            </w:r>
            <w:r w:rsidR="00E30EEE" w:rsidRPr="00192E9E">
              <w:rPr>
                <w:color w:val="000000" w:themeColor="text1"/>
              </w:rPr>
              <w:br/>
            </w:r>
            <w:r w:rsidR="00C1694D" w:rsidRPr="00192E9E">
              <w:rPr>
                <w:color w:val="000000" w:themeColor="text1"/>
              </w:rPr>
              <w:t xml:space="preserve">Nr. </w:t>
            </w:r>
            <w:r w:rsidR="00E614BF" w:rsidRPr="00192E9E">
              <w:t>(1.6E) 2T-841</w:t>
            </w:r>
          </w:p>
        </w:tc>
        <w:tc>
          <w:tcPr>
            <w:tcW w:w="6634" w:type="dxa"/>
          </w:tcPr>
          <w:p w14:paraId="272A05C2" w14:textId="77777777" w:rsidR="00E614BF" w:rsidRPr="00192E9E" w:rsidRDefault="00E614BF" w:rsidP="00192E9E">
            <w:pPr>
              <w:spacing w:line="276" w:lineRule="auto"/>
              <w:ind w:firstLine="851"/>
            </w:pPr>
            <w:r w:rsidRPr="00192E9E">
              <w:rPr>
                <w:i/>
              </w:rPr>
              <w:t>Dėl finansavimo būdų ir šaltinių:</w:t>
            </w:r>
          </w:p>
          <w:p w14:paraId="122BB826" w14:textId="2F66DF51" w:rsidR="00E614BF" w:rsidRPr="00192E9E" w:rsidRDefault="00E614BF" w:rsidP="00192E9E">
            <w:pPr>
              <w:spacing w:line="276" w:lineRule="auto"/>
              <w:ind w:firstLine="851"/>
            </w:pPr>
            <w:r w:rsidRPr="00192E9E">
              <w:t xml:space="preserve">1. Projektų lydimojoje medžiagoje nurodoma (kartu iš pridedamo Vyriausybės pasitarimo protokolo projekto matoma), kad bus siekiama ieškoti finansavimo šaltinių VĮ Vidaus vandens kelių direkcijos, kaip valstybinės reikšmės vidaus vandens kelių valdytojos, naujai priskiriamų valstybinės reikšmės vidaus vandenų kelių priežiūros išlaidoms padengti. Šiame kontekste pastebėtina, kad Vyriausybė 2019 m. gegužės 29 d. nutarimu Nr. 520 kreipėsi į Konstitucinį Teismą, siekdama išsklaidyti abejones dėl kai kurių su valstybės biudžeto formavimu susijusių įstatymų nuostatų (įskaitant ir šių įstatymų nuostatas dėl sukauptų lėšų paskirstymo tvarkos) konstitucingumo. Tarp kitų aspektų </w:t>
            </w:r>
            <w:r w:rsidR="00C26C44" w:rsidRPr="00192E9E">
              <w:t>šiame Vyriausybės nutarime</w:t>
            </w:r>
            <w:r w:rsidR="00222B66" w:rsidRPr="00192E9E">
              <w:t xml:space="preserve"> </w:t>
            </w:r>
            <w:r w:rsidRPr="00192E9E">
              <w:t>buvo pažymėta, kad „</w:t>
            </w:r>
            <w:r w:rsidRPr="00192E9E">
              <w:rPr>
                <w:i/>
              </w:rPr>
              <w:t>specialiuosiuose įstatymuose nustatant, kad kiekvienais metais tam tikrai programai ar fondui turi būti skiriama ne mažesnė kaip tam tikra valstybės biudžeto lėšų dalis, taip pat nustatant, kokie kasmet į valstybės biudžetą surenkami mokesčiai ir kiti privalomi mokėjimai naudojami šiems iš anksto nustatytiems fondams ar programoms įgyvendinti, gali būti sudaromos prielaidos paneigti konstitucinę biudžetinių metų sampratą, Konstitucijos</w:t>
            </w:r>
            <w:r w:rsidR="00C26C44" w:rsidRPr="00192E9E">
              <w:rPr>
                <w:i/>
              </w:rPr>
              <w:t>129 straipsnyje įtvirtintą biudžetinių metų trukmę</w:t>
            </w:r>
            <w:r w:rsidRPr="00192E9E">
              <w:t>“.</w:t>
            </w:r>
          </w:p>
          <w:p w14:paraId="32444706" w14:textId="77777777" w:rsidR="00E614BF" w:rsidRPr="00192E9E" w:rsidRDefault="00E614BF" w:rsidP="00192E9E">
            <w:pPr>
              <w:spacing w:line="276" w:lineRule="auto"/>
              <w:ind w:firstLine="851"/>
            </w:pPr>
            <w:r w:rsidRPr="00192E9E">
              <w:t xml:space="preserve">2. Dėl mokesčio už Lietuvos Respublikoje įregistruotas vidaus vandenų transporto priemones, kurį siūloma imti ne už laivų įregistravimą, o už techninę apžiūrą, pažymėtina, kad šiuo metu už įregistravimą numatyta valstybės rinkliava. Lydraštyje nurodoma, </w:t>
            </w:r>
            <w:r w:rsidRPr="00192E9E">
              <w:lastRenderedPageBreak/>
              <w:t xml:space="preserve">kad mokesčio dydį siūlytina nustatyti </w:t>
            </w:r>
            <w:r w:rsidRPr="00192E9E">
              <w:rPr>
                <w:i/>
              </w:rPr>
              <w:t xml:space="preserve">išskaičiuojant proporcingai mokesčio dydį per metus. </w:t>
            </w:r>
            <w:r w:rsidRPr="00192E9E">
              <w:t>Pastebėtina, kad jeigu tai būtų valstybės rinkliava, nustatant jos dydį turės būti vadovaujamasi Lietuvos Respublikos rinkliavų įstatymo 4 ir 5 straipsnių nuostatomis.</w:t>
            </w:r>
          </w:p>
          <w:p w14:paraId="05335F63" w14:textId="533AE4C0" w:rsidR="00E41DBD" w:rsidRPr="00192E9E" w:rsidRDefault="00E614BF" w:rsidP="00192E9E">
            <w:pPr>
              <w:spacing w:line="276" w:lineRule="auto"/>
              <w:ind w:firstLine="851"/>
            </w:pPr>
            <w:r w:rsidRPr="00192E9E">
              <w:t xml:space="preserve">3. Dėl kitų lydraštyje nurodytų mokesčių (valstybinės reikšmės vidaus vandenų kelių naudotojo (krovininių laivų valdytojų) mokesčio, vandens kelio mokesčio keleiviniams laivams, savivaldybių vandens kelio ir infrastruktūros priežiūros mokesčio) pastebėtina, kad, vadovaujantis Lietuvos Respublikos mokesčių administravimo įstatymo 2 str. 9 d., 3 str. 2 d. nuostatomis, turėtų būti priimami atskiri, konkretų mokestį reglamentuojantys, įstatymai). </w:t>
            </w:r>
          </w:p>
          <w:p w14:paraId="1EDF0254" w14:textId="77777777" w:rsidR="00465A67" w:rsidRPr="00192E9E" w:rsidRDefault="00465A67" w:rsidP="00192E9E">
            <w:pPr>
              <w:tabs>
                <w:tab w:val="left" w:pos="360"/>
                <w:tab w:val="left" w:pos="603"/>
              </w:tabs>
              <w:autoSpaceDE w:val="0"/>
              <w:autoSpaceDN w:val="0"/>
              <w:adjustRightInd w:val="0"/>
              <w:spacing w:line="276" w:lineRule="auto"/>
              <w:rPr>
                <w:color w:val="000000" w:themeColor="text1"/>
              </w:rPr>
            </w:pPr>
          </w:p>
        </w:tc>
        <w:tc>
          <w:tcPr>
            <w:tcW w:w="6662" w:type="dxa"/>
          </w:tcPr>
          <w:p w14:paraId="4C7302BD" w14:textId="1F0AAA42" w:rsidR="00A965F4" w:rsidRPr="00192E9E" w:rsidRDefault="00C60DB9" w:rsidP="00192E9E">
            <w:pPr>
              <w:autoSpaceDE w:val="0"/>
              <w:autoSpaceDN w:val="0"/>
              <w:adjustRightInd w:val="0"/>
              <w:spacing w:line="276" w:lineRule="auto"/>
              <w:rPr>
                <w:b/>
                <w:bCs/>
                <w:color w:val="000000" w:themeColor="text1"/>
              </w:rPr>
            </w:pPr>
            <w:r w:rsidRPr="00192E9E">
              <w:rPr>
                <w:b/>
                <w:bCs/>
                <w:color w:val="000000" w:themeColor="text1"/>
              </w:rPr>
              <w:lastRenderedPageBreak/>
              <w:t>Atsižvelgta iš dalies</w:t>
            </w:r>
            <w:r w:rsidR="00F6745A" w:rsidRPr="00192E9E">
              <w:rPr>
                <w:b/>
                <w:bCs/>
                <w:color w:val="000000" w:themeColor="text1"/>
              </w:rPr>
              <w:t xml:space="preserve">   </w:t>
            </w:r>
          </w:p>
          <w:p w14:paraId="7E674FB0" w14:textId="3A326DF0" w:rsidR="00C60DB9" w:rsidRPr="00192E9E" w:rsidRDefault="00C60DB9" w:rsidP="00192E9E">
            <w:pPr>
              <w:autoSpaceDE w:val="0"/>
              <w:autoSpaceDN w:val="0"/>
              <w:adjustRightInd w:val="0"/>
              <w:spacing w:line="276" w:lineRule="auto"/>
              <w:rPr>
                <w:color w:val="000000" w:themeColor="text1"/>
              </w:rPr>
            </w:pPr>
            <w:r w:rsidRPr="00192E9E">
              <w:rPr>
                <w:color w:val="000000" w:themeColor="text1"/>
              </w:rPr>
              <w:t>Įvertinus tai, kad dar nėra priimtas Lietuvos Respublikos Konstitucinio Teismo nutarimas, kuriuo būtų išdėstyta Konsti</w:t>
            </w:r>
            <w:r w:rsidR="005E283F" w:rsidRPr="00192E9E">
              <w:rPr>
                <w:color w:val="000000" w:themeColor="text1"/>
              </w:rPr>
              <w:t>tuci</w:t>
            </w:r>
            <w:r w:rsidRPr="00192E9E">
              <w:rPr>
                <w:color w:val="000000" w:themeColor="text1"/>
              </w:rPr>
              <w:t xml:space="preserve">nio Teismo pozicija dėl Lietuvos Respublikos Vyriausybės 2019 m. gegužės 29 d. nutarime Nr. 520 keliamų klausimų, tikslinga ir toliau </w:t>
            </w:r>
            <w:r w:rsidR="005E283F" w:rsidRPr="00192E9E">
              <w:rPr>
                <w:color w:val="000000" w:themeColor="text1"/>
              </w:rPr>
              <w:t xml:space="preserve">analizuoti ir vertinti </w:t>
            </w:r>
            <w:r w:rsidRPr="00192E9E">
              <w:rPr>
                <w:color w:val="000000" w:themeColor="text1"/>
              </w:rPr>
              <w:t>visus galimus alternatyvius VĮ Vidaus vandens kelių direkcijos finansavimo šaltinius</w:t>
            </w:r>
            <w:r w:rsidR="005E283F" w:rsidRPr="00192E9E">
              <w:rPr>
                <w:color w:val="000000" w:themeColor="text1"/>
              </w:rPr>
              <w:t>. Siekiant ateityje išvengti galimo</w:t>
            </w:r>
            <w:r w:rsidR="008D019B" w:rsidRPr="00192E9E">
              <w:rPr>
                <w:color w:val="000000" w:themeColor="text1"/>
              </w:rPr>
              <w:t>s</w:t>
            </w:r>
            <w:r w:rsidR="005E283F" w:rsidRPr="00192E9E">
              <w:rPr>
                <w:color w:val="000000" w:themeColor="text1"/>
              </w:rPr>
              <w:t xml:space="preserve"> neatitik</w:t>
            </w:r>
            <w:r w:rsidR="008D019B" w:rsidRPr="00192E9E">
              <w:rPr>
                <w:color w:val="000000" w:themeColor="text1"/>
              </w:rPr>
              <w:t>ties</w:t>
            </w:r>
            <w:r w:rsidR="005E283F" w:rsidRPr="00192E9E">
              <w:rPr>
                <w:color w:val="000000" w:themeColor="text1"/>
              </w:rPr>
              <w:t xml:space="preserve"> Konstitucinio Teismo pozicijai, </w:t>
            </w:r>
            <w:r w:rsidRPr="00192E9E">
              <w:rPr>
                <w:color w:val="000000" w:themeColor="text1"/>
              </w:rPr>
              <w:t>Vy</w:t>
            </w:r>
            <w:r w:rsidR="004328BE" w:rsidRPr="00192E9E">
              <w:rPr>
                <w:color w:val="000000" w:themeColor="text1"/>
              </w:rPr>
              <w:t>r</w:t>
            </w:r>
            <w:r w:rsidRPr="00192E9E">
              <w:rPr>
                <w:color w:val="000000" w:themeColor="text1"/>
              </w:rPr>
              <w:t>iausybės pasitarimo protokolo projektas patiksli</w:t>
            </w:r>
            <w:r w:rsidR="005E283F" w:rsidRPr="00192E9E">
              <w:rPr>
                <w:color w:val="000000" w:themeColor="text1"/>
              </w:rPr>
              <w:t xml:space="preserve">ntas </w:t>
            </w:r>
            <w:r w:rsidRPr="00192E9E">
              <w:rPr>
                <w:color w:val="000000" w:themeColor="text1"/>
              </w:rPr>
              <w:t>atsisakant nuorodų į konkrečius teisės aktus ir mokesčius</w:t>
            </w:r>
            <w:r w:rsidR="005E283F" w:rsidRPr="00192E9E">
              <w:rPr>
                <w:color w:val="000000" w:themeColor="text1"/>
              </w:rPr>
              <w:t>, iš kurių galėtų būti finansuojama valstybinės reikšmės kelių valdytojo veikla.</w:t>
            </w:r>
          </w:p>
          <w:p w14:paraId="002A67C8" w14:textId="77777777" w:rsidR="00A965F4" w:rsidRPr="00192E9E" w:rsidRDefault="00A965F4" w:rsidP="00192E9E">
            <w:pPr>
              <w:autoSpaceDE w:val="0"/>
              <w:autoSpaceDN w:val="0"/>
              <w:adjustRightInd w:val="0"/>
              <w:spacing w:line="276" w:lineRule="auto"/>
              <w:rPr>
                <w:color w:val="000000" w:themeColor="text1"/>
              </w:rPr>
            </w:pPr>
          </w:p>
          <w:p w14:paraId="18EBB3F5" w14:textId="77777777" w:rsidR="00A965F4" w:rsidRPr="00192E9E" w:rsidRDefault="00A965F4" w:rsidP="00192E9E">
            <w:pPr>
              <w:autoSpaceDE w:val="0"/>
              <w:autoSpaceDN w:val="0"/>
              <w:adjustRightInd w:val="0"/>
              <w:spacing w:line="276" w:lineRule="auto"/>
              <w:rPr>
                <w:color w:val="000000" w:themeColor="text1"/>
              </w:rPr>
            </w:pPr>
          </w:p>
          <w:p w14:paraId="74138132" w14:textId="77777777" w:rsidR="00A965F4" w:rsidRPr="00192E9E" w:rsidRDefault="00A965F4" w:rsidP="00192E9E">
            <w:pPr>
              <w:autoSpaceDE w:val="0"/>
              <w:autoSpaceDN w:val="0"/>
              <w:adjustRightInd w:val="0"/>
              <w:spacing w:line="276" w:lineRule="auto"/>
              <w:rPr>
                <w:color w:val="000000" w:themeColor="text1"/>
              </w:rPr>
            </w:pPr>
          </w:p>
          <w:p w14:paraId="442CFE23" w14:textId="77777777" w:rsidR="00A965F4" w:rsidRPr="00192E9E" w:rsidRDefault="00A965F4" w:rsidP="00192E9E">
            <w:pPr>
              <w:autoSpaceDE w:val="0"/>
              <w:autoSpaceDN w:val="0"/>
              <w:adjustRightInd w:val="0"/>
              <w:spacing w:line="276" w:lineRule="auto"/>
              <w:rPr>
                <w:color w:val="000000" w:themeColor="text1"/>
              </w:rPr>
            </w:pPr>
          </w:p>
          <w:p w14:paraId="622F52F8" w14:textId="77777777" w:rsidR="00A965F4" w:rsidRPr="00192E9E" w:rsidRDefault="00A965F4" w:rsidP="00192E9E">
            <w:pPr>
              <w:autoSpaceDE w:val="0"/>
              <w:autoSpaceDN w:val="0"/>
              <w:adjustRightInd w:val="0"/>
              <w:spacing w:line="276" w:lineRule="auto"/>
              <w:rPr>
                <w:color w:val="000000" w:themeColor="text1"/>
              </w:rPr>
            </w:pPr>
          </w:p>
          <w:p w14:paraId="21FFC7A3" w14:textId="77777777" w:rsidR="00A965F4" w:rsidRPr="00192E9E" w:rsidRDefault="00A965F4" w:rsidP="00192E9E">
            <w:pPr>
              <w:autoSpaceDE w:val="0"/>
              <w:autoSpaceDN w:val="0"/>
              <w:adjustRightInd w:val="0"/>
              <w:spacing w:line="276" w:lineRule="auto"/>
              <w:rPr>
                <w:color w:val="000000" w:themeColor="text1"/>
              </w:rPr>
            </w:pPr>
          </w:p>
          <w:p w14:paraId="00609A95" w14:textId="77777777" w:rsidR="00A965F4" w:rsidRPr="00192E9E" w:rsidRDefault="00A965F4" w:rsidP="00192E9E">
            <w:pPr>
              <w:autoSpaceDE w:val="0"/>
              <w:autoSpaceDN w:val="0"/>
              <w:adjustRightInd w:val="0"/>
              <w:spacing w:line="276" w:lineRule="auto"/>
              <w:rPr>
                <w:color w:val="000000" w:themeColor="text1"/>
              </w:rPr>
            </w:pPr>
          </w:p>
          <w:p w14:paraId="2C6FCC9F" w14:textId="77777777" w:rsidR="00A965F4" w:rsidRPr="00192E9E" w:rsidRDefault="00A965F4" w:rsidP="00192E9E">
            <w:pPr>
              <w:autoSpaceDE w:val="0"/>
              <w:autoSpaceDN w:val="0"/>
              <w:adjustRightInd w:val="0"/>
              <w:spacing w:line="276" w:lineRule="auto"/>
              <w:rPr>
                <w:color w:val="000000" w:themeColor="text1"/>
              </w:rPr>
            </w:pPr>
          </w:p>
          <w:p w14:paraId="0AB5309A" w14:textId="77777777" w:rsidR="00A965F4" w:rsidRPr="00192E9E" w:rsidRDefault="00A965F4" w:rsidP="00192E9E">
            <w:pPr>
              <w:autoSpaceDE w:val="0"/>
              <w:autoSpaceDN w:val="0"/>
              <w:adjustRightInd w:val="0"/>
              <w:spacing w:line="276" w:lineRule="auto"/>
              <w:rPr>
                <w:color w:val="000000" w:themeColor="text1"/>
              </w:rPr>
            </w:pPr>
          </w:p>
          <w:p w14:paraId="6E2EE733" w14:textId="77777777" w:rsidR="000F5CB7" w:rsidRPr="00192E9E" w:rsidRDefault="000F5CB7" w:rsidP="00192E9E">
            <w:pPr>
              <w:autoSpaceDE w:val="0"/>
              <w:autoSpaceDN w:val="0"/>
              <w:adjustRightInd w:val="0"/>
              <w:spacing w:line="276" w:lineRule="auto"/>
              <w:rPr>
                <w:color w:val="000000" w:themeColor="text1"/>
              </w:rPr>
            </w:pPr>
          </w:p>
          <w:p w14:paraId="012E798B" w14:textId="773275D9" w:rsidR="00C8338F" w:rsidRPr="00192E9E" w:rsidRDefault="00F6745A" w:rsidP="00192E9E">
            <w:pPr>
              <w:autoSpaceDE w:val="0"/>
              <w:autoSpaceDN w:val="0"/>
              <w:adjustRightInd w:val="0"/>
              <w:spacing w:line="276" w:lineRule="auto"/>
              <w:rPr>
                <w:color w:val="000000" w:themeColor="text1"/>
              </w:rPr>
            </w:pPr>
            <w:r w:rsidRPr="00192E9E">
              <w:rPr>
                <w:color w:val="000000" w:themeColor="text1"/>
              </w:rPr>
              <w:t xml:space="preserve"> </w:t>
            </w:r>
          </w:p>
          <w:p w14:paraId="25178432" w14:textId="77777777" w:rsidR="00A965F4" w:rsidRPr="00192E9E" w:rsidRDefault="00A965F4" w:rsidP="00192E9E">
            <w:pPr>
              <w:autoSpaceDE w:val="0"/>
              <w:autoSpaceDN w:val="0"/>
              <w:adjustRightInd w:val="0"/>
              <w:spacing w:line="276" w:lineRule="auto"/>
              <w:rPr>
                <w:color w:val="000000" w:themeColor="text1"/>
              </w:rPr>
            </w:pPr>
          </w:p>
          <w:p w14:paraId="2FDD9869" w14:textId="7F0BFE4D" w:rsidR="00A965F4" w:rsidRPr="00192E9E" w:rsidRDefault="00222B66" w:rsidP="00192E9E">
            <w:pPr>
              <w:autoSpaceDE w:val="0"/>
              <w:autoSpaceDN w:val="0"/>
              <w:adjustRightInd w:val="0"/>
              <w:spacing w:line="276" w:lineRule="auto"/>
              <w:rPr>
                <w:color w:val="000000" w:themeColor="text1"/>
              </w:rPr>
            </w:pPr>
            <w:r w:rsidRPr="00192E9E">
              <w:rPr>
                <w:color w:val="000000" w:themeColor="text1"/>
              </w:rPr>
              <w:lastRenderedPageBreak/>
              <w:t>S</w:t>
            </w:r>
            <w:r w:rsidR="005A47E6" w:rsidRPr="00192E9E">
              <w:rPr>
                <w:color w:val="000000" w:themeColor="text1"/>
              </w:rPr>
              <w:t>iūl</w:t>
            </w:r>
            <w:r w:rsidR="00EE79C3" w:rsidRPr="00192E9E">
              <w:rPr>
                <w:color w:val="000000" w:themeColor="text1"/>
              </w:rPr>
              <w:t>o</w:t>
            </w:r>
            <w:r w:rsidR="005A47E6" w:rsidRPr="00192E9E">
              <w:rPr>
                <w:color w:val="000000" w:themeColor="text1"/>
              </w:rPr>
              <w:t xml:space="preserve">mu </w:t>
            </w:r>
            <w:r w:rsidRPr="00192E9E">
              <w:rPr>
                <w:color w:val="000000" w:themeColor="text1"/>
              </w:rPr>
              <w:t>nustatyti mokes</w:t>
            </w:r>
            <w:r w:rsidR="00EE79C3" w:rsidRPr="00192E9E">
              <w:rPr>
                <w:color w:val="000000" w:themeColor="text1"/>
              </w:rPr>
              <w:t>čiu</w:t>
            </w:r>
            <w:r w:rsidRPr="00192E9E">
              <w:rPr>
                <w:color w:val="000000" w:themeColor="text1"/>
              </w:rPr>
              <w:t xml:space="preserve"> už Lietuvos Respublikoje įregistruotas vidaus vandenų transporto priemones </w:t>
            </w:r>
            <w:r w:rsidR="005A47E6" w:rsidRPr="00192E9E">
              <w:rPr>
                <w:color w:val="000000" w:themeColor="text1"/>
              </w:rPr>
              <w:t>neplanuoja</w:t>
            </w:r>
            <w:r w:rsidR="00B35401" w:rsidRPr="00192E9E">
              <w:rPr>
                <w:color w:val="000000" w:themeColor="text1"/>
              </w:rPr>
              <w:t>ma</w:t>
            </w:r>
            <w:r w:rsidR="005A47E6" w:rsidRPr="00192E9E">
              <w:rPr>
                <w:color w:val="000000" w:themeColor="text1"/>
              </w:rPr>
              <w:t xml:space="preserve"> nustatyti valstybės rinkliavos</w:t>
            </w:r>
            <w:r w:rsidR="00B35401" w:rsidRPr="00192E9E">
              <w:t xml:space="preserve"> už vidaus vandenų transporto priemonių </w:t>
            </w:r>
            <w:r w:rsidR="00B35401" w:rsidRPr="00192E9E">
              <w:rPr>
                <w:color w:val="000000" w:themeColor="text1"/>
              </w:rPr>
              <w:t>techninių apžiūrų atlikimą</w:t>
            </w:r>
            <w:r w:rsidR="005A47E6" w:rsidRPr="00192E9E">
              <w:rPr>
                <w:color w:val="000000" w:themeColor="text1"/>
              </w:rPr>
              <w:t xml:space="preserve">. </w:t>
            </w:r>
            <w:r w:rsidR="00B35401" w:rsidRPr="00192E9E">
              <w:rPr>
                <w:color w:val="000000" w:themeColor="text1"/>
              </w:rPr>
              <w:t>Techninės apžiūros atlikimo faktas būtų pagrindas nustatant mokesčio objektus</w:t>
            </w:r>
            <w:r w:rsidR="00EE79C3" w:rsidRPr="00192E9E">
              <w:rPr>
                <w:color w:val="000000" w:themeColor="text1"/>
              </w:rPr>
              <w:t xml:space="preserve"> (vidaus vandenų transporto priemonės, </w:t>
            </w:r>
            <w:r w:rsidR="00B35401" w:rsidRPr="00192E9E">
              <w:rPr>
                <w:color w:val="000000" w:themeColor="text1"/>
              </w:rPr>
              <w:t>kuri</w:t>
            </w:r>
            <w:r w:rsidR="00EE79C3" w:rsidRPr="00192E9E">
              <w:rPr>
                <w:color w:val="000000" w:themeColor="text1"/>
              </w:rPr>
              <w:t>os</w:t>
            </w:r>
            <w:r w:rsidR="00B35401" w:rsidRPr="00192E9E">
              <w:rPr>
                <w:color w:val="000000" w:themeColor="text1"/>
              </w:rPr>
              <w:t xml:space="preserve"> yra eksploatuojam</w:t>
            </w:r>
            <w:r w:rsidR="00EE79C3" w:rsidRPr="00192E9E">
              <w:rPr>
                <w:color w:val="000000" w:themeColor="text1"/>
              </w:rPr>
              <w:t>os</w:t>
            </w:r>
            <w:r w:rsidR="002F01DC" w:rsidRPr="00192E9E">
              <w:t xml:space="preserve"> </w:t>
            </w:r>
            <w:r w:rsidR="002F01DC" w:rsidRPr="00192E9E">
              <w:rPr>
                <w:color w:val="000000" w:themeColor="text1"/>
              </w:rPr>
              <w:t>Lietuvos Respublikos vidaus vandenyse</w:t>
            </w:r>
            <w:r w:rsidR="00EE79C3" w:rsidRPr="00192E9E">
              <w:rPr>
                <w:color w:val="000000" w:themeColor="text1"/>
              </w:rPr>
              <w:t>)</w:t>
            </w:r>
            <w:r w:rsidR="002F01DC" w:rsidRPr="00192E9E">
              <w:rPr>
                <w:color w:val="000000" w:themeColor="text1"/>
              </w:rPr>
              <w:t>.</w:t>
            </w:r>
          </w:p>
          <w:p w14:paraId="64024EAB" w14:textId="77777777" w:rsidR="00A965F4" w:rsidRPr="00192E9E" w:rsidRDefault="00A965F4" w:rsidP="00192E9E">
            <w:pPr>
              <w:autoSpaceDE w:val="0"/>
              <w:autoSpaceDN w:val="0"/>
              <w:adjustRightInd w:val="0"/>
              <w:spacing w:line="276" w:lineRule="auto"/>
              <w:rPr>
                <w:color w:val="000000" w:themeColor="text1"/>
              </w:rPr>
            </w:pPr>
          </w:p>
          <w:p w14:paraId="55E46524" w14:textId="77777777" w:rsidR="00A965F4" w:rsidRPr="00192E9E" w:rsidRDefault="00A965F4" w:rsidP="00192E9E">
            <w:pPr>
              <w:autoSpaceDE w:val="0"/>
              <w:autoSpaceDN w:val="0"/>
              <w:adjustRightInd w:val="0"/>
              <w:spacing w:line="276" w:lineRule="auto"/>
              <w:rPr>
                <w:color w:val="000000" w:themeColor="text1"/>
              </w:rPr>
            </w:pPr>
          </w:p>
          <w:p w14:paraId="136B0109" w14:textId="3BB0720B" w:rsidR="00D253DC" w:rsidRPr="00192E9E" w:rsidRDefault="00A965F4" w:rsidP="00192E9E">
            <w:pPr>
              <w:autoSpaceDE w:val="0"/>
              <w:autoSpaceDN w:val="0"/>
              <w:adjustRightInd w:val="0"/>
              <w:spacing w:line="276" w:lineRule="auto"/>
              <w:rPr>
                <w:color w:val="000000" w:themeColor="text1"/>
              </w:rPr>
            </w:pPr>
            <w:r w:rsidRPr="00192E9E">
              <w:rPr>
                <w:color w:val="000000" w:themeColor="text1"/>
              </w:rPr>
              <w:t xml:space="preserve">Ši pastaba bus įvertinta rengiant atitinkamus </w:t>
            </w:r>
            <w:r w:rsidR="00C8338F" w:rsidRPr="00192E9E">
              <w:rPr>
                <w:color w:val="000000" w:themeColor="text1"/>
              </w:rPr>
              <w:t>koncepcinius pasiūlymus dėl teisinio reguliavimo keitimo, siekiant įtvirtinti tvarų VĮ Vidaus vandens kelių direkcijos finansavimo modelį</w:t>
            </w:r>
            <w:r w:rsidR="00D253DC" w:rsidRPr="00192E9E">
              <w:rPr>
                <w:color w:val="000000" w:themeColor="text1"/>
              </w:rPr>
              <w:t xml:space="preserve">, kuriais butų reglamentuotas papildomas </w:t>
            </w:r>
            <w:r w:rsidR="00D253DC" w:rsidRPr="00192E9E">
              <w:rPr>
                <w:rFonts w:eastAsiaTheme="minorHAnsi"/>
              </w:rPr>
              <w:t>vidaus vandenų kelių infrastruktūros</w:t>
            </w:r>
            <w:r w:rsidR="00D253DC" w:rsidRPr="00192E9E">
              <w:rPr>
                <w:color w:val="000000" w:themeColor="text1"/>
              </w:rPr>
              <w:t xml:space="preserve"> finansavimas.</w:t>
            </w:r>
          </w:p>
        </w:tc>
      </w:tr>
      <w:tr w:rsidR="00C1694D" w:rsidRPr="00192E9E" w14:paraId="179F9C95" w14:textId="77777777" w:rsidTr="00B77CB8">
        <w:tc>
          <w:tcPr>
            <w:tcW w:w="1838" w:type="dxa"/>
          </w:tcPr>
          <w:p w14:paraId="04030818" w14:textId="7B13F260" w:rsidR="00C1694D" w:rsidRPr="00192E9E" w:rsidRDefault="00094D25" w:rsidP="00192E9E">
            <w:pPr>
              <w:spacing w:line="276" w:lineRule="auto"/>
              <w:rPr>
                <w:color w:val="000000" w:themeColor="text1"/>
              </w:rPr>
            </w:pPr>
            <w:r w:rsidRPr="00192E9E">
              <w:rPr>
                <w:color w:val="000000" w:themeColor="text1"/>
              </w:rPr>
              <w:lastRenderedPageBreak/>
              <w:t>Lietuvos Respublikos a</w:t>
            </w:r>
            <w:r w:rsidR="00E614BF" w:rsidRPr="00192E9E">
              <w:rPr>
                <w:color w:val="000000" w:themeColor="text1"/>
              </w:rPr>
              <w:t>plinkos ministerijos</w:t>
            </w:r>
            <w:r w:rsidR="0039325A" w:rsidRPr="00192E9E">
              <w:rPr>
                <w:color w:val="000000" w:themeColor="text1"/>
              </w:rPr>
              <w:t xml:space="preserve"> 20</w:t>
            </w:r>
            <w:r w:rsidR="00D32BF1" w:rsidRPr="00192E9E">
              <w:rPr>
                <w:color w:val="000000" w:themeColor="text1"/>
              </w:rPr>
              <w:t>20</w:t>
            </w:r>
            <w:r w:rsidR="0039325A" w:rsidRPr="00192E9E">
              <w:rPr>
                <w:color w:val="000000" w:themeColor="text1"/>
              </w:rPr>
              <w:t>-0</w:t>
            </w:r>
            <w:r w:rsidR="00E614BF" w:rsidRPr="00192E9E">
              <w:rPr>
                <w:color w:val="000000" w:themeColor="text1"/>
              </w:rPr>
              <w:t>7-17</w:t>
            </w:r>
            <w:r w:rsidR="0039325A" w:rsidRPr="00192E9E">
              <w:rPr>
                <w:color w:val="000000" w:themeColor="text1"/>
              </w:rPr>
              <w:t xml:space="preserve"> raštas </w:t>
            </w:r>
            <w:r w:rsidR="00E30EEE" w:rsidRPr="00192E9E">
              <w:rPr>
                <w:color w:val="000000" w:themeColor="text1"/>
              </w:rPr>
              <w:br/>
            </w:r>
            <w:r w:rsidR="0039325A" w:rsidRPr="00192E9E">
              <w:rPr>
                <w:color w:val="000000" w:themeColor="text1"/>
              </w:rPr>
              <w:t xml:space="preserve">Nr. </w:t>
            </w:r>
            <w:r w:rsidR="00E614BF" w:rsidRPr="00192E9E">
              <w:t>(10)-D8(E)-3919</w:t>
            </w:r>
          </w:p>
        </w:tc>
        <w:tc>
          <w:tcPr>
            <w:tcW w:w="6634" w:type="dxa"/>
          </w:tcPr>
          <w:p w14:paraId="2165B2CE" w14:textId="77777777" w:rsidR="005227F3" w:rsidRPr="00192E9E" w:rsidRDefault="005227F3" w:rsidP="00192E9E">
            <w:pPr>
              <w:spacing w:line="276" w:lineRule="auto"/>
              <w:ind w:firstLine="567"/>
              <w:rPr>
                <w:rFonts w:ascii="&amp;quot" w:hAnsi="&amp;quot"/>
                <w:color w:val="000000"/>
              </w:rPr>
            </w:pPr>
            <w:r w:rsidRPr="00192E9E">
              <w:rPr>
                <w:rFonts w:ascii="&amp;quot" w:hAnsi="&amp;quot"/>
                <w:color w:val="000000"/>
              </w:rPr>
              <w:t>Informuojame, kad nepritariame rašte nurodytai 3-jai alternatyvai, kuria siekiama Nutarimo projekto įgyvendinimui reikalingo finansavimo šaltiniu numatyti dalį surenkamo mokesčio už aplinkos teršimą iš mobilių taršos šaltinių ar jį didinti, dėl šių priežasčių:</w:t>
            </w:r>
          </w:p>
          <w:p w14:paraId="55895F14" w14:textId="77777777" w:rsidR="005227F3" w:rsidRPr="00192E9E" w:rsidRDefault="005227F3" w:rsidP="00192E9E">
            <w:pPr>
              <w:spacing w:line="276" w:lineRule="auto"/>
              <w:ind w:firstLine="567"/>
              <w:rPr>
                <w:rFonts w:ascii="&amp;quot" w:hAnsi="&amp;quot"/>
                <w:color w:val="000000"/>
              </w:rPr>
            </w:pPr>
            <w:r w:rsidRPr="00192E9E">
              <w:rPr>
                <w:rFonts w:ascii="&amp;quot" w:hAnsi="&amp;quot"/>
                <w:color w:val="000000"/>
              </w:rPr>
              <w:t>- Lietuvos Respublikos mokesčio už aplinkos teršimą įstatymo 1 straipsnio 2 dalimi įtvirtinta nuostata, kad mokesčio paskirtis yra mažinti taršą, o surinktas mokestis naudojamas aplinkosauginėms priemonėms finansuoti, todėl lėšų skyrimas ne aplinkos taršos mažinimui, bet vidaus vandens kelių infrastruktūros gerinimui, prieštarautų įstatymo nuostatai.</w:t>
            </w:r>
          </w:p>
          <w:p w14:paraId="12115EBB" w14:textId="77777777" w:rsidR="005227F3" w:rsidRPr="00192E9E" w:rsidRDefault="005227F3" w:rsidP="00192E9E">
            <w:pPr>
              <w:spacing w:line="276" w:lineRule="auto"/>
              <w:ind w:firstLine="567"/>
              <w:rPr>
                <w:rFonts w:ascii="&amp;quot" w:hAnsi="&amp;quot"/>
                <w:color w:val="000000"/>
              </w:rPr>
            </w:pPr>
            <w:r w:rsidRPr="00192E9E">
              <w:rPr>
                <w:rFonts w:ascii="&amp;quot" w:hAnsi="&amp;quot"/>
                <w:color w:val="000000"/>
              </w:rPr>
              <w:t xml:space="preserve">- Vandens kelių infrastruktūros įrengimas taip pat turėtų būti grindžiamas mažinama sausumos kelių transporto aplinkos tarša. Vandens transporto priemonės (laivai, keltai ir kitos varikliu varomos vandens transporto priemonės) yra ne mažiau taršios nei sausumos kelių transporto priemonės. Teikime nepateiktas aplinkosauginis vidaus vandenų transporto plėtros vertinimas, todėl </w:t>
            </w:r>
            <w:r w:rsidRPr="00192E9E">
              <w:rPr>
                <w:rFonts w:ascii="&amp;quot" w:hAnsi="&amp;quot"/>
                <w:color w:val="000000"/>
              </w:rPr>
              <w:lastRenderedPageBreak/>
              <w:t>siūlymas skirti dalį mokesčio už aplinkos teršimą iš mobilių šaltinių vidaus vandenų transporto infrastruktūros plėtrai, nepagrįstas atsižvelgiant į teisės aktais nustatytą mokesčio už aplinkos teršimą paskirtį.</w:t>
            </w:r>
          </w:p>
          <w:p w14:paraId="3F6BE4F4" w14:textId="77777777" w:rsidR="005227F3" w:rsidRPr="00192E9E" w:rsidRDefault="005227F3" w:rsidP="00192E9E">
            <w:pPr>
              <w:spacing w:line="276" w:lineRule="auto"/>
              <w:ind w:firstLine="567"/>
              <w:rPr>
                <w:rFonts w:ascii="&amp;quot" w:hAnsi="&amp;quot"/>
                <w:color w:val="000000"/>
              </w:rPr>
            </w:pPr>
            <w:r w:rsidRPr="00192E9E">
              <w:rPr>
                <w:rFonts w:ascii="&amp;quot" w:hAnsi="&amp;quot"/>
                <w:color w:val="000000"/>
              </w:rPr>
              <w:t>- Pabrėžiame, kad Lietuva įgyvendindama Bendrąją vandens politikos direktyvą (2000/60/EB), yra įsipareigojusi pasiekti tikslus, kad užtikrintų gerą vandenų būklę, kurių dabar tik dalis atitinka šiuos reikalavimus. Pagal Bendrąją vandens politikos direktyvą (2000/60/EB) pakeisti natūralaus vandens telkinio fizines charakteristikas leidžiama tik tada, kai tokių pakeitimų priežastys yra labai svarbios visuomenės interesams ir naujų pakeitimų nauda žmonių sveikatai, žmonių saugos palaikymui ar subalansuotai plėtrai yra didesnė už naudą, kurią aplinkai ir visuomenei duoda geros vandenų būklės pasiekimas. Pastebėtina, kad vandens kelių plėtra juos pritaikant krovinių gabenimui, gali didinti riziką užteršti vandenis ir daryti žalą žuvininkystei, vandens paukščiams, augmenijai ir gyvūnijai.</w:t>
            </w:r>
          </w:p>
          <w:p w14:paraId="293B473F" w14:textId="77777777" w:rsidR="005227F3" w:rsidRPr="00192E9E" w:rsidRDefault="005227F3" w:rsidP="00192E9E">
            <w:pPr>
              <w:spacing w:line="276" w:lineRule="auto"/>
              <w:ind w:firstLine="567"/>
              <w:rPr>
                <w:rFonts w:ascii="&amp;quot" w:hAnsi="&amp;quot"/>
                <w:color w:val="000000"/>
              </w:rPr>
            </w:pPr>
            <w:r w:rsidRPr="00192E9E">
              <w:rPr>
                <w:rFonts w:ascii="&amp;quot" w:hAnsi="&amp;quot"/>
                <w:color w:val="000000"/>
              </w:rPr>
              <w:t>- Pastebėtina, kad įplaukos, gaunamos kaip mokestis už aplinkos teršimą iš mobilių taršos šaltinių (vandens transporto), sudaro apie 100 tūkst. eurų per metus. Šių lėšų perskirstymui (administravimo pakeitimas) reikalingo mechanizmo ir struktūros sukūrimas tikėtina gali kainuoti daugiau.</w:t>
            </w:r>
          </w:p>
          <w:p w14:paraId="62291739" w14:textId="77777777" w:rsidR="005227F3" w:rsidRPr="00192E9E" w:rsidRDefault="005227F3" w:rsidP="00192E9E">
            <w:pPr>
              <w:spacing w:line="276" w:lineRule="auto"/>
              <w:ind w:firstLine="567"/>
              <w:rPr>
                <w:rFonts w:ascii="&amp;quot" w:hAnsi="&amp;quot"/>
                <w:color w:val="000000"/>
              </w:rPr>
            </w:pPr>
            <w:r w:rsidRPr="00192E9E">
              <w:rPr>
                <w:rFonts w:ascii="&amp;quot" w:hAnsi="&amp;quot"/>
                <w:color w:val="000000"/>
              </w:rPr>
              <w:t>- Atkreiptinas dėmesys, kad didžioji dalis mokesčio už aplinkos teršimą įskaitoma į savivaldybių biudžetus ir naudojama Aplinkos apsaugos rėmimo programos įstatyme nustatytoms priemonėms finansuoti. Į valstybės biudžetą įskaitoma 30 proc. šių lėšų. Šios lėšos naudojamos visos šalies mastu įgyvendinamiems aplinkosauginiams projektams finansuoti.</w:t>
            </w:r>
          </w:p>
          <w:p w14:paraId="5D6CCFA7" w14:textId="595F5A39" w:rsidR="005227F3" w:rsidRPr="00192E9E" w:rsidRDefault="005227F3" w:rsidP="00192E9E">
            <w:pPr>
              <w:pStyle w:val="Pagrindinistekstas"/>
              <w:spacing w:line="276" w:lineRule="auto"/>
            </w:pPr>
            <w:r w:rsidRPr="00192E9E">
              <w:t xml:space="preserve">Pažymėtina, kad Nutarimo projektas susijęs su Pakalnės ir </w:t>
            </w:r>
            <w:proofErr w:type="spellStart"/>
            <w:r w:rsidRPr="00192E9E">
              <w:t>Rusnaitės</w:t>
            </w:r>
            <w:proofErr w:type="spellEnd"/>
            <w:r w:rsidRPr="00192E9E">
              <w:t xml:space="preserve"> upių, kurios patenka į Nemuno priešakinės deltos gamtinį rezervatą, vagų gilinimu. Atkreipiame dėmesį, kad rezervate tokia </w:t>
            </w:r>
            <w:r w:rsidRPr="00192E9E">
              <w:lastRenderedPageBreak/>
              <w:t xml:space="preserve">veikla (upių gilinimas) draudžiama pagal Lietuvos Respublikos specialiųjų žemės naudojimo sąlygų įstatymo 65 str. 2 </w:t>
            </w:r>
            <w:r w:rsidR="00CE3CCF" w:rsidRPr="00192E9E">
              <w:t xml:space="preserve">d. </w:t>
            </w:r>
            <w:r w:rsidRPr="00192E9E">
              <w:t xml:space="preserve">nuostatas. </w:t>
            </w:r>
          </w:p>
          <w:p w14:paraId="326733BA" w14:textId="77777777" w:rsidR="005227F3" w:rsidRPr="00192E9E" w:rsidRDefault="005227F3" w:rsidP="00192E9E">
            <w:pPr>
              <w:pStyle w:val="Pagrindinistekstas"/>
              <w:spacing w:line="276" w:lineRule="auto"/>
            </w:pPr>
            <w:r w:rsidRPr="00192E9E">
              <w:t xml:space="preserve">Informuojame, kad Aplinkos ministerija parengė ir 2020-07-07 </w:t>
            </w:r>
            <w:r w:rsidRPr="00192E9E">
              <w:rPr>
                <w:rFonts w:cs="Times New Roman"/>
              </w:rPr>
              <w:t>per Lietuvos Respublikos Seimo kanceliarijos teisės aktų informacinę sistemą</w:t>
            </w:r>
            <w:r w:rsidRPr="00192E9E">
              <w:t xml:space="preserve"> pateikė derinti Lietuvos Respublikos Vyriausybės 2014 m. sausio 29 d. nutarimo Nr. 85 „Dėl Nemuno deltos regioninio parko ir jo zonų ribų plano patvirtinimo“ pakeitimo“ projektą, kurio tikslas – pakeisti Nemuno priešakinės deltos gamtinio rezervato ribas, todėl siūlome Nutarimo projektą teikti derinti Lietuvos Respublikos Vyriausybei patvirtinus minėtą projektą.“</w:t>
            </w:r>
          </w:p>
          <w:p w14:paraId="2E21A6F8" w14:textId="77777777" w:rsidR="00444B97" w:rsidRPr="00192E9E" w:rsidRDefault="00444B97" w:rsidP="00192E9E">
            <w:pPr>
              <w:pStyle w:val="Pagrindinistekstas"/>
              <w:spacing w:line="276" w:lineRule="auto"/>
            </w:pPr>
          </w:p>
          <w:p w14:paraId="5C0F42B9" w14:textId="77777777" w:rsidR="00444B97" w:rsidRPr="00192E9E" w:rsidRDefault="00444B97" w:rsidP="00192E9E">
            <w:pPr>
              <w:pStyle w:val="Pagrindinistekstas"/>
              <w:spacing w:line="276" w:lineRule="auto"/>
            </w:pPr>
          </w:p>
          <w:p w14:paraId="507F89C0" w14:textId="77777777" w:rsidR="00444B97" w:rsidRPr="00192E9E" w:rsidRDefault="00444B97" w:rsidP="00192E9E">
            <w:pPr>
              <w:pStyle w:val="Pagrindinistekstas"/>
              <w:spacing w:line="276" w:lineRule="auto"/>
            </w:pPr>
          </w:p>
          <w:p w14:paraId="035A4309" w14:textId="1A2BF08D" w:rsidR="00C1694D" w:rsidRPr="00192E9E" w:rsidRDefault="005227F3" w:rsidP="00192E9E">
            <w:pPr>
              <w:autoSpaceDE w:val="0"/>
              <w:autoSpaceDN w:val="0"/>
              <w:adjustRightInd w:val="0"/>
              <w:spacing w:line="276" w:lineRule="auto"/>
              <w:rPr>
                <w:color w:val="000000" w:themeColor="text1"/>
                <w:lang w:eastAsia="lt-LT"/>
              </w:rPr>
            </w:pPr>
            <w:r w:rsidRPr="00192E9E">
              <w:t>Pažymėtina, kad numatomo teisinio reguliavimo poveikio vertinimas atliekamas siekiant tobulinti viešosios politikos formavimą, sprendimų priėmimą, suteikti rengiančioms ir priimančioms sprendimus valstybės institucijoms ir įstaigoms informaciją apie galimas sprendimų alternatyvas ir jų įgyvendinimo pasekmes, sudaryti sąlygas pasirinkti tinkamiausią problemos sprendimo būdą, todėl siūlome, atsižvelgiant į numatomo teisinio reguliavimo pobūdį, atlikti numatomo teisinio reguliavimo vertinimą galimo poveikio aplinkai aspektu.</w:t>
            </w:r>
          </w:p>
        </w:tc>
        <w:tc>
          <w:tcPr>
            <w:tcW w:w="6662" w:type="dxa"/>
          </w:tcPr>
          <w:p w14:paraId="109B1407" w14:textId="1CE8227E" w:rsidR="00A965F4" w:rsidRPr="00192E9E" w:rsidRDefault="00A965F4" w:rsidP="00192E9E">
            <w:pPr>
              <w:tabs>
                <w:tab w:val="left" w:pos="993"/>
              </w:tabs>
              <w:spacing w:line="276" w:lineRule="auto"/>
              <w:rPr>
                <w:color w:val="000000" w:themeColor="text1"/>
              </w:rPr>
            </w:pPr>
            <w:r w:rsidRPr="00192E9E">
              <w:rPr>
                <w:b/>
                <w:color w:val="000000" w:themeColor="text1"/>
              </w:rPr>
              <w:lastRenderedPageBreak/>
              <w:t>Atsižvelgta iš dalies.</w:t>
            </w:r>
            <w:r w:rsidRPr="00192E9E">
              <w:rPr>
                <w:color w:val="000000" w:themeColor="text1"/>
              </w:rPr>
              <w:t xml:space="preserve"> </w:t>
            </w:r>
          </w:p>
          <w:p w14:paraId="57EDDC51" w14:textId="4F840546" w:rsidR="00A71F8F" w:rsidRPr="00192E9E" w:rsidRDefault="00F15A2A" w:rsidP="00192E9E">
            <w:pPr>
              <w:spacing w:line="276" w:lineRule="auto"/>
              <w:rPr>
                <w:color w:val="000000" w:themeColor="text1"/>
              </w:rPr>
            </w:pPr>
            <w:r w:rsidRPr="00192E9E">
              <w:t xml:space="preserve">Nesutinkame su nuomone, kad </w:t>
            </w:r>
            <w:r w:rsidRPr="00192E9E">
              <w:rPr>
                <w:rFonts w:ascii="&amp;quot" w:hAnsi="&amp;quot"/>
                <w:color w:val="000000"/>
              </w:rPr>
              <w:t xml:space="preserve">vandens transporto priemonės  yra ne mažiau taršios nei sausumos kelių transporto priemonės. </w:t>
            </w:r>
            <w:r w:rsidRPr="00192E9E">
              <w:t>V</w:t>
            </w:r>
            <w:r w:rsidR="00D121C5" w:rsidRPr="00192E9E">
              <w:t xml:space="preserve">idaus vandenų transportas yra patraukli alternatyva kitoms transporto rūšims </w:t>
            </w:r>
            <w:r w:rsidR="00A71F8F" w:rsidRPr="00192E9E">
              <w:t>aplinkosaug</w:t>
            </w:r>
            <w:r w:rsidR="00675BDC" w:rsidRPr="00192E9E">
              <w:t>os</w:t>
            </w:r>
            <w:r w:rsidR="00D121C5" w:rsidRPr="00192E9E">
              <w:t xml:space="preserve"> atžvilgiu. </w:t>
            </w:r>
            <w:r w:rsidR="00D121C5" w:rsidRPr="00192E9E">
              <w:rPr>
                <w:color w:val="000000" w:themeColor="text1"/>
              </w:rPr>
              <w:t>Vidaus vandenų laivyba yra efektyvi energijos vartojimo aspektu, labiausiai tausojanti aplinką, ekologiškai patraukli, mažinanti automobilių kelių apkrovimą ir taip sudaranti palankesnes sąlygas eismo saugumui. E</w:t>
            </w:r>
            <w:r w:rsidR="00A71F8F" w:rsidRPr="00192E9E">
              <w:rPr>
                <w:color w:val="000000" w:themeColor="text1"/>
              </w:rPr>
              <w:t>S</w:t>
            </w:r>
            <w:r w:rsidR="00D121C5" w:rsidRPr="00192E9E">
              <w:rPr>
                <w:color w:val="000000" w:themeColor="text1"/>
              </w:rPr>
              <w:t xml:space="preserve"> strateginiuose dokumentuose akcentuojama būtinybė plėtoti vidaus vandenų kelių infrastruktūrą, kad būtų efektyviai panaudotas vidaus vandenų transporto potencialas. ES Baltoji knyga</w:t>
            </w:r>
            <w:r w:rsidR="00D121C5" w:rsidRPr="00192E9E">
              <w:rPr>
                <w:rStyle w:val="Puslapioinaosnuoroda"/>
                <w:color w:val="000000" w:themeColor="text1"/>
              </w:rPr>
              <w:footnoteReference w:id="1"/>
            </w:r>
            <w:r w:rsidR="00D121C5" w:rsidRPr="00192E9E">
              <w:rPr>
                <w:color w:val="000000" w:themeColor="text1"/>
              </w:rPr>
              <w:t xml:space="preserve"> numato, kad svarbu rinktis alternatyvių rūšių transportą (geležinkeli</w:t>
            </w:r>
            <w:r w:rsidR="00675BDC" w:rsidRPr="00192E9E">
              <w:rPr>
                <w:color w:val="000000" w:themeColor="text1"/>
              </w:rPr>
              <w:t>ų</w:t>
            </w:r>
            <w:r w:rsidR="00D121C5" w:rsidRPr="00192E9E">
              <w:rPr>
                <w:color w:val="000000" w:themeColor="text1"/>
              </w:rPr>
              <w:t xml:space="preserve"> ar vandens transportą) ir kad vidaus vandenų keliai, kurių galimybės nevisiškai išnaudojamos, turi tapti vis svarbesni gabenant krovinius.</w:t>
            </w:r>
          </w:p>
          <w:p w14:paraId="5351828C" w14:textId="16CB34C9" w:rsidR="00A71F8F" w:rsidRPr="00192E9E" w:rsidRDefault="00A71F8F" w:rsidP="00192E9E">
            <w:pPr>
              <w:spacing w:line="276" w:lineRule="auto"/>
              <w:rPr>
                <w:color w:val="000000" w:themeColor="text1"/>
              </w:rPr>
            </w:pPr>
            <w:r w:rsidRPr="00192E9E">
              <w:rPr>
                <w:color w:val="000000" w:themeColor="text1"/>
              </w:rPr>
              <w:t xml:space="preserve">Baltojoje knygoje nurodyta, kad investicijos į transporto tinklą turi būti tiek iš viešojo, tiek iš privataus sektorių. Tačiau įgyvendinti ES Baltojoje knygoje nurodytus krovinių transporto perkėlimo į </w:t>
            </w:r>
            <w:r w:rsidRPr="00192E9E">
              <w:rPr>
                <w:color w:val="000000" w:themeColor="text1"/>
              </w:rPr>
              <w:lastRenderedPageBreak/>
              <w:t>vandenų transportą tikslus ir išnaudoti vidaus vandenų laivybos potencialą galima tik tuo atveju, jei vidaus vandenų keliai bus geros būklės</w:t>
            </w:r>
            <w:r w:rsidRPr="00192E9E">
              <w:rPr>
                <w:color w:val="000000" w:themeColor="text1"/>
                <w:vertAlign w:val="superscript"/>
              </w:rPr>
              <w:footnoteReference w:id="2"/>
            </w:r>
            <w:r w:rsidRPr="00192E9E">
              <w:rPr>
                <w:color w:val="000000" w:themeColor="text1"/>
              </w:rPr>
              <w:t xml:space="preserve">. </w:t>
            </w:r>
          </w:p>
          <w:p w14:paraId="1833E847" w14:textId="77777777" w:rsidR="000F5CB7" w:rsidRPr="00192E9E" w:rsidRDefault="00C534BC" w:rsidP="00192E9E">
            <w:pPr>
              <w:spacing w:line="276" w:lineRule="auto"/>
            </w:pPr>
            <w:r w:rsidRPr="00192E9E">
              <w:t>Lietuva europiniu ir nacionaliniu lygmenimis įsipareigojusi sumažinti oro taršą. Vienas pagrindinių oro taršos šaltinių yra kelių transportas. Išsipildžius krovinių transporto prognozėms ir neper</w:t>
            </w:r>
            <w:r w:rsidR="003F58B4" w:rsidRPr="00192E9E">
              <w:t>dav</w:t>
            </w:r>
            <w:r w:rsidRPr="00192E9E">
              <w:t>us atitinkamos dalies krovinių geležinkelių ir vidaus vandenų kelių</w:t>
            </w:r>
            <w:r w:rsidR="003F58B4" w:rsidRPr="00192E9E">
              <w:t xml:space="preserve"> transportui</w:t>
            </w:r>
            <w:r w:rsidRPr="00192E9E">
              <w:t>, didės rizika, kad aplinkosaug</w:t>
            </w:r>
            <w:r w:rsidR="006F097E" w:rsidRPr="00192E9E">
              <w:t>os</w:t>
            </w:r>
            <w:r w:rsidRPr="00192E9E">
              <w:t xml:space="preserve"> tikslai bus nepasiekti, kadangi elektrinio mobilumo technologijų dalis kelių transport</w:t>
            </w:r>
            <w:r w:rsidR="006F097E" w:rsidRPr="00192E9E">
              <w:t xml:space="preserve">o </w:t>
            </w:r>
            <w:r w:rsidR="003F58B4" w:rsidRPr="00192E9E">
              <w:t>sektoriuj</w:t>
            </w:r>
            <w:r w:rsidRPr="00192E9E">
              <w:t>e yra vis dar menka ir daugiausia orientuota tik į lengvąjį transportą.</w:t>
            </w:r>
          </w:p>
          <w:p w14:paraId="18FBC2E2" w14:textId="7A653875" w:rsidR="00C534BC" w:rsidRPr="00192E9E" w:rsidRDefault="00C534BC" w:rsidP="00192E9E">
            <w:pPr>
              <w:spacing w:line="276" w:lineRule="auto"/>
            </w:pPr>
            <w:r w:rsidRPr="00192E9E">
              <w:t>Aplinkosaugos tikslų pasiekimo tikimybė išauga perkeliant kuo didesnę dalį krovinių vandens kelių transport</w:t>
            </w:r>
            <w:r w:rsidR="003F58B4" w:rsidRPr="00192E9E">
              <w:t>ui</w:t>
            </w:r>
            <w:r w:rsidRPr="00192E9E">
              <w:t>. Vienos tonos per kilometrą pervežimas vandens keliu su</w:t>
            </w:r>
            <w:r w:rsidR="003F58B4" w:rsidRPr="00192E9E">
              <w:t>daro</w:t>
            </w:r>
            <w:r w:rsidRPr="00192E9E">
              <w:t xml:space="preserve"> tik 0,27 cent</w:t>
            </w:r>
            <w:r w:rsidR="006F097E" w:rsidRPr="00192E9E">
              <w:t>o</w:t>
            </w:r>
            <w:r w:rsidRPr="00192E9E">
              <w:t xml:space="preserve"> vadinamųjų išorinių kaštų (susideda iš išmetamų dujų, oro teršalų, triukšmo bei avarijų kaštų). Palyginimui, šis rodiklis </w:t>
            </w:r>
            <w:r w:rsidR="003F58B4" w:rsidRPr="00192E9E">
              <w:t xml:space="preserve">vežant </w:t>
            </w:r>
            <w:r w:rsidRPr="00192E9E">
              <w:t>geležinkeli</w:t>
            </w:r>
            <w:r w:rsidR="003F58B4" w:rsidRPr="00192E9E">
              <w:t xml:space="preserve">ais </w:t>
            </w:r>
            <w:r w:rsidRPr="00192E9E">
              <w:t>siekia 0,80 cent</w:t>
            </w:r>
            <w:r w:rsidR="006F097E" w:rsidRPr="00192E9E">
              <w:t>o</w:t>
            </w:r>
            <w:r w:rsidRPr="00192E9E">
              <w:t>, o sunkvežimia</w:t>
            </w:r>
            <w:r w:rsidR="003F58B4" w:rsidRPr="00192E9E">
              <w:t>i</w:t>
            </w:r>
            <w:r w:rsidRPr="00192E9E">
              <w:t xml:space="preserve">s </w:t>
            </w:r>
            <w:r w:rsidR="003F58B4" w:rsidRPr="00192E9E">
              <w:softHyphen/>
            </w:r>
            <w:r w:rsidR="003B69D8" w:rsidRPr="00192E9E">
              <w:rPr>
                <w:color w:val="000000"/>
              </w:rPr>
              <w:t xml:space="preserve">– </w:t>
            </w:r>
            <w:r w:rsidRPr="00192E9E">
              <w:t>net 2,00 centus, t. y. 10 kartų daugiau nei laiva</w:t>
            </w:r>
            <w:r w:rsidR="00F6745A" w:rsidRPr="00192E9E">
              <w:t>i</w:t>
            </w:r>
            <w:r w:rsidRPr="00192E9E">
              <w:t>s.</w:t>
            </w:r>
          </w:p>
          <w:p w14:paraId="7846644E" w14:textId="77777777" w:rsidR="00C534BC" w:rsidRPr="00192E9E" w:rsidRDefault="00C534BC" w:rsidP="00192E9E">
            <w:pPr>
              <w:spacing w:line="276" w:lineRule="auto"/>
            </w:pPr>
          </w:p>
          <w:p w14:paraId="3DF2B1DB" w14:textId="5AFDDC00" w:rsidR="00D121C5" w:rsidRPr="00192E9E" w:rsidRDefault="00D121C5" w:rsidP="00192E9E">
            <w:pPr>
              <w:spacing w:line="276" w:lineRule="auto"/>
            </w:pPr>
            <w:r w:rsidRPr="00192E9E">
              <w:t xml:space="preserve"> </w:t>
            </w:r>
          </w:p>
          <w:p w14:paraId="1080050E" w14:textId="77777777" w:rsidR="00D121C5" w:rsidRPr="00192E9E" w:rsidRDefault="00D121C5" w:rsidP="00192E9E">
            <w:pPr>
              <w:tabs>
                <w:tab w:val="left" w:pos="993"/>
              </w:tabs>
              <w:spacing w:line="276" w:lineRule="auto"/>
              <w:rPr>
                <w:color w:val="000000" w:themeColor="text1"/>
              </w:rPr>
            </w:pPr>
          </w:p>
          <w:p w14:paraId="63839A98" w14:textId="77777777" w:rsidR="00287FAC" w:rsidRPr="00192E9E" w:rsidRDefault="00287FAC" w:rsidP="00192E9E">
            <w:pPr>
              <w:tabs>
                <w:tab w:val="left" w:pos="993"/>
              </w:tabs>
              <w:spacing w:line="276" w:lineRule="auto"/>
              <w:rPr>
                <w:color w:val="000000" w:themeColor="text1"/>
              </w:rPr>
            </w:pPr>
          </w:p>
          <w:p w14:paraId="76C36061" w14:textId="77777777" w:rsidR="00B02E09" w:rsidRPr="00192E9E" w:rsidRDefault="00B02E09" w:rsidP="00192E9E">
            <w:pPr>
              <w:tabs>
                <w:tab w:val="left" w:pos="993"/>
              </w:tabs>
              <w:spacing w:line="276" w:lineRule="auto"/>
              <w:rPr>
                <w:color w:val="000000" w:themeColor="text1"/>
              </w:rPr>
            </w:pPr>
          </w:p>
          <w:p w14:paraId="25F1DA4A" w14:textId="77777777" w:rsidR="00B02E09" w:rsidRPr="00192E9E" w:rsidRDefault="00B02E09" w:rsidP="00192E9E">
            <w:pPr>
              <w:tabs>
                <w:tab w:val="left" w:pos="993"/>
              </w:tabs>
              <w:spacing w:line="276" w:lineRule="auto"/>
              <w:rPr>
                <w:color w:val="000000" w:themeColor="text1"/>
              </w:rPr>
            </w:pPr>
          </w:p>
          <w:p w14:paraId="0A28007F" w14:textId="3F47B381" w:rsidR="00B02E09" w:rsidRPr="00192E9E" w:rsidRDefault="00B02E09" w:rsidP="00192E9E">
            <w:pPr>
              <w:tabs>
                <w:tab w:val="left" w:pos="993"/>
              </w:tabs>
              <w:spacing w:line="276" w:lineRule="auto"/>
              <w:rPr>
                <w:color w:val="000000" w:themeColor="text1"/>
              </w:rPr>
            </w:pPr>
          </w:p>
          <w:p w14:paraId="3CBE1F99" w14:textId="77777777" w:rsidR="00F15A2A" w:rsidRPr="00192E9E" w:rsidRDefault="00F15A2A" w:rsidP="00192E9E">
            <w:pPr>
              <w:tabs>
                <w:tab w:val="left" w:pos="993"/>
              </w:tabs>
              <w:spacing w:line="276" w:lineRule="auto"/>
              <w:rPr>
                <w:color w:val="000000" w:themeColor="text1"/>
              </w:rPr>
            </w:pPr>
          </w:p>
          <w:p w14:paraId="43EA3340" w14:textId="77777777" w:rsidR="00C26761" w:rsidRPr="00192E9E" w:rsidRDefault="00C26761" w:rsidP="00192E9E">
            <w:pPr>
              <w:spacing w:line="276" w:lineRule="auto"/>
              <w:ind w:firstLine="686"/>
              <w:rPr>
                <w:b/>
                <w:color w:val="000000" w:themeColor="text1"/>
              </w:rPr>
            </w:pPr>
          </w:p>
          <w:p w14:paraId="0ABCEF53" w14:textId="77777777" w:rsidR="00C26761" w:rsidRPr="00192E9E" w:rsidRDefault="00C26761" w:rsidP="00192E9E">
            <w:pPr>
              <w:spacing w:line="276" w:lineRule="auto"/>
              <w:rPr>
                <w:b/>
                <w:color w:val="000000" w:themeColor="text1"/>
              </w:rPr>
            </w:pPr>
            <w:r w:rsidRPr="00192E9E">
              <w:rPr>
                <w:b/>
                <w:color w:val="000000" w:themeColor="text1"/>
              </w:rPr>
              <w:t>Atsižvelgta iš dalies.</w:t>
            </w:r>
          </w:p>
          <w:p w14:paraId="07CECFCC" w14:textId="619E8FDC" w:rsidR="00547601" w:rsidRPr="00192E9E" w:rsidRDefault="00C26761" w:rsidP="00192E9E">
            <w:pPr>
              <w:spacing w:line="276" w:lineRule="auto"/>
              <w:rPr>
                <w:color w:val="000000"/>
              </w:rPr>
            </w:pPr>
            <w:r w:rsidRPr="00192E9E">
              <w:rPr>
                <w:color w:val="000000" w:themeColor="text1"/>
              </w:rPr>
              <w:t xml:space="preserve">Informuojame, kad </w:t>
            </w:r>
            <w:r w:rsidRPr="00192E9E">
              <w:t xml:space="preserve">Pakalnės ir </w:t>
            </w:r>
            <w:proofErr w:type="spellStart"/>
            <w:r w:rsidRPr="00192E9E">
              <w:t>Rusnaitės</w:t>
            </w:r>
            <w:proofErr w:type="spellEnd"/>
            <w:r w:rsidRPr="00192E9E">
              <w:t xml:space="preserve"> upių įrašymas į Lietuvos Respublikos valstybinės reikšmės vidaus vandenų kelių sąrašą</w:t>
            </w:r>
            <w:r w:rsidR="00340FF2" w:rsidRPr="00192E9E">
              <w:t>, siekiant j</w:t>
            </w:r>
            <w:r w:rsidR="006F097E" w:rsidRPr="00192E9E">
              <w:t>a</w:t>
            </w:r>
            <w:r w:rsidR="00340FF2" w:rsidRPr="00192E9E">
              <w:t xml:space="preserve">s </w:t>
            </w:r>
            <w:r w:rsidR="00547601" w:rsidRPr="00192E9E">
              <w:t>pritaikyti</w:t>
            </w:r>
            <w:r w:rsidRPr="00192E9E">
              <w:t xml:space="preserve"> </w:t>
            </w:r>
            <w:r w:rsidR="00340FF2" w:rsidRPr="00192E9E">
              <w:t xml:space="preserve">pramoginės </w:t>
            </w:r>
            <w:r w:rsidRPr="00192E9E">
              <w:t>laivybos reikmėms</w:t>
            </w:r>
            <w:r w:rsidR="003378D1" w:rsidRPr="00192E9E">
              <w:t>,</w:t>
            </w:r>
            <w:r w:rsidR="00547601" w:rsidRPr="00192E9E">
              <w:t xml:space="preserve"> nebūtinai </w:t>
            </w:r>
            <w:r w:rsidR="00547601" w:rsidRPr="00192E9E">
              <w:lastRenderedPageBreak/>
              <w:t>reikalauja jų gilinimo.</w:t>
            </w:r>
            <w:r w:rsidR="003448EE" w:rsidRPr="00192E9E">
              <w:t xml:space="preserve"> </w:t>
            </w:r>
            <w:r w:rsidR="006F097E" w:rsidRPr="00192E9E">
              <w:t>Š</w:t>
            </w:r>
            <w:r w:rsidR="00954E51" w:rsidRPr="00192E9E">
              <w:t>iose atkarpose</w:t>
            </w:r>
            <w:r w:rsidR="006F097E" w:rsidRPr="00192E9E">
              <w:t xml:space="preserve"> galėtų plaukioti nedideli laivai</w:t>
            </w:r>
            <w:r w:rsidR="00954E51" w:rsidRPr="00192E9E">
              <w:t xml:space="preserve">, jeigu ten būtų užtikrinamos saugios laivybos sąlygos. Tam reikėtų </w:t>
            </w:r>
            <w:r w:rsidR="003B69D8" w:rsidRPr="00192E9E">
              <w:t xml:space="preserve">jas </w:t>
            </w:r>
            <w:r w:rsidR="00954E51" w:rsidRPr="00192E9E">
              <w:t xml:space="preserve">išvalyti (pašalinti seklumas ir įvairias povandenines kliūtis) ir paženklinti </w:t>
            </w:r>
            <w:proofErr w:type="spellStart"/>
            <w:r w:rsidR="009A5A8B" w:rsidRPr="00192E9E">
              <w:t>laivakelį</w:t>
            </w:r>
            <w:proofErr w:type="spellEnd"/>
            <w:r w:rsidR="00954E51" w:rsidRPr="00192E9E">
              <w:t xml:space="preserve">. </w:t>
            </w:r>
            <w:r w:rsidR="00BF0D54" w:rsidRPr="00192E9E">
              <w:t xml:space="preserve">Bet kokia ūkinė veikla būtų planuojama ir vykdoma laikantis visų teisės aktų reikalavimų. </w:t>
            </w:r>
            <w:r w:rsidR="009D730C" w:rsidRPr="00192E9E">
              <w:t>Atkreipiame dėmesį, kad šiuo metu minėtose upėse vyksta intensyvi pramoginė laivyba.</w:t>
            </w:r>
            <w:r w:rsidR="009D730C" w:rsidRPr="00192E9E">
              <w:rPr>
                <w:color w:val="000000"/>
              </w:rPr>
              <w:t xml:space="preserve"> Aplinkosaugos sąlygų plaukioti paviršiniuose vandens telkiniuose plaukiojimo priemonėmis ir plūduriuojančių priemonių įrengimo ir naudojimo, jų statymo ir (arba) švartavi</w:t>
            </w:r>
            <w:r w:rsidR="001159C9" w:rsidRPr="00192E9E">
              <w:rPr>
                <w:color w:val="000000"/>
              </w:rPr>
              <w:t>mo aplinkosauginiu</w:t>
            </w:r>
            <w:r w:rsidR="003B69D8" w:rsidRPr="00192E9E">
              <w:rPr>
                <w:color w:val="000000"/>
              </w:rPr>
              <w:t>o</w:t>
            </w:r>
            <w:r w:rsidR="001159C9" w:rsidRPr="00192E9E">
              <w:rPr>
                <w:color w:val="000000"/>
              </w:rPr>
              <w:t>s</w:t>
            </w:r>
            <w:r w:rsidR="003B69D8" w:rsidRPr="00192E9E">
              <w:rPr>
                <w:color w:val="000000"/>
              </w:rPr>
              <w:t>e</w:t>
            </w:r>
            <w:r w:rsidR="001159C9" w:rsidRPr="00192E9E">
              <w:rPr>
                <w:color w:val="000000"/>
              </w:rPr>
              <w:t xml:space="preserve"> reikalavimuose, patvirtintuose</w:t>
            </w:r>
            <w:r w:rsidR="009D730C" w:rsidRPr="00192E9E">
              <w:rPr>
                <w:color w:val="000000"/>
                <w:spacing w:val="33"/>
              </w:rPr>
              <w:t xml:space="preserve"> </w:t>
            </w:r>
            <w:r w:rsidR="009D730C" w:rsidRPr="00192E9E">
              <w:rPr>
                <w:color w:val="000000"/>
              </w:rPr>
              <w:t xml:space="preserve">Lietuvos Respublikos aplinkos ministro 2004 m. balandžio 15 d. įsakymu </w:t>
            </w:r>
            <w:r w:rsidR="007C182E" w:rsidRPr="00192E9E">
              <w:rPr>
                <w:color w:val="000000"/>
              </w:rPr>
              <w:br/>
            </w:r>
            <w:r w:rsidR="009D730C" w:rsidRPr="00192E9E">
              <w:rPr>
                <w:color w:val="000000"/>
              </w:rPr>
              <w:t>Nr. D1-187</w:t>
            </w:r>
            <w:r w:rsidR="001159C9" w:rsidRPr="00192E9E">
              <w:rPr>
                <w:color w:val="000000"/>
              </w:rPr>
              <w:t>, nėra nustatyti jokie apribojimai plaukiojimo priemonėms.</w:t>
            </w:r>
          </w:p>
          <w:p w14:paraId="26E915F3" w14:textId="77777777" w:rsidR="00CF6372" w:rsidRPr="00192E9E" w:rsidRDefault="00CF6372" w:rsidP="00192E9E">
            <w:pPr>
              <w:tabs>
                <w:tab w:val="left" w:pos="993"/>
              </w:tabs>
              <w:spacing w:line="276" w:lineRule="auto"/>
              <w:rPr>
                <w:color w:val="000000" w:themeColor="text1"/>
              </w:rPr>
            </w:pPr>
          </w:p>
          <w:p w14:paraId="6325F62D" w14:textId="4C530EB2" w:rsidR="00CF6372" w:rsidRPr="00192E9E" w:rsidRDefault="00CF6372" w:rsidP="00192E9E">
            <w:pPr>
              <w:tabs>
                <w:tab w:val="left" w:pos="993"/>
              </w:tabs>
              <w:spacing w:line="276" w:lineRule="auto"/>
              <w:rPr>
                <w:color w:val="000000" w:themeColor="text1"/>
              </w:rPr>
            </w:pPr>
            <w:r w:rsidRPr="00192E9E">
              <w:rPr>
                <w:color w:val="000000" w:themeColor="text1"/>
              </w:rPr>
              <w:t xml:space="preserve">Vadovaujantis Numatomo teisinio reguliavimo poveikio vertinimo metodikos, patvirtintos Lietuvos Respublikos Vyriausybės </w:t>
            </w:r>
            <w:r w:rsidR="006F097E" w:rsidRPr="00192E9E">
              <w:rPr>
                <w:color w:val="000000" w:themeColor="text1"/>
              </w:rPr>
              <w:br/>
            </w:r>
            <w:r w:rsidRPr="00192E9E">
              <w:rPr>
                <w:color w:val="000000" w:themeColor="text1"/>
              </w:rPr>
              <w:t xml:space="preserve">2003 m. vasario 26 d. nutarimu Nr. 276 „Dėl Numatomo teisinio reguliavimo poveikio vertinimo metodikos patvirtinimo“, </w:t>
            </w:r>
            <w:r w:rsidR="006F097E" w:rsidRPr="00192E9E">
              <w:rPr>
                <w:color w:val="000000" w:themeColor="text1"/>
              </w:rPr>
              <w:br/>
            </w:r>
            <w:r w:rsidRPr="00192E9E">
              <w:rPr>
                <w:color w:val="000000" w:themeColor="text1"/>
              </w:rPr>
              <w:t xml:space="preserve">4 punktu, numatomo teisinio reguliavimo poveikio vertinimas </w:t>
            </w:r>
            <w:r w:rsidR="00840B3A" w:rsidRPr="00192E9E">
              <w:rPr>
                <w:color w:val="000000" w:themeColor="text1"/>
              </w:rPr>
              <w:t xml:space="preserve">dėl teikiamo </w:t>
            </w:r>
            <w:r w:rsidR="006F097E" w:rsidRPr="00192E9E">
              <w:rPr>
                <w:color w:val="000000" w:themeColor="text1"/>
              </w:rPr>
              <w:t>n</w:t>
            </w:r>
            <w:r w:rsidR="00840B3A" w:rsidRPr="00192E9E">
              <w:rPr>
                <w:color w:val="000000" w:themeColor="text1"/>
              </w:rPr>
              <w:t xml:space="preserve">utarimo projekto </w:t>
            </w:r>
            <w:r w:rsidRPr="00192E9E">
              <w:rPr>
                <w:color w:val="000000" w:themeColor="text1"/>
              </w:rPr>
              <w:t>nėra atliekamas.</w:t>
            </w:r>
          </w:p>
          <w:p w14:paraId="49F358B9" w14:textId="51090F05" w:rsidR="00840B3A" w:rsidRPr="00192E9E" w:rsidRDefault="00840B3A" w:rsidP="00192E9E">
            <w:pPr>
              <w:tabs>
                <w:tab w:val="left" w:pos="993"/>
              </w:tabs>
              <w:spacing w:line="276" w:lineRule="auto"/>
              <w:rPr>
                <w:color w:val="000000" w:themeColor="text1"/>
              </w:rPr>
            </w:pPr>
            <w:r w:rsidRPr="00192E9E">
              <w:rPr>
                <w:color w:val="000000" w:themeColor="text1"/>
              </w:rPr>
              <w:t xml:space="preserve">Ši pastaba bus įvertinta rengiant </w:t>
            </w:r>
            <w:r w:rsidR="004C1F17" w:rsidRPr="00192E9E">
              <w:rPr>
                <w:color w:val="000000" w:themeColor="text1"/>
              </w:rPr>
              <w:t>koncepcinius pasiūlymus dėl teisinio reguliavimo keitimo, siekiant įtvirtinti tvarų VĮ Vidaus vandens kelių direkcijos finansavimo modelį.</w:t>
            </w:r>
          </w:p>
        </w:tc>
      </w:tr>
      <w:tr w:rsidR="00D32BF1" w:rsidRPr="00192E9E" w14:paraId="072E39D1" w14:textId="77777777" w:rsidTr="00B77CB8">
        <w:tc>
          <w:tcPr>
            <w:tcW w:w="1838" w:type="dxa"/>
          </w:tcPr>
          <w:p w14:paraId="5D77FB12" w14:textId="2967A306" w:rsidR="00D32BF1" w:rsidRPr="00192E9E" w:rsidRDefault="00094D25" w:rsidP="00192E9E">
            <w:pPr>
              <w:spacing w:line="276" w:lineRule="auto"/>
              <w:rPr>
                <w:color w:val="000000" w:themeColor="text1"/>
              </w:rPr>
            </w:pPr>
            <w:r w:rsidRPr="00192E9E">
              <w:rPr>
                <w:color w:val="000000" w:themeColor="text1"/>
              </w:rPr>
              <w:lastRenderedPageBreak/>
              <w:t>Lietuvos Respublikos f</w:t>
            </w:r>
            <w:r w:rsidR="00D32BF1" w:rsidRPr="00192E9E">
              <w:rPr>
                <w:color w:val="000000" w:themeColor="text1"/>
              </w:rPr>
              <w:t xml:space="preserve">inansų ministerijos 2020-09-06 raštas </w:t>
            </w:r>
            <w:r w:rsidR="008D019B" w:rsidRPr="00192E9E">
              <w:rPr>
                <w:color w:val="000000" w:themeColor="text1"/>
              </w:rPr>
              <w:br/>
            </w:r>
            <w:r w:rsidR="00D32BF1" w:rsidRPr="00192E9E">
              <w:rPr>
                <w:color w:val="000000" w:themeColor="text1"/>
              </w:rPr>
              <w:t xml:space="preserve">Nr. </w:t>
            </w:r>
            <w:r w:rsidR="00D32BF1" w:rsidRPr="00192E9E">
              <w:t>((2.120E-03)-5K-</w:t>
            </w:r>
            <w:r w:rsidR="00D32BF1" w:rsidRPr="00192E9E">
              <w:lastRenderedPageBreak/>
              <w:t>2009718)-6K-2005029</w:t>
            </w:r>
          </w:p>
        </w:tc>
        <w:tc>
          <w:tcPr>
            <w:tcW w:w="6634" w:type="dxa"/>
          </w:tcPr>
          <w:p w14:paraId="2642595F" w14:textId="77777777" w:rsidR="003255C7" w:rsidRPr="00192E9E" w:rsidRDefault="003255C7" w:rsidP="00192E9E">
            <w:pPr>
              <w:autoSpaceDE w:val="0"/>
              <w:autoSpaceDN w:val="0"/>
              <w:adjustRightInd w:val="0"/>
              <w:spacing w:line="276" w:lineRule="auto"/>
              <w:ind w:firstLine="720"/>
              <w:rPr>
                <w:i/>
                <w:color w:val="000000"/>
              </w:rPr>
            </w:pPr>
            <w:r w:rsidRPr="00192E9E">
              <w:rPr>
                <w:i/>
                <w:color w:val="000000"/>
              </w:rPr>
              <w:lastRenderedPageBreak/>
              <w:t>Dėl papildomo valstybės biudžeto lėšų poreikio.</w:t>
            </w:r>
          </w:p>
          <w:p w14:paraId="0CE26F04" w14:textId="05EB450C" w:rsidR="003255C7" w:rsidRPr="00192E9E" w:rsidRDefault="008E0E27" w:rsidP="00192E9E">
            <w:pPr>
              <w:spacing w:line="276" w:lineRule="auto"/>
              <w:ind w:firstLine="691"/>
            </w:pPr>
            <w:r w:rsidRPr="00192E9E">
              <w:rPr>
                <w:color w:val="000000"/>
              </w:rPr>
              <w:t xml:space="preserve">&lt;...&gt; </w:t>
            </w:r>
          </w:p>
          <w:p w14:paraId="65C99822" w14:textId="77777777" w:rsidR="003255C7" w:rsidRPr="00192E9E" w:rsidRDefault="003255C7" w:rsidP="00192E9E">
            <w:pPr>
              <w:spacing w:line="276" w:lineRule="auto"/>
              <w:ind w:firstLine="720"/>
              <w:rPr>
                <w:color w:val="000000"/>
              </w:rPr>
            </w:pPr>
            <w:r w:rsidRPr="00192E9E">
              <w:rPr>
                <w:color w:val="000000"/>
              </w:rPr>
              <w:t xml:space="preserve">Informuojame, kad dėl susiklosčiusios nepalankios situacijos dėl COVID-19, į valstybės biudžetą 2020 metais pajamų numatoma gauti mažiau nei planuota. Atitinkamai 2021 m. valstybės biudžeto pajamos taip pat bus mažesnės nei prognozuota anksčiau ir sieks tik maždaug 2019 m. pajamų lygį, todėl papildomai skiriant pajamų finansuoti iš savivaldybių perimtų vidaus vandenų priežiūrą (3,2 mln. eurų), atitinkama suma reikėtų </w:t>
            </w:r>
            <w:r w:rsidRPr="00192E9E">
              <w:rPr>
                <w:color w:val="000000"/>
              </w:rPr>
              <w:lastRenderedPageBreak/>
              <w:t>mažinti kitas išlaidas,</w:t>
            </w:r>
            <w:r w:rsidRPr="00192E9E">
              <w:t xml:space="preserve"> </w:t>
            </w:r>
            <w:r w:rsidRPr="00192E9E">
              <w:rPr>
                <w:color w:val="000000"/>
              </w:rPr>
              <w:t>tarp jų galimai ir Susisiekimo ministerijos, arba įvesti naujus finansavimo šaltinius, kurie visa apimtimi padengtų atitinkamos srities finansavimą. Raštu siūlomų naujų valstybinės reikšmės vidaus vandenų kelių naudotojo ir savivaldybių vandens kelio ir infrastruktūros priežiūros mokesčių metinės pajamos galėtų būti tik apie 1,1 mln. eurų per metus, t. y. nepadengtų padidėjusių išlaidų.</w:t>
            </w:r>
          </w:p>
          <w:p w14:paraId="01DE4C96" w14:textId="77777777" w:rsidR="003255C7" w:rsidRPr="00192E9E" w:rsidRDefault="003255C7" w:rsidP="00192E9E">
            <w:pPr>
              <w:spacing w:line="276" w:lineRule="auto"/>
              <w:ind w:firstLine="709"/>
              <w:rPr>
                <w:bCs/>
              </w:rPr>
            </w:pPr>
            <w:r w:rsidRPr="00192E9E">
              <w:rPr>
                <w:color w:val="000000"/>
              </w:rPr>
              <w:t xml:space="preserve">Atsižvelgiant į ribotas galimybes didinti valstybės biudžeto asignavimus, abejojame, kad vidaus vandenų kelių statuso pakeitimas prisidės prie laivybos Nemunu atgaivinimo. Juolab, kad Susisiekimo ministerijos rašte teigiama, jog neišsprendus finansavimo klausimo, laivybos sąlygos vidaus vandenų keliuose negalėtų būti pagerintos ir nebūtų pasiekti tikslai lėmę jų įrašymą į valstybinės reikšmės vidaus vandenų kelių sąrašą – jie būtų sąraše, tačiau nebūtų galimybių juos eksploatuoti. Todėl </w:t>
            </w:r>
            <w:r w:rsidRPr="00192E9E">
              <w:rPr>
                <w:bCs/>
              </w:rPr>
              <w:t>siūlome dar kartą apsvarstyti teikiamų Projektų tikslingumą ir kompleksiškai nagrinėti visus galimus laivybos Nemunu atgaivinimo būdus, siekiant užtikrinti tvarų ir pakankamą finansavimą, reikalingą Lietuvos Respublikos vidaus vandenų kelių tinklo eksploatacijos užtikrinimui, galimai pritraukiant, tarp kitų, ir privačių investuotojų lėšas.</w:t>
            </w:r>
          </w:p>
          <w:p w14:paraId="1D9C378B" w14:textId="78C52E8A" w:rsidR="008E0E27" w:rsidRPr="00192E9E" w:rsidRDefault="008E0E27" w:rsidP="00192E9E">
            <w:pPr>
              <w:spacing w:line="276" w:lineRule="auto"/>
              <w:ind w:firstLine="691"/>
            </w:pPr>
            <w:r w:rsidRPr="00192E9E">
              <w:rPr>
                <w:color w:val="000000"/>
              </w:rPr>
              <w:t xml:space="preserve">&lt;...&gt; </w:t>
            </w:r>
          </w:p>
          <w:p w14:paraId="6CB13AA1" w14:textId="77777777" w:rsidR="003255C7" w:rsidRPr="00192E9E" w:rsidRDefault="003255C7" w:rsidP="00192E9E">
            <w:pPr>
              <w:spacing w:line="276" w:lineRule="auto"/>
              <w:ind w:firstLine="720"/>
              <w:rPr>
                <w:i/>
              </w:rPr>
            </w:pPr>
            <w:r w:rsidRPr="00192E9E">
              <w:rPr>
                <w:i/>
              </w:rPr>
              <w:t>Dėl VĮ Vidaus vandens kelių direkcijos siūlomos mokestinės bazės.</w:t>
            </w:r>
          </w:p>
          <w:p w14:paraId="66231684" w14:textId="77777777" w:rsidR="003255C7" w:rsidRPr="00192E9E" w:rsidRDefault="003255C7" w:rsidP="00192E9E">
            <w:pPr>
              <w:spacing w:line="276" w:lineRule="auto"/>
              <w:ind w:firstLine="720"/>
            </w:pPr>
            <w:r w:rsidRPr="00192E9E">
              <w:t xml:space="preserve">Pažymime, kad nėra aišku apie kokius įstatymų pakeitimų projektus kalbama protokolo projekto 2.2. punkte. Atkreipiame dėmesį, kad pagal Lietuvos Respublikos biudžeto sandaros įstatymo 3 straipsnio 2 dalies nuostatas Lietuvos Respublikoje surenkami mokesčiai, privalomos įmokos ir rinkliavos gali būti perskirstomi tik per valstybės biudžetą ir savivaldybių biudžetus, Valstybinio socialinio draudimo fondą, Privalomojo sveikatos draudimo fondą, Rezervinį (stabilizavimo) fondą, Valstybės įmonės Ignalinos atominės elektrinės eksploatavimo nutraukimo </w:t>
            </w:r>
            <w:r w:rsidRPr="00192E9E">
              <w:lastRenderedPageBreak/>
              <w:t xml:space="preserve">fondą, Garantinį fondą, Ilgalaikio darbo išmokų fondą. Atitinkamai, Akcizų įstatymo 75 straipsnyje nustatyta, kad akcizai įskaitomi į valstybės biudžetą. Atsižvelgiant į tai, manome, kad neturėtų būti keičiamos Akcizų įstatymo nuostatos, nustatant, kad surinktų akcizų dalis būtų skirta VĮ Vidaus vandens kelių direkcijos finansavimui (atkreipiame dėmesį, kad bešviniam benzinui nuo 2020 sausio 1 d. taikomas 466 euro už 1000 litrų produkto akcizų tarifas). </w:t>
            </w:r>
          </w:p>
          <w:p w14:paraId="5EE7D7A0" w14:textId="07E5E74A" w:rsidR="00D32BF1" w:rsidRPr="00192E9E" w:rsidRDefault="003255C7" w:rsidP="00192E9E">
            <w:pPr>
              <w:spacing w:line="276" w:lineRule="auto"/>
              <w:ind w:firstLine="720"/>
              <w:rPr>
                <w:rFonts w:ascii="&amp;quot" w:hAnsi="&amp;quot"/>
                <w:color w:val="000000"/>
              </w:rPr>
            </w:pPr>
            <w:r w:rsidRPr="00192E9E">
              <w:t>Dėl siūlymo įvesti mokestį už Lietuvos Respublikoje įregistruotas vidaus vandenų transporto priemones (vidaus vandenų transporto priemonių savininkų mokestį) pažymime, kad pagal Lietuvos Respublikos rinkliavų įstatymą už institucijų teikiamas paslaugas imama valstybės rinkliava, kuri įskaitoma į valstybės biudžetą. Atsižvelgiant į tai, kad Lietuvos transporto saugos administracijos teikiamos paslaugos (vidaus vandenų transporto priemonių įregistravimas Lietuvos Respublikos vidaus vandenų laivų registre, jų techninė apžiūra), už kurias imama valstybės rinkliava, išliktų, Finansų ministerijos nuomone, mokestis už Lietuvos Respublikoje įregistruotas vidaus vandenų transporto priemones turėtų būti svarstomas kaip atskiras mokestis, jo nesiejant su  valstybės rinkliavos mokėjimu.</w:t>
            </w:r>
          </w:p>
        </w:tc>
        <w:tc>
          <w:tcPr>
            <w:tcW w:w="6662" w:type="dxa"/>
          </w:tcPr>
          <w:p w14:paraId="20732023" w14:textId="77777777" w:rsidR="008E0E27" w:rsidRPr="00192E9E" w:rsidRDefault="008E0E27" w:rsidP="00192E9E">
            <w:pPr>
              <w:spacing w:line="276" w:lineRule="auto"/>
              <w:rPr>
                <w:b/>
                <w:color w:val="000000" w:themeColor="text1"/>
              </w:rPr>
            </w:pPr>
          </w:p>
          <w:p w14:paraId="31478982" w14:textId="77777777" w:rsidR="008E0E27" w:rsidRPr="00192E9E" w:rsidRDefault="008E0E27" w:rsidP="00192E9E">
            <w:pPr>
              <w:spacing w:line="276" w:lineRule="auto"/>
              <w:rPr>
                <w:b/>
                <w:color w:val="000000" w:themeColor="text1"/>
              </w:rPr>
            </w:pPr>
            <w:r w:rsidRPr="00192E9E">
              <w:rPr>
                <w:b/>
                <w:color w:val="000000" w:themeColor="text1"/>
              </w:rPr>
              <w:t>Atsižvelgta iš dalies.</w:t>
            </w:r>
          </w:p>
          <w:p w14:paraId="0988541C" w14:textId="67C20F9F" w:rsidR="00835F6F" w:rsidRPr="00192E9E" w:rsidRDefault="008E0E27" w:rsidP="00192E9E">
            <w:pPr>
              <w:tabs>
                <w:tab w:val="left" w:pos="993"/>
              </w:tabs>
              <w:spacing w:line="276" w:lineRule="auto"/>
              <w:rPr>
                <w:b/>
                <w:color w:val="000000" w:themeColor="text1"/>
              </w:rPr>
            </w:pPr>
            <w:r w:rsidRPr="00192E9E">
              <w:rPr>
                <w:color w:val="000000" w:themeColor="text1"/>
              </w:rPr>
              <w:t xml:space="preserve">Atitinkamai patikslintas </w:t>
            </w:r>
            <w:r w:rsidR="00A957D6" w:rsidRPr="00192E9E">
              <w:rPr>
                <w:color w:val="000000" w:themeColor="text1"/>
              </w:rPr>
              <w:t xml:space="preserve">Lietuvos Respublikos Vyriausybės pasitarimo protokolo projektas. </w:t>
            </w:r>
            <w:r w:rsidR="003255C7" w:rsidRPr="00192E9E">
              <w:rPr>
                <w:color w:val="000000" w:themeColor="text1"/>
              </w:rPr>
              <w:t xml:space="preserve">Ši pastaba bus </w:t>
            </w:r>
            <w:r w:rsidR="002F3347" w:rsidRPr="00192E9E">
              <w:rPr>
                <w:color w:val="000000" w:themeColor="text1"/>
              </w:rPr>
              <w:t xml:space="preserve">detaliai </w:t>
            </w:r>
            <w:r w:rsidR="003255C7" w:rsidRPr="00192E9E">
              <w:rPr>
                <w:color w:val="000000" w:themeColor="text1"/>
              </w:rPr>
              <w:t xml:space="preserve">įvertinta rengiant </w:t>
            </w:r>
            <w:r w:rsidR="00A957D6" w:rsidRPr="00192E9E">
              <w:rPr>
                <w:color w:val="000000" w:themeColor="text1"/>
              </w:rPr>
              <w:t>koncepcinius pasiūlymus dėl teisinio reguliavimo keitimo, siekiant įtvirtinti tvarų VĮ Vidaus vandens kelių direkcijos finansavimo modelį.</w:t>
            </w:r>
          </w:p>
          <w:p w14:paraId="41858945" w14:textId="77777777" w:rsidR="00835F6F" w:rsidRPr="00192E9E" w:rsidRDefault="00835F6F" w:rsidP="00192E9E">
            <w:pPr>
              <w:tabs>
                <w:tab w:val="left" w:pos="993"/>
              </w:tabs>
              <w:spacing w:line="276" w:lineRule="auto"/>
              <w:rPr>
                <w:b/>
                <w:color w:val="000000" w:themeColor="text1"/>
              </w:rPr>
            </w:pPr>
          </w:p>
          <w:p w14:paraId="206F3156" w14:textId="77777777" w:rsidR="00835F6F" w:rsidRPr="00192E9E" w:rsidRDefault="00835F6F" w:rsidP="00192E9E">
            <w:pPr>
              <w:tabs>
                <w:tab w:val="left" w:pos="993"/>
              </w:tabs>
              <w:spacing w:line="276" w:lineRule="auto"/>
              <w:rPr>
                <w:b/>
                <w:color w:val="000000" w:themeColor="text1"/>
              </w:rPr>
            </w:pPr>
          </w:p>
          <w:p w14:paraId="62625FC4" w14:textId="77777777" w:rsidR="00835F6F" w:rsidRPr="00192E9E" w:rsidRDefault="00835F6F" w:rsidP="00192E9E">
            <w:pPr>
              <w:tabs>
                <w:tab w:val="left" w:pos="993"/>
              </w:tabs>
              <w:spacing w:line="276" w:lineRule="auto"/>
              <w:rPr>
                <w:b/>
                <w:color w:val="000000" w:themeColor="text1"/>
              </w:rPr>
            </w:pPr>
          </w:p>
          <w:p w14:paraId="004BABE0" w14:textId="77777777" w:rsidR="00835F6F" w:rsidRPr="00192E9E" w:rsidRDefault="00835F6F" w:rsidP="00192E9E">
            <w:pPr>
              <w:tabs>
                <w:tab w:val="left" w:pos="993"/>
              </w:tabs>
              <w:spacing w:line="276" w:lineRule="auto"/>
              <w:rPr>
                <w:b/>
                <w:color w:val="000000" w:themeColor="text1"/>
              </w:rPr>
            </w:pPr>
          </w:p>
          <w:p w14:paraId="0809E4DF" w14:textId="77777777" w:rsidR="00835F6F" w:rsidRPr="00192E9E" w:rsidRDefault="00835F6F" w:rsidP="00192E9E">
            <w:pPr>
              <w:tabs>
                <w:tab w:val="left" w:pos="993"/>
              </w:tabs>
              <w:spacing w:line="276" w:lineRule="auto"/>
              <w:rPr>
                <w:b/>
                <w:color w:val="000000" w:themeColor="text1"/>
              </w:rPr>
            </w:pPr>
          </w:p>
          <w:p w14:paraId="0BDCBD8D" w14:textId="77777777" w:rsidR="00835F6F" w:rsidRPr="00192E9E" w:rsidRDefault="00835F6F" w:rsidP="00192E9E">
            <w:pPr>
              <w:tabs>
                <w:tab w:val="left" w:pos="993"/>
              </w:tabs>
              <w:spacing w:line="276" w:lineRule="auto"/>
              <w:rPr>
                <w:b/>
                <w:color w:val="000000" w:themeColor="text1"/>
              </w:rPr>
            </w:pPr>
          </w:p>
          <w:p w14:paraId="48D3F5E7" w14:textId="77777777" w:rsidR="00835F6F" w:rsidRPr="00192E9E" w:rsidRDefault="00835F6F" w:rsidP="00192E9E">
            <w:pPr>
              <w:tabs>
                <w:tab w:val="left" w:pos="993"/>
              </w:tabs>
              <w:spacing w:line="276" w:lineRule="auto"/>
              <w:rPr>
                <w:b/>
                <w:color w:val="000000" w:themeColor="text1"/>
              </w:rPr>
            </w:pPr>
          </w:p>
          <w:p w14:paraId="7DA62D67" w14:textId="77777777" w:rsidR="00835F6F" w:rsidRPr="00192E9E" w:rsidRDefault="00835F6F" w:rsidP="00192E9E">
            <w:pPr>
              <w:tabs>
                <w:tab w:val="left" w:pos="993"/>
              </w:tabs>
              <w:spacing w:line="276" w:lineRule="auto"/>
              <w:rPr>
                <w:b/>
                <w:color w:val="000000" w:themeColor="text1"/>
              </w:rPr>
            </w:pPr>
          </w:p>
          <w:p w14:paraId="1529DE95" w14:textId="77777777" w:rsidR="00835F6F" w:rsidRPr="00192E9E" w:rsidRDefault="00835F6F" w:rsidP="00192E9E">
            <w:pPr>
              <w:tabs>
                <w:tab w:val="left" w:pos="993"/>
              </w:tabs>
              <w:spacing w:line="276" w:lineRule="auto"/>
              <w:rPr>
                <w:b/>
                <w:color w:val="000000" w:themeColor="text1"/>
              </w:rPr>
            </w:pPr>
          </w:p>
          <w:p w14:paraId="54B24DB3" w14:textId="77777777" w:rsidR="00835F6F" w:rsidRPr="00192E9E" w:rsidRDefault="00835F6F" w:rsidP="00192E9E">
            <w:pPr>
              <w:tabs>
                <w:tab w:val="left" w:pos="993"/>
              </w:tabs>
              <w:spacing w:line="276" w:lineRule="auto"/>
              <w:rPr>
                <w:b/>
                <w:color w:val="000000" w:themeColor="text1"/>
              </w:rPr>
            </w:pPr>
          </w:p>
          <w:p w14:paraId="75B73320" w14:textId="77777777" w:rsidR="00835F6F" w:rsidRPr="00192E9E" w:rsidRDefault="00835F6F" w:rsidP="00192E9E">
            <w:pPr>
              <w:tabs>
                <w:tab w:val="left" w:pos="993"/>
              </w:tabs>
              <w:spacing w:line="276" w:lineRule="auto"/>
              <w:rPr>
                <w:b/>
                <w:color w:val="000000" w:themeColor="text1"/>
              </w:rPr>
            </w:pPr>
          </w:p>
          <w:p w14:paraId="4E88893E" w14:textId="77777777" w:rsidR="00835F6F" w:rsidRPr="00192E9E" w:rsidRDefault="00835F6F" w:rsidP="00192E9E">
            <w:pPr>
              <w:tabs>
                <w:tab w:val="left" w:pos="993"/>
              </w:tabs>
              <w:spacing w:line="276" w:lineRule="auto"/>
              <w:rPr>
                <w:b/>
                <w:color w:val="000000" w:themeColor="text1"/>
              </w:rPr>
            </w:pPr>
          </w:p>
          <w:p w14:paraId="6AC1F057" w14:textId="77777777" w:rsidR="00835F6F" w:rsidRPr="00192E9E" w:rsidRDefault="00835F6F" w:rsidP="00192E9E">
            <w:pPr>
              <w:tabs>
                <w:tab w:val="left" w:pos="993"/>
              </w:tabs>
              <w:spacing w:line="276" w:lineRule="auto"/>
              <w:rPr>
                <w:b/>
                <w:color w:val="000000" w:themeColor="text1"/>
              </w:rPr>
            </w:pPr>
          </w:p>
          <w:p w14:paraId="5F3C0517" w14:textId="77777777" w:rsidR="00835F6F" w:rsidRPr="00192E9E" w:rsidRDefault="00835F6F" w:rsidP="00192E9E">
            <w:pPr>
              <w:tabs>
                <w:tab w:val="left" w:pos="993"/>
              </w:tabs>
              <w:spacing w:line="276" w:lineRule="auto"/>
              <w:rPr>
                <w:b/>
                <w:color w:val="000000" w:themeColor="text1"/>
              </w:rPr>
            </w:pPr>
          </w:p>
          <w:p w14:paraId="2BB9FD1B" w14:textId="77777777" w:rsidR="00835F6F" w:rsidRPr="00192E9E" w:rsidRDefault="00835F6F" w:rsidP="00192E9E">
            <w:pPr>
              <w:tabs>
                <w:tab w:val="left" w:pos="993"/>
              </w:tabs>
              <w:spacing w:line="276" w:lineRule="auto"/>
              <w:rPr>
                <w:b/>
                <w:color w:val="000000" w:themeColor="text1"/>
              </w:rPr>
            </w:pPr>
          </w:p>
          <w:p w14:paraId="576886E2" w14:textId="77777777" w:rsidR="00835F6F" w:rsidRPr="00192E9E" w:rsidRDefault="00835F6F" w:rsidP="00192E9E">
            <w:pPr>
              <w:tabs>
                <w:tab w:val="left" w:pos="993"/>
              </w:tabs>
              <w:spacing w:line="276" w:lineRule="auto"/>
              <w:rPr>
                <w:b/>
                <w:color w:val="000000" w:themeColor="text1"/>
              </w:rPr>
            </w:pPr>
          </w:p>
          <w:p w14:paraId="34211462" w14:textId="77777777" w:rsidR="00835F6F" w:rsidRPr="00192E9E" w:rsidRDefault="00835F6F" w:rsidP="00192E9E">
            <w:pPr>
              <w:tabs>
                <w:tab w:val="left" w:pos="993"/>
              </w:tabs>
              <w:spacing w:line="276" w:lineRule="auto"/>
              <w:rPr>
                <w:b/>
                <w:color w:val="000000" w:themeColor="text1"/>
              </w:rPr>
            </w:pPr>
          </w:p>
          <w:p w14:paraId="4DBBB60B" w14:textId="77777777" w:rsidR="00835F6F" w:rsidRPr="00192E9E" w:rsidRDefault="00835F6F" w:rsidP="00192E9E">
            <w:pPr>
              <w:tabs>
                <w:tab w:val="left" w:pos="993"/>
              </w:tabs>
              <w:spacing w:line="276" w:lineRule="auto"/>
              <w:rPr>
                <w:b/>
                <w:color w:val="000000" w:themeColor="text1"/>
              </w:rPr>
            </w:pPr>
          </w:p>
          <w:p w14:paraId="0101CA47" w14:textId="77777777" w:rsidR="00835F6F" w:rsidRPr="00192E9E" w:rsidRDefault="00835F6F" w:rsidP="00192E9E">
            <w:pPr>
              <w:tabs>
                <w:tab w:val="left" w:pos="993"/>
              </w:tabs>
              <w:spacing w:line="276" w:lineRule="auto"/>
              <w:rPr>
                <w:b/>
                <w:color w:val="000000" w:themeColor="text1"/>
              </w:rPr>
            </w:pPr>
          </w:p>
          <w:p w14:paraId="39E33650" w14:textId="77777777" w:rsidR="00835F6F" w:rsidRPr="00192E9E" w:rsidRDefault="00835F6F" w:rsidP="00192E9E">
            <w:pPr>
              <w:tabs>
                <w:tab w:val="left" w:pos="993"/>
              </w:tabs>
              <w:spacing w:line="276" w:lineRule="auto"/>
              <w:rPr>
                <w:b/>
                <w:color w:val="000000" w:themeColor="text1"/>
              </w:rPr>
            </w:pPr>
          </w:p>
          <w:p w14:paraId="1D7F07A3" w14:textId="77777777" w:rsidR="00835F6F" w:rsidRPr="00192E9E" w:rsidRDefault="00835F6F" w:rsidP="00192E9E">
            <w:pPr>
              <w:tabs>
                <w:tab w:val="left" w:pos="993"/>
              </w:tabs>
              <w:spacing w:line="276" w:lineRule="auto"/>
              <w:rPr>
                <w:b/>
                <w:color w:val="000000" w:themeColor="text1"/>
              </w:rPr>
            </w:pPr>
          </w:p>
          <w:p w14:paraId="27F76CAF" w14:textId="77777777" w:rsidR="00835F6F" w:rsidRPr="00192E9E" w:rsidRDefault="00835F6F" w:rsidP="00192E9E">
            <w:pPr>
              <w:tabs>
                <w:tab w:val="left" w:pos="993"/>
              </w:tabs>
              <w:spacing w:line="276" w:lineRule="auto"/>
              <w:rPr>
                <w:b/>
                <w:color w:val="000000" w:themeColor="text1"/>
              </w:rPr>
            </w:pPr>
          </w:p>
          <w:p w14:paraId="6454505C" w14:textId="77777777" w:rsidR="00835F6F" w:rsidRPr="00192E9E" w:rsidRDefault="00835F6F" w:rsidP="00192E9E">
            <w:pPr>
              <w:tabs>
                <w:tab w:val="left" w:pos="993"/>
              </w:tabs>
              <w:spacing w:line="276" w:lineRule="auto"/>
              <w:rPr>
                <w:b/>
                <w:color w:val="000000" w:themeColor="text1"/>
              </w:rPr>
            </w:pPr>
          </w:p>
          <w:p w14:paraId="20C25A47" w14:textId="77777777" w:rsidR="00835F6F" w:rsidRPr="00192E9E" w:rsidRDefault="00835F6F" w:rsidP="00192E9E">
            <w:pPr>
              <w:tabs>
                <w:tab w:val="left" w:pos="993"/>
              </w:tabs>
              <w:spacing w:line="276" w:lineRule="auto"/>
              <w:rPr>
                <w:b/>
                <w:color w:val="000000" w:themeColor="text1"/>
              </w:rPr>
            </w:pPr>
          </w:p>
          <w:p w14:paraId="15EA7518" w14:textId="77777777" w:rsidR="004C1F17" w:rsidRPr="00192E9E" w:rsidRDefault="004C1F17" w:rsidP="00192E9E">
            <w:pPr>
              <w:spacing w:line="276" w:lineRule="auto"/>
              <w:rPr>
                <w:b/>
                <w:color w:val="000000" w:themeColor="text1"/>
              </w:rPr>
            </w:pPr>
            <w:r w:rsidRPr="00192E9E">
              <w:rPr>
                <w:b/>
                <w:color w:val="000000" w:themeColor="text1"/>
              </w:rPr>
              <w:t>Atsižvelgta iš dalies.</w:t>
            </w:r>
          </w:p>
          <w:p w14:paraId="5E9AE47F" w14:textId="773CC09D" w:rsidR="004C1F17" w:rsidRPr="00192E9E" w:rsidRDefault="004C1F17" w:rsidP="00192E9E">
            <w:pPr>
              <w:tabs>
                <w:tab w:val="left" w:pos="993"/>
              </w:tabs>
              <w:spacing w:line="276" w:lineRule="auto"/>
              <w:rPr>
                <w:b/>
                <w:color w:val="000000" w:themeColor="text1"/>
              </w:rPr>
            </w:pPr>
            <w:r w:rsidRPr="00192E9E">
              <w:rPr>
                <w:color w:val="000000" w:themeColor="text1"/>
              </w:rPr>
              <w:t>Atitinkamai patikslintas teikimas ir Lietuvos Respublikos Vyriausybės pasitarimo protokolo projektas. Ši pastaba bus detaliai įvertinta rengiant koncepcinius pasiūlymus dėl teisinio reguliavimo keitimo, siekiant įtvirtinti tvarų VĮ Vidaus vandens kelių direkcijos finansavimo modelį.</w:t>
            </w:r>
          </w:p>
          <w:p w14:paraId="4563C3C8" w14:textId="77777777" w:rsidR="00835F6F" w:rsidRPr="00192E9E" w:rsidRDefault="00835F6F" w:rsidP="00192E9E">
            <w:pPr>
              <w:tabs>
                <w:tab w:val="left" w:pos="993"/>
              </w:tabs>
              <w:spacing w:line="276" w:lineRule="auto"/>
              <w:rPr>
                <w:b/>
                <w:color w:val="000000" w:themeColor="text1"/>
              </w:rPr>
            </w:pPr>
          </w:p>
          <w:p w14:paraId="7284718F" w14:textId="77777777" w:rsidR="00835F6F" w:rsidRPr="00192E9E" w:rsidRDefault="00835F6F" w:rsidP="00192E9E">
            <w:pPr>
              <w:tabs>
                <w:tab w:val="left" w:pos="993"/>
              </w:tabs>
              <w:spacing w:line="276" w:lineRule="auto"/>
              <w:rPr>
                <w:b/>
                <w:color w:val="000000" w:themeColor="text1"/>
              </w:rPr>
            </w:pPr>
          </w:p>
          <w:p w14:paraId="10D155AF" w14:textId="77777777" w:rsidR="00835F6F" w:rsidRPr="00192E9E" w:rsidRDefault="00835F6F" w:rsidP="00192E9E">
            <w:pPr>
              <w:tabs>
                <w:tab w:val="left" w:pos="993"/>
              </w:tabs>
              <w:spacing w:line="276" w:lineRule="auto"/>
              <w:rPr>
                <w:b/>
                <w:color w:val="000000" w:themeColor="text1"/>
              </w:rPr>
            </w:pPr>
          </w:p>
          <w:p w14:paraId="6A2A3E25" w14:textId="77777777" w:rsidR="00835F6F" w:rsidRPr="00192E9E" w:rsidRDefault="00835F6F" w:rsidP="00192E9E">
            <w:pPr>
              <w:tabs>
                <w:tab w:val="left" w:pos="993"/>
              </w:tabs>
              <w:spacing w:line="276" w:lineRule="auto"/>
              <w:rPr>
                <w:b/>
                <w:color w:val="000000" w:themeColor="text1"/>
              </w:rPr>
            </w:pPr>
          </w:p>
          <w:p w14:paraId="794D53F8" w14:textId="77777777" w:rsidR="00835F6F" w:rsidRPr="00192E9E" w:rsidRDefault="00835F6F" w:rsidP="00192E9E">
            <w:pPr>
              <w:tabs>
                <w:tab w:val="left" w:pos="993"/>
              </w:tabs>
              <w:spacing w:line="276" w:lineRule="auto"/>
              <w:rPr>
                <w:b/>
                <w:color w:val="000000" w:themeColor="text1"/>
              </w:rPr>
            </w:pPr>
          </w:p>
          <w:p w14:paraId="313F8EB3" w14:textId="77777777" w:rsidR="00835F6F" w:rsidRPr="00192E9E" w:rsidRDefault="00835F6F" w:rsidP="00192E9E">
            <w:pPr>
              <w:tabs>
                <w:tab w:val="left" w:pos="993"/>
              </w:tabs>
              <w:spacing w:line="276" w:lineRule="auto"/>
              <w:rPr>
                <w:b/>
                <w:color w:val="000000" w:themeColor="text1"/>
              </w:rPr>
            </w:pPr>
          </w:p>
          <w:p w14:paraId="63F33ACB" w14:textId="77777777" w:rsidR="00835F6F" w:rsidRPr="00192E9E" w:rsidRDefault="00835F6F" w:rsidP="00192E9E">
            <w:pPr>
              <w:tabs>
                <w:tab w:val="left" w:pos="993"/>
              </w:tabs>
              <w:spacing w:line="276" w:lineRule="auto"/>
              <w:rPr>
                <w:b/>
                <w:color w:val="000000" w:themeColor="text1"/>
              </w:rPr>
            </w:pPr>
          </w:p>
          <w:p w14:paraId="3BDD7962" w14:textId="77777777" w:rsidR="00835F6F" w:rsidRPr="00192E9E" w:rsidRDefault="00835F6F" w:rsidP="00192E9E">
            <w:pPr>
              <w:tabs>
                <w:tab w:val="left" w:pos="993"/>
              </w:tabs>
              <w:spacing w:line="276" w:lineRule="auto"/>
              <w:rPr>
                <w:b/>
                <w:color w:val="000000" w:themeColor="text1"/>
              </w:rPr>
            </w:pPr>
          </w:p>
          <w:p w14:paraId="5474094F" w14:textId="77777777" w:rsidR="00835F6F" w:rsidRPr="00192E9E" w:rsidRDefault="00835F6F" w:rsidP="00192E9E">
            <w:pPr>
              <w:tabs>
                <w:tab w:val="left" w:pos="993"/>
              </w:tabs>
              <w:spacing w:line="276" w:lineRule="auto"/>
              <w:rPr>
                <w:b/>
                <w:color w:val="000000" w:themeColor="text1"/>
              </w:rPr>
            </w:pPr>
          </w:p>
          <w:p w14:paraId="4EC2B7C0" w14:textId="77777777" w:rsidR="00835F6F" w:rsidRPr="00192E9E" w:rsidRDefault="00835F6F" w:rsidP="00192E9E">
            <w:pPr>
              <w:tabs>
                <w:tab w:val="left" w:pos="993"/>
              </w:tabs>
              <w:spacing w:line="276" w:lineRule="auto"/>
              <w:rPr>
                <w:b/>
                <w:color w:val="000000" w:themeColor="text1"/>
              </w:rPr>
            </w:pPr>
          </w:p>
          <w:p w14:paraId="4A8ADC7E" w14:textId="77777777" w:rsidR="00835F6F" w:rsidRPr="00192E9E" w:rsidRDefault="00835F6F" w:rsidP="00192E9E">
            <w:pPr>
              <w:tabs>
                <w:tab w:val="left" w:pos="993"/>
              </w:tabs>
              <w:spacing w:line="276" w:lineRule="auto"/>
              <w:rPr>
                <w:b/>
                <w:color w:val="000000" w:themeColor="text1"/>
              </w:rPr>
            </w:pPr>
          </w:p>
          <w:p w14:paraId="5AB4E5A5" w14:textId="77777777" w:rsidR="00835F6F" w:rsidRPr="00192E9E" w:rsidRDefault="00835F6F" w:rsidP="00192E9E">
            <w:pPr>
              <w:tabs>
                <w:tab w:val="left" w:pos="993"/>
              </w:tabs>
              <w:spacing w:line="276" w:lineRule="auto"/>
              <w:rPr>
                <w:b/>
                <w:color w:val="000000" w:themeColor="text1"/>
              </w:rPr>
            </w:pPr>
          </w:p>
          <w:p w14:paraId="2F2E76A0" w14:textId="77777777" w:rsidR="00835F6F" w:rsidRPr="00192E9E" w:rsidRDefault="00835F6F" w:rsidP="00192E9E">
            <w:pPr>
              <w:tabs>
                <w:tab w:val="left" w:pos="993"/>
              </w:tabs>
              <w:spacing w:line="276" w:lineRule="auto"/>
              <w:rPr>
                <w:b/>
                <w:color w:val="000000" w:themeColor="text1"/>
              </w:rPr>
            </w:pPr>
          </w:p>
          <w:p w14:paraId="518B81C1" w14:textId="77777777" w:rsidR="00835F6F" w:rsidRPr="00192E9E" w:rsidRDefault="00835F6F" w:rsidP="00192E9E">
            <w:pPr>
              <w:tabs>
                <w:tab w:val="left" w:pos="993"/>
              </w:tabs>
              <w:spacing w:line="276" w:lineRule="auto"/>
              <w:rPr>
                <w:b/>
                <w:color w:val="000000" w:themeColor="text1"/>
              </w:rPr>
            </w:pPr>
          </w:p>
          <w:p w14:paraId="72F93E6F" w14:textId="77777777" w:rsidR="00835F6F" w:rsidRPr="00192E9E" w:rsidRDefault="00835F6F" w:rsidP="00192E9E">
            <w:pPr>
              <w:tabs>
                <w:tab w:val="left" w:pos="993"/>
              </w:tabs>
              <w:spacing w:line="276" w:lineRule="auto"/>
              <w:rPr>
                <w:b/>
                <w:color w:val="000000" w:themeColor="text1"/>
              </w:rPr>
            </w:pPr>
          </w:p>
          <w:p w14:paraId="666B4926" w14:textId="77777777" w:rsidR="00835F6F" w:rsidRPr="00192E9E" w:rsidRDefault="00835F6F" w:rsidP="00192E9E">
            <w:pPr>
              <w:tabs>
                <w:tab w:val="left" w:pos="993"/>
              </w:tabs>
              <w:spacing w:line="276" w:lineRule="auto"/>
              <w:rPr>
                <w:b/>
                <w:color w:val="000000" w:themeColor="text1"/>
              </w:rPr>
            </w:pPr>
          </w:p>
          <w:p w14:paraId="4A881A60" w14:textId="77777777" w:rsidR="00835F6F" w:rsidRPr="00192E9E" w:rsidRDefault="00835F6F" w:rsidP="00192E9E">
            <w:pPr>
              <w:tabs>
                <w:tab w:val="left" w:pos="993"/>
              </w:tabs>
              <w:spacing w:line="276" w:lineRule="auto"/>
              <w:rPr>
                <w:b/>
                <w:color w:val="000000" w:themeColor="text1"/>
              </w:rPr>
            </w:pPr>
          </w:p>
          <w:p w14:paraId="6733FAEF" w14:textId="77777777" w:rsidR="00835F6F" w:rsidRPr="00192E9E" w:rsidRDefault="00835F6F" w:rsidP="00192E9E">
            <w:pPr>
              <w:tabs>
                <w:tab w:val="left" w:pos="993"/>
              </w:tabs>
              <w:spacing w:line="276" w:lineRule="auto"/>
              <w:rPr>
                <w:b/>
                <w:color w:val="000000" w:themeColor="text1"/>
              </w:rPr>
            </w:pPr>
          </w:p>
          <w:p w14:paraId="22ADB4B7" w14:textId="77777777" w:rsidR="00835F6F" w:rsidRPr="00192E9E" w:rsidRDefault="00835F6F" w:rsidP="00192E9E">
            <w:pPr>
              <w:tabs>
                <w:tab w:val="left" w:pos="993"/>
              </w:tabs>
              <w:spacing w:line="276" w:lineRule="auto"/>
              <w:rPr>
                <w:b/>
                <w:color w:val="000000" w:themeColor="text1"/>
              </w:rPr>
            </w:pPr>
          </w:p>
          <w:p w14:paraId="35DB0F2E" w14:textId="77777777" w:rsidR="00835F6F" w:rsidRPr="00192E9E" w:rsidRDefault="00835F6F" w:rsidP="00192E9E">
            <w:pPr>
              <w:tabs>
                <w:tab w:val="left" w:pos="993"/>
              </w:tabs>
              <w:spacing w:line="276" w:lineRule="auto"/>
              <w:rPr>
                <w:b/>
                <w:color w:val="000000" w:themeColor="text1"/>
              </w:rPr>
            </w:pPr>
          </w:p>
          <w:p w14:paraId="11E4934C" w14:textId="77777777" w:rsidR="00835F6F" w:rsidRPr="00192E9E" w:rsidRDefault="00835F6F" w:rsidP="00192E9E">
            <w:pPr>
              <w:tabs>
                <w:tab w:val="left" w:pos="993"/>
              </w:tabs>
              <w:spacing w:line="276" w:lineRule="auto"/>
              <w:rPr>
                <w:b/>
                <w:color w:val="000000" w:themeColor="text1"/>
              </w:rPr>
            </w:pPr>
          </w:p>
          <w:p w14:paraId="00CE5CF1" w14:textId="77777777" w:rsidR="00835F6F" w:rsidRPr="00192E9E" w:rsidRDefault="00835F6F" w:rsidP="00192E9E">
            <w:pPr>
              <w:tabs>
                <w:tab w:val="left" w:pos="993"/>
              </w:tabs>
              <w:spacing w:line="276" w:lineRule="auto"/>
              <w:rPr>
                <w:b/>
                <w:color w:val="000000" w:themeColor="text1"/>
              </w:rPr>
            </w:pPr>
          </w:p>
          <w:p w14:paraId="5D122C93" w14:textId="77777777" w:rsidR="00835F6F" w:rsidRPr="00192E9E" w:rsidRDefault="00835F6F" w:rsidP="00192E9E">
            <w:pPr>
              <w:tabs>
                <w:tab w:val="left" w:pos="993"/>
              </w:tabs>
              <w:spacing w:line="276" w:lineRule="auto"/>
              <w:rPr>
                <w:b/>
                <w:color w:val="000000" w:themeColor="text1"/>
              </w:rPr>
            </w:pPr>
          </w:p>
          <w:p w14:paraId="3AD64331" w14:textId="77777777" w:rsidR="00835F6F" w:rsidRPr="00192E9E" w:rsidRDefault="00835F6F" w:rsidP="00192E9E">
            <w:pPr>
              <w:tabs>
                <w:tab w:val="left" w:pos="993"/>
              </w:tabs>
              <w:spacing w:line="276" w:lineRule="auto"/>
              <w:rPr>
                <w:b/>
                <w:color w:val="000000" w:themeColor="text1"/>
              </w:rPr>
            </w:pPr>
          </w:p>
          <w:p w14:paraId="7F47F927" w14:textId="535B8333" w:rsidR="00835F6F" w:rsidRPr="00192E9E" w:rsidRDefault="00835F6F" w:rsidP="00192E9E">
            <w:pPr>
              <w:tabs>
                <w:tab w:val="left" w:pos="993"/>
              </w:tabs>
              <w:spacing w:line="276" w:lineRule="auto"/>
              <w:rPr>
                <w:b/>
                <w:color w:val="000000" w:themeColor="text1"/>
              </w:rPr>
            </w:pPr>
          </w:p>
        </w:tc>
      </w:tr>
    </w:tbl>
    <w:p w14:paraId="5CD6D46F" w14:textId="77777777" w:rsidR="00C1694D" w:rsidRPr="00192E9E" w:rsidRDefault="00C1694D" w:rsidP="00192E9E">
      <w:pPr>
        <w:spacing w:line="276" w:lineRule="auto"/>
        <w:ind w:left="5040" w:firstLine="720"/>
        <w:rPr>
          <w:color w:val="000000" w:themeColor="text1"/>
        </w:rPr>
      </w:pPr>
      <w:r w:rsidRPr="00192E9E">
        <w:rPr>
          <w:color w:val="000000" w:themeColor="text1"/>
        </w:rPr>
        <w:lastRenderedPageBreak/>
        <w:t>_____________________________</w:t>
      </w:r>
    </w:p>
    <w:p w14:paraId="38A07D9E" w14:textId="77777777" w:rsidR="00ED4C8E" w:rsidRPr="00192E9E" w:rsidRDefault="00ED4C8E" w:rsidP="00192E9E">
      <w:pPr>
        <w:spacing w:line="276" w:lineRule="auto"/>
      </w:pPr>
    </w:p>
    <w:sectPr w:rsidR="00ED4C8E" w:rsidRPr="00192E9E" w:rsidSect="008035EB">
      <w:headerReference w:type="even" r:id="rId7"/>
      <w:headerReference w:type="default" r:id="rId8"/>
      <w:pgSz w:w="16838" w:h="11906" w:orient="landscape" w:code="9"/>
      <w:pgMar w:top="284"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A50E7" w14:textId="77777777" w:rsidR="00E229AB" w:rsidRDefault="00E229AB">
      <w:r>
        <w:separator/>
      </w:r>
    </w:p>
  </w:endnote>
  <w:endnote w:type="continuationSeparator" w:id="0">
    <w:p w14:paraId="7CD6D474" w14:textId="77777777" w:rsidR="00E229AB" w:rsidRDefault="00E2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90571" w14:textId="77777777" w:rsidR="00E229AB" w:rsidRDefault="00E229AB">
      <w:r>
        <w:separator/>
      </w:r>
    </w:p>
  </w:footnote>
  <w:footnote w:type="continuationSeparator" w:id="0">
    <w:p w14:paraId="3E8D2F0B" w14:textId="77777777" w:rsidR="00E229AB" w:rsidRDefault="00E229AB">
      <w:r>
        <w:continuationSeparator/>
      </w:r>
    </w:p>
  </w:footnote>
  <w:footnote w:id="1">
    <w:p w14:paraId="229DEB36" w14:textId="19E6A7A6" w:rsidR="00D121C5" w:rsidRDefault="00A71F8F" w:rsidP="00D121C5">
      <w:pPr>
        <w:pStyle w:val="Puslapioinaostekstas"/>
        <w:rPr>
          <w:rFonts w:cstheme="minorBidi"/>
        </w:rPr>
      </w:pPr>
      <w:r>
        <w:rPr>
          <w:rStyle w:val="Puslapioinaosnuoroda"/>
        </w:rPr>
        <w:t>1</w:t>
      </w:r>
      <w:r>
        <w:t xml:space="preserve"> </w:t>
      </w:r>
      <w:r w:rsidR="00D121C5">
        <w:t xml:space="preserve">Europos </w:t>
      </w:r>
      <w:r w:rsidR="003F58B4">
        <w:t>K</w:t>
      </w:r>
      <w:r w:rsidR="00D121C5">
        <w:t>omisija. KOM(2011) 144. Bendras Europos transporto erdvės kūrimo planas. Konkurencingos efektyviu išteklių naudojimu grindžiamos transporto sistemos kūrimas.</w:t>
      </w:r>
    </w:p>
  </w:footnote>
  <w:footnote w:id="2">
    <w:p w14:paraId="790A1B82" w14:textId="3152392E" w:rsidR="00A71F8F" w:rsidRDefault="00CF6372" w:rsidP="00A71F8F">
      <w:pPr>
        <w:pStyle w:val="Puslapioinaostekstas"/>
        <w:rPr>
          <w:rFonts w:cstheme="minorBidi"/>
        </w:rPr>
      </w:pPr>
      <w:r>
        <w:rPr>
          <w:rStyle w:val="Puslapioinaosnuoroda"/>
        </w:rPr>
        <w:t>2</w:t>
      </w:r>
      <w:r w:rsidR="00A71F8F">
        <w:t xml:space="preserve"> 2013 m. rugsėjo 10 d. Europos Komisijos komunikatas NAIADES II „Kokybiško vidaus vandenų kelių transporto kūrimas“ (COM(2013) 623 </w:t>
      </w:r>
      <w:proofErr w:type="spellStart"/>
      <w:r w:rsidR="00A71F8F">
        <w:t>final</w:t>
      </w:r>
      <w:proofErr w:type="spellEnd"/>
      <w:r w:rsidR="00A71F8F">
        <w:t>)</w:t>
      </w:r>
      <w:r w:rsidR="006F09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E68" w14:textId="77777777" w:rsidR="00C875DB" w:rsidRDefault="000F501A"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000007" w14:textId="77777777" w:rsidR="00C875DB" w:rsidRDefault="004239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A7B3" w14:textId="77777777" w:rsidR="00C875DB" w:rsidRDefault="000F501A"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13C9">
      <w:rPr>
        <w:rStyle w:val="Puslapionumeris"/>
        <w:noProof/>
      </w:rPr>
      <w:t>2</w:t>
    </w:r>
    <w:r>
      <w:rPr>
        <w:rStyle w:val="Puslapionumeris"/>
      </w:rPr>
      <w:fldChar w:fldCharType="end"/>
    </w:r>
  </w:p>
  <w:p w14:paraId="4A1D5C5D" w14:textId="77777777" w:rsidR="00C875DB" w:rsidRDefault="004239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301D3"/>
    <w:multiLevelType w:val="hybridMultilevel"/>
    <w:tmpl w:val="7B24810C"/>
    <w:lvl w:ilvl="0" w:tplc="DE2CB7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57117D6A"/>
    <w:multiLevelType w:val="hybridMultilevel"/>
    <w:tmpl w:val="2C0ABE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B0450"/>
    <w:multiLevelType w:val="hybridMultilevel"/>
    <w:tmpl w:val="7D300B14"/>
    <w:lvl w:ilvl="0" w:tplc="CBF6555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4D"/>
    <w:rsid w:val="0000538D"/>
    <w:rsid w:val="0005349D"/>
    <w:rsid w:val="0006086D"/>
    <w:rsid w:val="00094D25"/>
    <w:rsid w:val="000D7648"/>
    <w:rsid w:val="000F2458"/>
    <w:rsid w:val="000F501A"/>
    <w:rsid w:val="000F5CB7"/>
    <w:rsid w:val="001159C9"/>
    <w:rsid w:val="001268C8"/>
    <w:rsid w:val="00145AD4"/>
    <w:rsid w:val="001669C5"/>
    <w:rsid w:val="00170601"/>
    <w:rsid w:val="0018221F"/>
    <w:rsid w:val="00192E9E"/>
    <w:rsid w:val="001B2027"/>
    <w:rsid w:val="001B337A"/>
    <w:rsid w:val="001E72D2"/>
    <w:rsid w:val="00222B66"/>
    <w:rsid w:val="00232628"/>
    <w:rsid w:val="0026031C"/>
    <w:rsid w:val="00287FAC"/>
    <w:rsid w:val="002C1D15"/>
    <w:rsid w:val="002D785E"/>
    <w:rsid w:val="002E50D1"/>
    <w:rsid w:val="002F01DC"/>
    <w:rsid w:val="002F3347"/>
    <w:rsid w:val="003255C7"/>
    <w:rsid w:val="003378D1"/>
    <w:rsid w:val="00340FF2"/>
    <w:rsid w:val="003448EE"/>
    <w:rsid w:val="003857F6"/>
    <w:rsid w:val="0039325A"/>
    <w:rsid w:val="003A540D"/>
    <w:rsid w:val="003B69D8"/>
    <w:rsid w:val="003E01E3"/>
    <w:rsid w:val="003F05C8"/>
    <w:rsid w:val="003F58B4"/>
    <w:rsid w:val="0040061A"/>
    <w:rsid w:val="00423927"/>
    <w:rsid w:val="004328BE"/>
    <w:rsid w:val="00444B97"/>
    <w:rsid w:val="00460CA4"/>
    <w:rsid w:val="00465A67"/>
    <w:rsid w:val="00490FED"/>
    <w:rsid w:val="004C1F17"/>
    <w:rsid w:val="004E7F39"/>
    <w:rsid w:val="005227F3"/>
    <w:rsid w:val="00547601"/>
    <w:rsid w:val="005534B2"/>
    <w:rsid w:val="00580018"/>
    <w:rsid w:val="00593E03"/>
    <w:rsid w:val="005A47E6"/>
    <w:rsid w:val="005B3B78"/>
    <w:rsid w:val="005E283F"/>
    <w:rsid w:val="00604D03"/>
    <w:rsid w:val="006055DC"/>
    <w:rsid w:val="00635CD9"/>
    <w:rsid w:val="00675BDC"/>
    <w:rsid w:val="006D5A3F"/>
    <w:rsid w:val="006F097E"/>
    <w:rsid w:val="007915BE"/>
    <w:rsid w:val="007C182E"/>
    <w:rsid w:val="00816A8C"/>
    <w:rsid w:val="00820EB5"/>
    <w:rsid w:val="00831323"/>
    <w:rsid w:val="00835F6F"/>
    <w:rsid w:val="00840B3A"/>
    <w:rsid w:val="00862977"/>
    <w:rsid w:val="008A1C5F"/>
    <w:rsid w:val="008B671C"/>
    <w:rsid w:val="008C2D48"/>
    <w:rsid w:val="008D019B"/>
    <w:rsid w:val="008E0E27"/>
    <w:rsid w:val="008E10F2"/>
    <w:rsid w:val="008F13C9"/>
    <w:rsid w:val="00904198"/>
    <w:rsid w:val="00954E51"/>
    <w:rsid w:val="009A1694"/>
    <w:rsid w:val="009A5A8B"/>
    <w:rsid w:val="009B5094"/>
    <w:rsid w:val="009D730C"/>
    <w:rsid w:val="009E30B8"/>
    <w:rsid w:val="009E34AF"/>
    <w:rsid w:val="00A1475E"/>
    <w:rsid w:val="00A14E10"/>
    <w:rsid w:val="00A57958"/>
    <w:rsid w:val="00A71F8F"/>
    <w:rsid w:val="00A766B5"/>
    <w:rsid w:val="00A957D6"/>
    <w:rsid w:val="00A965F4"/>
    <w:rsid w:val="00AD4F6F"/>
    <w:rsid w:val="00AE6EEE"/>
    <w:rsid w:val="00B02C16"/>
    <w:rsid w:val="00B02E09"/>
    <w:rsid w:val="00B35401"/>
    <w:rsid w:val="00B67223"/>
    <w:rsid w:val="00B846C2"/>
    <w:rsid w:val="00BB01E5"/>
    <w:rsid w:val="00BE4099"/>
    <w:rsid w:val="00BF0D54"/>
    <w:rsid w:val="00C1694D"/>
    <w:rsid w:val="00C26761"/>
    <w:rsid w:val="00C26C44"/>
    <w:rsid w:val="00C534BC"/>
    <w:rsid w:val="00C5756D"/>
    <w:rsid w:val="00C60DB9"/>
    <w:rsid w:val="00C66D56"/>
    <w:rsid w:val="00C8338F"/>
    <w:rsid w:val="00C86D02"/>
    <w:rsid w:val="00CE3CCF"/>
    <w:rsid w:val="00CF6372"/>
    <w:rsid w:val="00D121C5"/>
    <w:rsid w:val="00D253DC"/>
    <w:rsid w:val="00D32BF1"/>
    <w:rsid w:val="00DE0B17"/>
    <w:rsid w:val="00DF39FD"/>
    <w:rsid w:val="00E229AB"/>
    <w:rsid w:val="00E2407F"/>
    <w:rsid w:val="00E245EB"/>
    <w:rsid w:val="00E30EEE"/>
    <w:rsid w:val="00E41DBD"/>
    <w:rsid w:val="00E562C1"/>
    <w:rsid w:val="00E614BF"/>
    <w:rsid w:val="00E628A8"/>
    <w:rsid w:val="00E657FE"/>
    <w:rsid w:val="00EA532F"/>
    <w:rsid w:val="00EB7185"/>
    <w:rsid w:val="00ED4C8E"/>
    <w:rsid w:val="00ED6EB8"/>
    <w:rsid w:val="00EE7147"/>
    <w:rsid w:val="00EE79C3"/>
    <w:rsid w:val="00F15A2A"/>
    <w:rsid w:val="00F460A4"/>
    <w:rsid w:val="00F6745A"/>
    <w:rsid w:val="00F742A7"/>
    <w:rsid w:val="00FE50C6"/>
    <w:rsid w:val="00FF0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32E9"/>
  <w15:docId w15:val="{EEA21CC6-46E0-44B0-A075-B558AFC0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94D"/>
    <w:pPr>
      <w:spacing w:after="0" w:line="240" w:lineRule="auto"/>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694D"/>
    <w:pPr>
      <w:tabs>
        <w:tab w:val="center" w:pos="4819"/>
        <w:tab w:val="right" w:pos="9638"/>
      </w:tabs>
    </w:pPr>
  </w:style>
  <w:style w:type="character" w:customStyle="1" w:styleId="AntratsDiagrama">
    <w:name w:val="Antraštės Diagrama"/>
    <w:basedOn w:val="Numatytasispastraiposriftas"/>
    <w:link w:val="Antrats"/>
    <w:rsid w:val="00C1694D"/>
    <w:rPr>
      <w:rFonts w:ascii="Times New Roman" w:eastAsia="Times New Roman" w:hAnsi="Times New Roman" w:cs="Times New Roman"/>
      <w:sz w:val="24"/>
      <w:szCs w:val="24"/>
    </w:rPr>
  </w:style>
  <w:style w:type="character" w:styleId="Puslapionumeris">
    <w:name w:val="page number"/>
    <w:basedOn w:val="Numatytasispastraiposriftas"/>
    <w:rsid w:val="00C1694D"/>
  </w:style>
  <w:style w:type="paragraph" w:customStyle="1" w:styleId="Default">
    <w:name w:val="Default"/>
    <w:rsid w:val="00EB718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465A67"/>
    <w:pPr>
      <w:ind w:left="720"/>
      <w:contextualSpacing/>
    </w:pPr>
  </w:style>
  <w:style w:type="paragraph" w:styleId="Debesliotekstas">
    <w:name w:val="Balloon Text"/>
    <w:basedOn w:val="prastasis"/>
    <w:link w:val="DebesliotekstasDiagrama"/>
    <w:uiPriority w:val="99"/>
    <w:semiHidden/>
    <w:unhideWhenUsed/>
    <w:rsid w:val="00593E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3E0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93E03"/>
    <w:rPr>
      <w:sz w:val="16"/>
      <w:szCs w:val="16"/>
    </w:rPr>
  </w:style>
  <w:style w:type="paragraph" w:styleId="Komentarotekstas">
    <w:name w:val="annotation text"/>
    <w:basedOn w:val="prastasis"/>
    <w:link w:val="KomentarotekstasDiagrama"/>
    <w:uiPriority w:val="99"/>
    <w:semiHidden/>
    <w:unhideWhenUsed/>
    <w:rsid w:val="00593E03"/>
    <w:pPr>
      <w:suppressAutoHyphens/>
      <w:jc w:val="left"/>
    </w:pPr>
    <w:rPr>
      <w:sz w:val="20"/>
      <w:szCs w:val="20"/>
      <w:lang w:eastAsia="ar-SA"/>
    </w:rPr>
  </w:style>
  <w:style w:type="character" w:customStyle="1" w:styleId="KomentarotekstasDiagrama">
    <w:name w:val="Komentaro tekstas Diagrama"/>
    <w:basedOn w:val="Numatytasispastraiposriftas"/>
    <w:link w:val="Komentarotekstas"/>
    <w:uiPriority w:val="99"/>
    <w:semiHidden/>
    <w:rsid w:val="00593E03"/>
    <w:rPr>
      <w:rFonts w:ascii="Times New Roman" w:eastAsia="Times New Roman" w:hAnsi="Times New Roman" w:cs="Times New Roman"/>
      <w:sz w:val="20"/>
      <w:szCs w:val="20"/>
      <w:lang w:eastAsia="ar-SA"/>
    </w:rPr>
  </w:style>
  <w:style w:type="character" w:styleId="Hipersaitas">
    <w:name w:val="Hyperlink"/>
    <w:basedOn w:val="Numatytasispastraiposriftas"/>
    <w:rsid w:val="00E614BF"/>
    <w:rPr>
      <w:color w:val="0000FF"/>
      <w:u w:val="single"/>
    </w:rPr>
  </w:style>
  <w:style w:type="paragraph" w:styleId="Pagrindinistekstas">
    <w:name w:val="Body Text"/>
    <w:basedOn w:val="prastasis"/>
    <w:link w:val="PagrindinistekstasDiagrama"/>
    <w:rsid w:val="005227F3"/>
    <w:pPr>
      <w:widowControl w:val="0"/>
      <w:suppressAutoHyphens/>
      <w:ind w:firstLine="567"/>
    </w:pPr>
    <w:rPr>
      <w:rFonts w:eastAsia="Andale Sans UI" w:cs="Tahoma"/>
      <w:lang w:bidi="en-US"/>
    </w:rPr>
  </w:style>
  <w:style w:type="character" w:customStyle="1" w:styleId="PagrindinistekstasDiagrama">
    <w:name w:val="Pagrindinis tekstas Diagrama"/>
    <w:basedOn w:val="Numatytasispastraiposriftas"/>
    <w:link w:val="Pagrindinistekstas"/>
    <w:rsid w:val="005227F3"/>
    <w:rPr>
      <w:rFonts w:ascii="Times New Roman" w:eastAsia="Andale Sans UI" w:hAnsi="Times New Roman" w:cs="Tahoma"/>
      <w:sz w:val="24"/>
      <w:szCs w:val="24"/>
      <w:lang w:bidi="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5227F3"/>
    <w:pPr>
      <w:widowControl w:val="0"/>
      <w:suppressAutoHyphens/>
      <w:jc w:val="left"/>
    </w:pPr>
    <w:rPr>
      <w:rFonts w:eastAsia="Andale Sans UI" w:cs="Tahoma"/>
      <w:sz w:val="20"/>
      <w:szCs w:val="20"/>
      <w:lang w:bidi="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5227F3"/>
    <w:rPr>
      <w:rFonts w:ascii="Times New Roman" w:eastAsia="Andale Sans UI" w:hAnsi="Times New Roman" w:cs="Tahoma"/>
      <w:sz w:val="20"/>
      <w:szCs w:val="20"/>
      <w:lang w:bidi="en-US"/>
    </w:rPr>
  </w:style>
  <w:style w:type="character" w:styleId="Puslapioinaosnuoroda">
    <w:name w:val="footnote reference"/>
    <w:basedOn w:val="Numatytasispastraiposriftas"/>
    <w:uiPriority w:val="99"/>
    <w:semiHidden/>
    <w:unhideWhenUsed/>
    <w:rsid w:val="005227F3"/>
    <w:rPr>
      <w:vertAlign w:val="superscript"/>
    </w:rPr>
  </w:style>
  <w:style w:type="paragraph" w:styleId="Komentarotema">
    <w:name w:val="annotation subject"/>
    <w:basedOn w:val="Komentarotekstas"/>
    <w:next w:val="Komentarotekstas"/>
    <w:link w:val="KomentarotemaDiagrama"/>
    <w:uiPriority w:val="99"/>
    <w:semiHidden/>
    <w:unhideWhenUsed/>
    <w:rsid w:val="00C26C44"/>
    <w:pPr>
      <w:suppressAutoHyphens w:val="0"/>
      <w:jc w:val="both"/>
    </w:pPr>
    <w:rPr>
      <w:b/>
      <w:bCs/>
      <w:lang w:eastAsia="en-US"/>
    </w:rPr>
  </w:style>
  <w:style w:type="character" w:customStyle="1" w:styleId="KomentarotemaDiagrama">
    <w:name w:val="Komentaro tema Diagrama"/>
    <w:basedOn w:val="KomentarotekstasDiagrama"/>
    <w:link w:val="Komentarotema"/>
    <w:uiPriority w:val="99"/>
    <w:semiHidden/>
    <w:rsid w:val="00C26C44"/>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47244">
      <w:bodyDiv w:val="1"/>
      <w:marLeft w:val="0"/>
      <w:marRight w:val="0"/>
      <w:marTop w:val="0"/>
      <w:marBottom w:val="0"/>
      <w:divBdr>
        <w:top w:val="none" w:sz="0" w:space="0" w:color="auto"/>
        <w:left w:val="none" w:sz="0" w:space="0" w:color="auto"/>
        <w:bottom w:val="none" w:sz="0" w:space="0" w:color="auto"/>
        <w:right w:val="none" w:sz="0" w:space="0" w:color="auto"/>
      </w:divBdr>
    </w:div>
    <w:div w:id="1096562462">
      <w:bodyDiv w:val="1"/>
      <w:marLeft w:val="0"/>
      <w:marRight w:val="0"/>
      <w:marTop w:val="0"/>
      <w:marBottom w:val="0"/>
      <w:divBdr>
        <w:top w:val="none" w:sz="0" w:space="0" w:color="auto"/>
        <w:left w:val="none" w:sz="0" w:space="0" w:color="auto"/>
        <w:bottom w:val="none" w:sz="0" w:space="0" w:color="auto"/>
        <w:right w:val="none" w:sz="0" w:space="0" w:color="auto"/>
      </w:divBdr>
    </w:div>
    <w:div w:id="1247959554">
      <w:bodyDiv w:val="1"/>
      <w:marLeft w:val="0"/>
      <w:marRight w:val="0"/>
      <w:marTop w:val="0"/>
      <w:marBottom w:val="0"/>
      <w:divBdr>
        <w:top w:val="none" w:sz="0" w:space="0" w:color="auto"/>
        <w:left w:val="none" w:sz="0" w:space="0" w:color="auto"/>
        <w:bottom w:val="none" w:sz="0" w:space="0" w:color="auto"/>
        <w:right w:val="none" w:sz="0" w:space="0" w:color="auto"/>
      </w:divBdr>
      <w:divsChild>
        <w:div w:id="411974842">
          <w:marLeft w:val="0"/>
          <w:marRight w:val="0"/>
          <w:marTop w:val="0"/>
          <w:marBottom w:val="0"/>
          <w:divBdr>
            <w:top w:val="none" w:sz="0" w:space="0" w:color="auto"/>
            <w:left w:val="none" w:sz="0" w:space="0" w:color="auto"/>
            <w:bottom w:val="none" w:sz="0" w:space="0" w:color="auto"/>
            <w:right w:val="none" w:sz="0" w:space="0" w:color="auto"/>
          </w:divBdr>
        </w:div>
      </w:divsChild>
    </w:div>
    <w:div w:id="1645502263">
      <w:bodyDiv w:val="1"/>
      <w:marLeft w:val="0"/>
      <w:marRight w:val="0"/>
      <w:marTop w:val="0"/>
      <w:marBottom w:val="0"/>
      <w:divBdr>
        <w:top w:val="none" w:sz="0" w:space="0" w:color="auto"/>
        <w:left w:val="none" w:sz="0" w:space="0" w:color="auto"/>
        <w:bottom w:val="none" w:sz="0" w:space="0" w:color="auto"/>
        <w:right w:val="none" w:sz="0" w:space="0" w:color="auto"/>
      </w:divBdr>
    </w:div>
    <w:div w:id="1939941823">
      <w:bodyDiv w:val="1"/>
      <w:marLeft w:val="0"/>
      <w:marRight w:val="0"/>
      <w:marTop w:val="0"/>
      <w:marBottom w:val="0"/>
      <w:divBdr>
        <w:top w:val="none" w:sz="0" w:space="0" w:color="auto"/>
        <w:left w:val="none" w:sz="0" w:space="0" w:color="auto"/>
        <w:bottom w:val="none" w:sz="0" w:space="0" w:color="auto"/>
        <w:right w:val="none" w:sz="0" w:space="0" w:color="auto"/>
      </w:divBdr>
      <w:divsChild>
        <w:div w:id="715475103">
          <w:marLeft w:val="0"/>
          <w:marRight w:val="0"/>
          <w:marTop w:val="0"/>
          <w:marBottom w:val="0"/>
          <w:divBdr>
            <w:top w:val="none" w:sz="0" w:space="0" w:color="auto"/>
            <w:left w:val="none" w:sz="0" w:space="0" w:color="auto"/>
            <w:bottom w:val="none" w:sz="0" w:space="0" w:color="auto"/>
            <w:right w:val="none" w:sz="0" w:space="0" w:color="auto"/>
          </w:divBdr>
        </w:div>
        <w:div w:id="360516525">
          <w:marLeft w:val="0"/>
          <w:marRight w:val="0"/>
          <w:marTop w:val="0"/>
          <w:marBottom w:val="0"/>
          <w:divBdr>
            <w:top w:val="none" w:sz="0" w:space="0" w:color="auto"/>
            <w:left w:val="none" w:sz="0" w:space="0" w:color="auto"/>
            <w:bottom w:val="none" w:sz="0" w:space="0" w:color="auto"/>
            <w:right w:val="none" w:sz="0" w:space="0" w:color="auto"/>
          </w:divBdr>
        </w:div>
        <w:div w:id="198373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2399</Words>
  <Characters>13675</Characters>
  <Application>Microsoft Office Word</Application>
  <DocSecurity>0</DocSecurity>
  <Lines>113</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2020-09-14T14:22:00Z</dcterms:created>
  <dc:creator>Virginija Šomkienė</dc:creator>
  <cp:lastModifiedBy>Teresa Selezniova</cp:lastModifiedBy>
  <dcterms:modified xsi:type="dcterms:W3CDTF">2020-09-15T13:49:00Z</dcterms:modified>
  <cp:revision>11</cp:revision>
</cp:coreProperties>
</file>