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7F" w:rsidRPr="00915F84" w:rsidRDefault="003C017F">
      <w:pPr>
        <w:pStyle w:val="Pavadinimas"/>
      </w:pPr>
      <w:bookmarkStart w:id="0" w:name="_GoBack"/>
      <w:bookmarkEnd w:id="0"/>
      <w:r w:rsidRPr="00915F84">
        <w:t>DERINIMO PAŽYMA</w:t>
      </w:r>
    </w:p>
    <w:p w:rsidR="00A341AD" w:rsidRPr="00A341AD" w:rsidRDefault="006C0EAD" w:rsidP="00A341AD">
      <w:pPr>
        <w:pStyle w:val="Antraste"/>
      </w:pPr>
      <w:r>
        <w:rPr>
          <w:bCs/>
          <w:color w:val="000000"/>
        </w:rPr>
        <w:t xml:space="preserve">LIETUVOS RESPUBLIKOS </w:t>
      </w:r>
      <w:r w:rsidRPr="00246F7A">
        <w:rPr>
          <w:bCs/>
          <w:color w:val="000000"/>
        </w:rPr>
        <w:t xml:space="preserve">BAUDŽIAMOJO PROCESO KODEKSO </w:t>
      </w:r>
      <w:r w:rsidRPr="00D836C2">
        <w:rPr>
          <w:bCs/>
          <w:color w:val="000000"/>
        </w:rPr>
        <w:t>133, 168, 214 IR 225</w:t>
      </w:r>
      <w:r w:rsidRPr="00246F7A">
        <w:rPr>
          <w:bCs/>
          <w:color w:val="000000"/>
        </w:rPr>
        <w:t xml:space="preserve"> </w:t>
      </w:r>
      <w:r>
        <w:rPr>
          <w:bCs/>
          <w:color w:val="000000"/>
        </w:rPr>
        <w:t xml:space="preserve">STRAIPSNIŲ </w:t>
      </w:r>
      <w:r w:rsidRPr="00246F7A">
        <w:rPr>
          <w:bCs/>
          <w:color w:val="000000"/>
        </w:rPr>
        <w:t>PAKEITIMO</w:t>
      </w:r>
      <w:r>
        <w:rPr>
          <w:bCs/>
          <w:color w:val="000000"/>
        </w:rPr>
        <w:t xml:space="preserve"> </w:t>
      </w:r>
      <w:r w:rsidRPr="00652ED6">
        <w:rPr>
          <w:bCs/>
          <w:color w:val="000000"/>
        </w:rPr>
        <w:t>ĮSTATYM</w:t>
      </w:r>
      <w:r>
        <w:rPr>
          <w:bCs/>
          <w:color w:val="000000"/>
        </w:rPr>
        <w:t>O</w:t>
      </w:r>
      <w:r w:rsidRPr="00652ED6">
        <w:rPr>
          <w:bCs/>
          <w:color w:val="000000"/>
        </w:rPr>
        <w:t xml:space="preserve"> PROJEKT</w:t>
      </w:r>
      <w:r>
        <w:rPr>
          <w:bCs/>
          <w:color w:val="000000"/>
        </w:rPr>
        <w:t>O</w:t>
      </w:r>
      <w:r w:rsidR="007E7ADA" w:rsidRPr="007E7ADA">
        <w:t xml:space="preserve"> </w:t>
      </w:r>
    </w:p>
    <w:p w:rsidR="00A341AD" w:rsidRDefault="00A341AD" w:rsidP="00DC323C">
      <w:pPr>
        <w:pStyle w:val="Antraste"/>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0"/>
        <w:gridCol w:w="4970"/>
        <w:gridCol w:w="7221"/>
      </w:tblGrid>
      <w:tr w:rsidR="003C017F" w:rsidRPr="00915F84" w:rsidTr="003F277E">
        <w:tblPrEx>
          <w:tblCellMar>
            <w:top w:w="0" w:type="dxa"/>
            <w:bottom w:w="0" w:type="dxa"/>
          </w:tblCellMar>
        </w:tblPrEx>
        <w:trPr>
          <w:trHeight w:val="516"/>
        </w:trPr>
        <w:tc>
          <w:tcPr>
            <w:tcW w:w="720" w:type="dxa"/>
          </w:tcPr>
          <w:p w:rsidR="003C017F" w:rsidRPr="00915F84" w:rsidRDefault="003C017F">
            <w:pPr>
              <w:pStyle w:val="Pavadinimas"/>
            </w:pPr>
            <w:r w:rsidRPr="00915F84">
              <w:rPr>
                <w:b w:val="0"/>
                <w:bCs w:val="0"/>
              </w:rPr>
              <w:t>Eil. Nr.</w:t>
            </w:r>
          </w:p>
        </w:tc>
        <w:tc>
          <w:tcPr>
            <w:tcW w:w="1690" w:type="dxa"/>
          </w:tcPr>
          <w:p w:rsidR="003C017F" w:rsidRPr="00915F84" w:rsidRDefault="003C017F">
            <w:pPr>
              <w:pStyle w:val="Pavadinimas"/>
              <w:rPr>
                <w:b w:val="0"/>
                <w:bCs w:val="0"/>
              </w:rPr>
            </w:pPr>
            <w:r w:rsidRPr="00915F84">
              <w:rPr>
                <w:b w:val="0"/>
                <w:bCs w:val="0"/>
              </w:rPr>
              <w:t>Institucijos pavadinimas</w:t>
            </w:r>
          </w:p>
        </w:tc>
        <w:tc>
          <w:tcPr>
            <w:tcW w:w="4970" w:type="dxa"/>
          </w:tcPr>
          <w:p w:rsidR="003C017F" w:rsidRPr="00915F84" w:rsidRDefault="003C017F">
            <w:pPr>
              <w:pStyle w:val="Pavadinimas"/>
              <w:rPr>
                <w:b w:val="0"/>
                <w:bCs w:val="0"/>
              </w:rPr>
            </w:pPr>
            <w:r w:rsidRPr="00915F84">
              <w:rPr>
                <w:b w:val="0"/>
                <w:bCs w:val="0"/>
              </w:rPr>
              <w:t>Pastabos ir pasiūlymai</w:t>
            </w:r>
          </w:p>
        </w:tc>
        <w:tc>
          <w:tcPr>
            <w:tcW w:w="7221" w:type="dxa"/>
          </w:tcPr>
          <w:p w:rsidR="003C017F" w:rsidRPr="00915F84" w:rsidRDefault="003C017F">
            <w:pPr>
              <w:pStyle w:val="Pavadinimas"/>
              <w:rPr>
                <w:b w:val="0"/>
                <w:bCs w:val="0"/>
              </w:rPr>
            </w:pPr>
            <w:r w:rsidRPr="00915F84">
              <w:rPr>
                <w:b w:val="0"/>
                <w:bCs w:val="0"/>
              </w:rPr>
              <w:t>Argumentai, kodėl į pastabas ir pasiūlymus neatsižvelgta</w:t>
            </w:r>
          </w:p>
        </w:tc>
      </w:tr>
      <w:tr w:rsidR="00BF1D10" w:rsidRPr="00915F84" w:rsidTr="003F277E">
        <w:tblPrEx>
          <w:tblCellMar>
            <w:top w:w="0" w:type="dxa"/>
            <w:bottom w:w="0" w:type="dxa"/>
          </w:tblCellMar>
        </w:tblPrEx>
        <w:tc>
          <w:tcPr>
            <w:tcW w:w="720" w:type="dxa"/>
          </w:tcPr>
          <w:p w:rsidR="00516822" w:rsidRPr="00915F84" w:rsidRDefault="00E13BEE" w:rsidP="00516822">
            <w:pPr>
              <w:pStyle w:val="Pavadinimas"/>
              <w:tabs>
                <w:tab w:val="left" w:pos="222"/>
              </w:tabs>
              <w:jc w:val="left"/>
              <w:rPr>
                <w:b w:val="0"/>
                <w:bCs w:val="0"/>
              </w:rPr>
            </w:pPr>
            <w:r>
              <w:rPr>
                <w:b w:val="0"/>
                <w:bCs w:val="0"/>
              </w:rPr>
              <w:t>1.</w:t>
            </w:r>
          </w:p>
          <w:p w:rsidR="00516822" w:rsidRPr="00915F84" w:rsidRDefault="00516822" w:rsidP="00516822"/>
          <w:p w:rsidR="00BF1D10" w:rsidRPr="00915F84" w:rsidRDefault="00BF1D10" w:rsidP="00516822"/>
        </w:tc>
        <w:tc>
          <w:tcPr>
            <w:tcW w:w="1690" w:type="dxa"/>
          </w:tcPr>
          <w:p w:rsidR="00664900" w:rsidRPr="00915F84" w:rsidRDefault="007E7ADA" w:rsidP="00F667E3">
            <w:pPr>
              <w:pStyle w:val="Pavadinimas"/>
              <w:rPr>
                <w:b w:val="0"/>
                <w:bCs w:val="0"/>
              </w:rPr>
            </w:pPr>
            <w:r>
              <w:rPr>
                <w:b w:val="0"/>
                <w:bCs w:val="0"/>
              </w:rPr>
              <w:t xml:space="preserve">Lietuvos Respublikos </w:t>
            </w:r>
            <w:r w:rsidR="00F667E3">
              <w:rPr>
                <w:b w:val="0"/>
                <w:bCs w:val="0"/>
              </w:rPr>
              <w:t xml:space="preserve">specialiųjų tyrimų tarnybos 2020 m. rugpjūčio 18 d. raštas Nr. </w:t>
            </w:r>
            <w:r w:rsidR="00F667E3" w:rsidRPr="00F667E3">
              <w:rPr>
                <w:b w:val="0"/>
                <w:bCs w:val="0"/>
              </w:rPr>
              <w:t>4-01-6466</w:t>
            </w:r>
            <w:r>
              <w:rPr>
                <w:b w:val="0"/>
                <w:bCs w:val="0"/>
              </w:rPr>
              <w:t>.</w:t>
            </w:r>
            <w:r w:rsidR="00664900" w:rsidRPr="00915F84">
              <w:rPr>
                <w:b w:val="0"/>
                <w:bCs w:val="0"/>
              </w:rPr>
              <w:t xml:space="preserve"> </w:t>
            </w:r>
          </w:p>
          <w:p w:rsidR="00664900" w:rsidRPr="00915F84" w:rsidRDefault="00664900" w:rsidP="00664900">
            <w:pPr>
              <w:pStyle w:val="Pavadinimas"/>
              <w:rPr>
                <w:b w:val="0"/>
                <w:bCs w:val="0"/>
              </w:rPr>
            </w:pPr>
          </w:p>
          <w:p w:rsidR="00BF1D10" w:rsidRPr="00915F84" w:rsidRDefault="00BF1D10" w:rsidP="00664900">
            <w:pPr>
              <w:pStyle w:val="Pavadinimas"/>
              <w:rPr>
                <w:b w:val="0"/>
                <w:bCs w:val="0"/>
              </w:rPr>
            </w:pPr>
          </w:p>
        </w:tc>
        <w:tc>
          <w:tcPr>
            <w:tcW w:w="4970" w:type="dxa"/>
          </w:tcPr>
          <w:p w:rsidR="00F667E3" w:rsidRDefault="00F667E3" w:rsidP="00F667E3">
            <w:pPr>
              <w:pStyle w:val="Sraopastraipa"/>
              <w:spacing w:line="276" w:lineRule="auto"/>
              <w:ind w:left="0" w:firstLine="851"/>
              <w:jc w:val="both"/>
            </w:pPr>
            <w:r>
              <w:t>Siūlytina aiškiai numatyti ir nurodyti atvejus, kada toks elgesio modelis yra galimas ir koks būtų aiškus mechanizmas jo išpildymui. Manytina, siūlomas projektinis reguliavimas atitinkama apimtimi pilnai nespręstų iškeltos problemos ir nepasiektų numatytų tikslų. Atitinkamai 133 straipsnio 2 dalis nurodo, kad skiriant užstatą, atsižvelgiama į nusikalstamą veiką, įtariamajam gresiančios bausmės dydį, įtariamojo ir užstato davėjo turtinę padėtį bei jų asmenybes. Šiuo atveju kyla pagrįstas klausimas, ar vadovaujantis nuostata, kad prokuroras ar teismas privalo įvertinti asmenų savarankiškai prieš tai sumokėtas įmokas, užstatą skiriantis subjektas turi vertinti minėtas aplinkybes, taip pat, ar jos turi būti vertinamos tik konkrečios bylos kontekste, ar apskritai visų baudžiamųjų bylų, kurių metu asmuo yra sumokėjęs užstatą. Nėra aišku, ar atitinkamiems subjektams yra techninės galimybės (pvz. tam tikri registrai) matyti tokių užstatų sumokėjimą. Bet kokiu atveju šis įpareigojimas teismui ar prokurorui galėtų būti nurodytas prie visų bendrų aplinkybių, į kurias turi būti atsižvelgiama skiriant užstatą.</w:t>
            </w:r>
          </w:p>
          <w:p w:rsidR="00BF3392" w:rsidRPr="00915F84" w:rsidRDefault="00BF3392" w:rsidP="006C0EAD">
            <w:pPr>
              <w:pStyle w:val="Antrats"/>
              <w:tabs>
                <w:tab w:val="left" w:pos="1296"/>
              </w:tabs>
              <w:ind w:firstLine="720"/>
              <w:jc w:val="both"/>
            </w:pPr>
          </w:p>
        </w:tc>
        <w:tc>
          <w:tcPr>
            <w:tcW w:w="7221" w:type="dxa"/>
          </w:tcPr>
          <w:p w:rsidR="005D5625" w:rsidRPr="00915F84" w:rsidRDefault="001B3388" w:rsidP="00D854C0">
            <w:pPr>
              <w:jc w:val="both"/>
              <w:rPr>
                <w:szCs w:val="22"/>
                <w:u w:val="single"/>
              </w:rPr>
            </w:pPr>
            <w:r w:rsidRPr="00915F84">
              <w:rPr>
                <w:szCs w:val="22"/>
                <w:u w:val="single"/>
              </w:rPr>
              <w:lastRenderedPageBreak/>
              <w:t>Neatsižvelgta</w:t>
            </w:r>
          </w:p>
          <w:p w:rsidR="00BF3392" w:rsidRDefault="00BF3392" w:rsidP="007E7ADA">
            <w:pPr>
              <w:jc w:val="both"/>
              <w:rPr>
                <w:szCs w:val="22"/>
                <w:u w:val="single"/>
              </w:rPr>
            </w:pPr>
          </w:p>
          <w:p w:rsidR="007E7ADA" w:rsidRPr="00915F84" w:rsidRDefault="00F667E3" w:rsidP="00F667E3">
            <w:pPr>
              <w:jc w:val="both"/>
              <w:rPr>
                <w:szCs w:val="22"/>
              </w:rPr>
            </w:pPr>
            <w:r>
              <w:rPr>
                <w:szCs w:val="22"/>
              </w:rPr>
              <w:t xml:space="preserve">Pažymėtina, kad galiojantis Lietuvos Respublikos baudžiamojo proceso kodekso (toliau – BPK) teisinis reglamentavimas nedraudžia asmenims savarankiškai įmokėti piniginių įmokų į prokuratūros ar teismo depozitinę banko sąskaitą, kurios galėtų būti panaudotos užtikrinti kardomosios priemonės – užstato, įgyvendinimą. Dėl šios priežasties, Įstatymo projektu siūlomais pakeitimais privalomai įtvirtinama pareiga prokurorui ar teismui atsižvelgti į užstato davėjo įmokėtus piniginius įnašus tuo tikslu, kad prokuroras ar teismas, nustatydamas konkrečią mokėtino užstato sumą, tiksliai nutarime ar nutartyje įvardintų mokėtino užstato dydžio likutį. Aptariami pakeitimai užtikrins efektyvesnį užstato skyrimo mechanizmą, kadangi nereikės kiekvienu atveju grąžinti iš prokuratūros ar teismo depozitinės sąskaitos potencialiems užstato davėjams jų </w:t>
            </w:r>
            <w:r w:rsidR="00CD5291">
              <w:rPr>
                <w:szCs w:val="22"/>
              </w:rPr>
              <w:t xml:space="preserve">jau </w:t>
            </w:r>
            <w:r>
              <w:rPr>
                <w:szCs w:val="22"/>
              </w:rPr>
              <w:t>sumokėtų įmokų</w:t>
            </w:r>
            <w:r w:rsidR="00CD5291">
              <w:rPr>
                <w:szCs w:val="22"/>
              </w:rPr>
              <w:t xml:space="preserve"> iki nutarties ar nutarimo skirti aptariamą kardomąją priemonę</w:t>
            </w:r>
            <w:r>
              <w:rPr>
                <w:szCs w:val="22"/>
              </w:rPr>
              <w:t>. Taip pat pažymėtina, kad dėl Įstatymų projektų siekiamo įtvirtinti modelio Lietuvos Respublikos generalinė prokuratūra bei Teisėjų taryba pastabų neturėjo ir nemato jokių potencialių techninių kliūčių</w:t>
            </w:r>
            <w:r w:rsidR="005E2E84">
              <w:rPr>
                <w:szCs w:val="22"/>
              </w:rPr>
              <w:t xml:space="preserve"> aptariamų pakeitimų</w:t>
            </w:r>
            <w:r>
              <w:rPr>
                <w:szCs w:val="22"/>
              </w:rPr>
              <w:t xml:space="preserve"> įgyvendinimui</w:t>
            </w:r>
            <w:r w:rsidR="00C64770">
              <w:rPr>
                <w:szCs w:val="22"/>
              </w:rPr>
              <w:t xml:space="preserve"> praktinėje veikloje</w:t>
            </w:r>
            <w:r>
              <w:rPr>
                <w:szCs w:val="22"/>
              </w:rPr>
              <w:t xml:space="preserve">. </w:t>
            </w:r>
          </w:p>
        </w:tc>
      </w:tr>
      <w:tr w:rsidR="00E13BEE" w:rsidRPr="00915F84" w:rsidTr="003F277E">
        <w:tblPrEx>
          <w:tblCellMar>
            <w:top w:w="0" w:type="dxa"/>
            <w:bottom w:w="0" w:type="dxa"/>
          </w:tblCellMar>
        </w:tblPrEx>
        <w:tc>
          <w:tcPr>
            <w:tcW w:w="720" w:type="dxa"/>
          </w:tcPr>
          <w:p w:rsidR="00E13BEE" w:rsidRPr="00915F84" w:rsidRDefault="00E13BEE" w:rsidP="00516822">
            <w:pPr>
              <w:pStyle w:val="Pavadinimas"/>
              <w:tabs>
                <w:tab w:val="left" w:pos="222"/>
              </w:tabs>
              <w:jc w:val="left"/>
              <w:rPr>
                <w:b w:val="0"/>
                <w:bCs w:val="0"/>
              </w:rPr>
            </w:pPr>
          </w:p>
        </w:tc>
        <w:tc>
          <w:tcPr>
            <w:tcW w:w="1690" w:type="dxa"/>
          </w:tcPr>
          <w:p w:rsidR="00E13BEE" w:rsidRDefault="00E13BEE" w:rsidP="001B157D">
            <w:pPr>
              <w:pStyle w:val="Pavadinimas"/>
              <w:rPr>
                <w:b w:val="0"/>
                <w:bCs w:val="0"/>
              </w:rPr>
            </w:pPr>
          </w:p>
        </w:tc>
        <w:tc>
          <w:tcPr>
            <w:tcW w:w="4970" w:type="dxa"/>
          </w:tcPr>
          <w:p w:rsidR="00F667E3" w:rsidRDefault="00F667E3" w:rsidP="00F667E3">
            <w:pPr>
              <w:pStyle w:val="Sraopastraipa"/>
              <w:numPr>
                <w:ilvl w:val="1"/>
                <w:numId w:val="16"/>
              </w:numPr>
              <w:suppressAutoHyphens/>
              <w:spacing w:line="276" w:lineRule="auto"/>
              <w:ind w:left="0" w:firstLine="851"/>
              <w:contextualSpacing/>
              <w:jc w:val="both"/>
            </w:pPr>
            <w:r>
              <w:t xml:space="preserve">Vienas iš šio projekto tikslų, kaip nurodyta jo aiškinamajame rašte, yra mažinti suėmimo taikymą ir skirti daugiau švelnesnių priemonių. Manytina, jog šioje teisinėje aplinkoje galėtų ir turėtų būti diskutuojama apie procesinės prievartos priemonės laikino sulaikymo reglamentavimą. Manytina, jog laikinas sulaikymas galėtų būti taikomas ir nesant akivaizdžių griežčiausios kardomosios priemonės, suėmimo, pagrindų bei ne visuomet taikant aplinkybę, jog nėra galimybės itin skubiai kreiptis į teismą dėl suėmimo paskyrimo. Laikinas sulaikymas yra itin reikšminga, svarbi ir reikalinga priemonė siekiant pirmosiomis ikiteisminio tyrimo valandomis surinkti reikiamus duomenis, sutrukdyti asmenims tarpusavyje susižinoti, susiderinti gynybines pozicijas ir siekiant objektyviai bei operatyviai ištirti aplinkybes. Manytina, jog atitinkami tikslai turėtų suponuoti tai, kad laikinas sulaikymas būtų procesiškai ir teisiškai kiek įmanoma atskirtas nuo suėmimo. </w:t>
            </w:r>
          </w:p>
          <w:p w:rsidR="00F667E3" w:rsidRPr="00920DD9" w:rsidRDefault="00F667E3" w:rsidP="00F667E3">
            <w:pPr>
              <w:pStyle w:val="Sraopastraipa"/>
              <w:numPr>
                <w:ilvl w:val="1"/>
                <w:numId w:val="16"/>
              </w:numPr>
              <w:suppressAutoHyphens/>
              <w:spacing w:line="276" w:lineRule="auto"/>
              <w:ind w:left="0" w:firstLine="851"/>
              <w:contextualSpacing/>
              <w:jc w:val="both"/>
            </w:pPr>
            <w:r>
              <w:t xml:space="preserve"> Vertinant sistemiškai, svarbu peržiūrėti baudžiamojo poveikio, procesines prievartos, kardomąsias priemones ir bausmių sistemą taip, kad jos būtų labiau pritaikomos juridiniams asmenims. </w:t>
            </w:r>
            <w:r>
              <w:rPr>
                <w:rFonts w:eastAsia="Calibri"/>
              </w:rPr>
              <w:t>Siūlytina</w:t>
            </w:r>
            <w:r w:rsidRPr="00F96C64">
              <w:rPr>
                <w:rFonts w:eastAsia="Calibri"/>
              </w:rPr>
              <w:t xml:space="preserve"> svarst</w:t>
            </w:r>
            <w:r>
              <w:rPr>
                <w:rFonts w:eastAsia="Calibri"/>
              </w:rPr>
              <w:t>yti</w:t>
            </w:r>
            <w:r w:rsidRPr="00F96C64">
              <w:rPr>
                <w:rFonts w:eastAsia="Calibri"/>
              </w:rPr>
              <w:t xml:space="preserve"> galimybę</w:t>
            </w:r>
            <w:r>
              <w:rPr>
                <w:rFonts w:eastAsia="Calibri"/>
              </w:rPr>
              <w:t xml:space="preserve"> Lietuvos Respublikos baudžiamajame kodekse</w:t>
            </w:r>
            <w:r w:rsidRPr="00F96C64">
              <w:rPr>
                <w:rFonts w:eastAsia="Calibri"/>
              </w:rPr>
              <w:t xml:space="preserve"> įtvirtinti atskirą skyrių, kuris </w:t>
            </w:r>
            <w:r w:rsidRPr="00F96C64">
              <w:rPr>
                <w:rFonts w:eastAsia="Calibri"/>
              </w:rPr>
              <w:lastRenderedPageBreak/>
              <w:t xml:space="preserve">reglamentuotų bausmių skyrimo juridiniams asmenims taisykles, taip pat </w:t>
            </w:r>
            <w:r>
              <w:rPr>
                <w:rFonts w:eastAsia="Calibri"/>
              </w:rPr>
              <w:t>reikalingas minėtų priemonių</w:t>
            </w:r>
            <w:r w:rsidRPr="00F96C64">
              <w:rPr>
                <w:rFonts w:eastAsia="Calibri"/>
              </w:rPr>
              <w:t xml:space="preserve"> artinimas prie juridinio asmens specifikos, </w:t>
            </w:r>
            <w:r>
              <w:rPr>
                <w:rFonts w:eastAsia="Calibri"/>
              </w:rPr>
              <w:t xml:space="preserve">pvz., susiejant bausmes su juridinio asmens pajamomis, išplečiant </w:t>
            </w:r>
            <w:r w:rsidRPr="00F96C64">
              <w:rPr>
                <w:rFonts w:eastAsia="Calibri"/>
              </w:rPr>
              <w:t>baudžiamojo poveikio priemonių taikymo juridiniams asmenims</w:t>
            </w:r>
            <w:r>
              <w:rPr>
                <w:rFonts w:eastAsia="Calibri"/>
              </w:rPr>
              <w:t xml:space="preserve"> bei</w:t>
            </w:r>
            <w:r w:rsidRPr="00F96C64">
              <w:rPr>
                <w:rFonts w:eastAsia="Calibri"/>
              </w:rPr>
              <w:t xml:space="preserve"> atleidimo nuo baudžiamosios atsakomybės </w:t>
            </w:r>
            <w:r>
              <w:rPr>
                <w:rFonts w:eastAsia="Calibri"/>
              </w:rPr>
              <w:t xml:space="preserve">galimybes, peržiūrint </w:t>
            </w:r>
            <w:r w:rsidRPr="00F96C64">
              <w:rPr>
                <w:rFonts w:eastAsia="Calibri"/>
              </w:rPr>
              <w:t xml:space="preserve">teistumo </w:t>
            </w:r>
            <w:r>
              <w:rPr>
                <w:rFonts w:eastAsia="Calibri"/>
              </w:rPr>
              <w:t xml:space="preserve">galiojimo </w:t>
            </w:r>
            <w:r w:rsidRPr="00F96C64">
              <w:rPr>
                <w:rFonts w:eastAsia="Calibri"/>
              </w:rPr>
              <w:t xml:space="preserve">juridiniams asmenims </w:t>
            </w:r>
            <w:r>
              <w:rPr>
                <w:rFonts w:eastAsia="Calibri"/>
              </w:rPr>
              <w:t>aspektus.</w:t>
            </w:r>
          </w:p>
          <w:p w:rsidR="00F667E3" w:rsidRDefault="00F667E3" w:rsidP="00F667E3">
            <w:pPr>
              <w:pStyle w:val="Sraopastraipa"/>
              <w:spacing w:line="276" w:lineRule="auto"/>
              <w:ind w:left="0" w:firstLine="851"/>
              <w:jc w:val="both"/>
            </w:pPr>
            <w:r>
              <w:t>3.3. Turint omenyje, kad korupcinio pobūdžio nusikalstamos veikos dažnu atveju yra latentinės, suvokiant korupcijos plačiąja prasme grėsmes valstybės pamatams, manytina, galima būtų svarstyti galimybes plėsti korupcinio pobūdžio nusikalstamų veikų nagrinėjimą apygardos teismuose kaip pirmojoje instancijoje. Vienas iš būdų, artimas projekto minimoms nuostatoms, galėtų būti specifinių subjektų, kurių atžvilgiu vyksta baudžiamosios bylos, peržiūra, siekiant dar labiau išplėsti atitinkamą sąrašą.</w:t>
            </w:r>
          </w:p>
          <w:p w:rsidR="00F667E3" w:rsidRDefault="00F667E3" w:rsidP="00F667E3">
            <w:pPr>
              <w:pStyle w:val="Sraopastraipa"/>
              <w:numPr>
                <w:ilvl w:val="1"/>
                <w:numId w:val="17"/>
              </w:numPr>
              <w:suppressAutoHyphens/>
              <w:spacing w:line="276" w:lineRule="auto"/>
              <w:ind w:left="0" w:firstLine="851"/>
              <w:contextualSpacing/>
              <w:jc w:val="both"/>
            </w:pPr>
            <w:r>
              <w:t xml:space="preserve"> Siekiant išsamiau išnagrinėti situaciją prieš priimant sprendimą pradėti ar nepradėti ikiteisminį tyrimą, manytina, būtų galima nustatyti procesines galimybes vykdant duomenų patikslinimą apklausti ir patį asmenį, kuris galimai padarė nusikalstamą veiką. Tokiu atveju būtų galimybės gauti platesnius papildomus duomenis, kurie padėtų priimti objektyvų ir labiau pagrįstą procesinį sprendimą.</w:t>
            </w:r>
          </w:p>
          <w:p w:rsidR="00E13BEE" w:rsidRDefault="00E13BEE" w:rsidP="006C0EAD">
            <w:pPr>
              <w:pStyle w:val="Antrats"/>
              <w:tabs>
                <w:tab w:val="left" w:pos="1296"/>
              </w:tabs>
              <w:ind w:firstLine="720"/>
              <w:jc w:val="both"/>
              <w:rPr>
                <w:color w:val="000000"/>
                <w:shd w:val="clear" w:color="auto" w:fill="FFFFFF"/>
              </w:rPr>
            </w:pPr>
          </w:p>
        </w:tc>
        <w:tc>
          <w:tcPr>
            <w:tcW w:w="7221" w:type="dxa"/>
          </w:tcPr>
          <w:p w:rsidR="00E13BEE" w:rsidRPr="00915F84" w:rsidRDefault="00E13BEE" w:rsidP="00E13BEE">
            <w:pPr>
              <w:jc w:val="both"/>
              <w:rPr>
                <w:szCs w:val="22"/>
                <w:u w:val="single"/>
              </w:rPr>
            </w:pPr>
            <w:r w:rsidRPr="00915F84">
              <w:rPr>
                <w:szCs w:val="22"/>
                <w:u w:val="single"/>
              </w:rPr>
              <w:lastRenderedPageBreak/>
              <w:t>Neatsižvelgta</w:t>
            </w:r>
          </w:p>
          <w:p w:rsidR="00E13BEE" w:rsidRDefault="00E13BEE" w:rsidP="00D854C0">
            <w:pPr>
              <w:jc w:val="both"/>
              <w:rPr>
                <w:szCs w:val="22"/>
                <w:u w:val="single"/>
              </w:rPr>
            </w:pPr>
          </w:p>
          <w:p w:rsidR="00E13BEE" w:rsidRPr="00F667E3" w:rsidRDefault="00F667E3" w:rsidP="00261EAC">
            <w:pPr>
              <w:jc w:val="both"/>
              <w:rPr>
                <w:szCs w:val="22"/>
              </w:rPr>
            </w:pPr>
            <w:r>
              <w:rPr>
                <w:szCs w:val="22"/>
              </w:rPr>
              <w:t xml:space="preserve">Teisingumo ministerija atkreipia dėmesį į tai, kad nurodyti pasiūlymai iš esmės nėra susiję su </w:t>
            </w:r>
            <w:r w:rsidR="00261EAC">
              <w:rPr>
                <w:szCs w:val="22"/>
              </w:rPr>
              <w:t xml:space="preserve">parengtu </w:t>
            </w:r>
            <w:r>
              <w:rPr>
                <w:szCs w:val="22"/>
              </w:rPr>
              <w:t>Į</w:t>
            </w:r>
            <w:r w:rsidR="00261EAC">
              <w:rPr>
                <w:szCs w:val="22"/>
              </w:rPr>
              <w:t>statymo projektu</w:t>
            </w:r>
            <w:r>
              <w:rPr>
                <w:szCs w:val="22"/>
              </w:rPr>
              <w:t xml:space="preserve">, todėl </w:t>
            </w:r>
            <w:r w:rsidR="000A2BB3">
              <w:rPr>
                <w:szCs w:val="22"/>
              </w:rPr>
              <w:t>šiuo atveju jie nėra svarstomi.</w:t>
            </w:r>
          </w:p>
        </w:tc>
      </w:tr>
      <w:tr w:rsidR="00E13BEE" w:rsidRPr="00915F84" w:rsidTr="003F277E">
        <w:tblPrEx>
          <w:tblCellMar>
            <w:top w:w="0" w:type="dxa"/>
            <w:bottom w:w="0" w:type="dxa"/>
          </w:tblCellMar>
        </w:tblPrEx>
        <w:tc>
          <w:tcPr>
            <w:tcW w:w="720" w:type="dxa"/>
          </w:tcPr>
          <w:p w:rsidR="00E13BEE" w:rsidRPr="00915F84" w:rsidRDefault="00723A93" w:rsidP="00516822">
            <w:pPr>
              <w:pStyle w:val="Pavadinimas"/>
              <w:tabs>
                <w:tab w:val="left" w:pos="222"/>
              </w:tabs>
              <w:jc w:val="left"/>
              <w:rPr>
                <w:b w:val="0"/>
                <w:bCs w:val="0"/>
              </w:rPr>
            </w:pPr>
            <w:r>
              <w:rPr>
                <w:b w:val="0"/>
                <w:bCs w:val="0"/>
              </w:rPr>
              <w:lastRenderedPageBreak/>
              <w:t>2.</w:t>
            </w:r>
          </w:p>
        </w:tc>
        <w:tc>
          <w:tcPr>
            <w:tcW w:w="1690" w:type="dxa"/>
          </w:tcPr>
          <w:p w:rsidR="00E13BEE" w:rsidRDefault="00723A93" w:rsidP="001B157D">
            <w:pPr>
              <w:pStyle w:val="Pavadinimas"/>
              <w:rPr>
                <w:b w:val="0"/>
                <w:bCs w:val="0"/>
              </w:rPr>
            </w:pPr>
            <w:r>
              <w:rPr>
                <w:b w:val="0"/>
                <w:bCs w:val="0"/>
              </w:rPr>
              <w:t>Lietuvos advokatūr</w:t>
            </w:r>
            <w:r w:rsidR="00E868C4">
              <w:rPr>
                <w:b w:val="0"/>
                <w:bCs w:val="0"/>
              </w:rPr>
              <w:t xml:space="preserve">os 2020 m. rugsėjo 18 d. raštas Nr. </w:t>
            </w:r>
            <w:r w:rsidR="00E868C4" w:rsidRPr="00E868C4">
              <w:rPr>
                <w:b w:val="0"/>
                <w:bCs w:val="0"/>
              </w:rPr>
              <w:t>1193</w:t>
            </w:r>
          </w:p>
        </w:tc>
        <w:tc>
          <w:tcPr>
            <w:tcW w:w="4970" w:type="dxa"/>
          </w:tcPr>
          <w:p w:rsidR="00A15F92" w:rsidRDefault="00A15F92" w:rsidP="00A15F92">
            <w:pPr>
              <w:pStyle w:val="Antrats"/>
              <w:tabs>
                <w:tab w:val="left" w:pos="1296"/>
              </w:tabs>
              <w:jc w:val="both"/>
            </w:pPr>
            <w:r>
              <w:t>Lietuvos advokatūros įsitikinimu, vadovaujantis Įstatymo projekto aiškinamajame rašte iškeltais uždaviniais, Įstatymo projektu ir toliau turėtų būti siekiama sudaryti galimybes tik išimtinais atvejais skirti suėmimą ir plačiau taikyti kitas efektyvias kardomąsias priemones. Atsižvelgiant į tai, vertintina, kad švelnesnių kardomųjų priemonių (ne)veiksmingumo priežastys neatskleistos ir Įstatymo projektu siūlomi BPK 133 straipsnio nuostatų pakeitimai įtvirtins šiuo metu praktikoje pasitaikančius užstato skyrimo niuansus, tačiau nesumažins suėmimo skyrimo ir šios griežčiausios kardomosios priemonės termino pratęsimo praktikoje skaičiaus.</w:t>
            </w:r>
          </w:p>
        </w:tc>
        <w:tc>
          <w:tcPr>
            <w:tcW w:w="7221" w:type="dxa"/>
          </w:tcPr>
          <w:p w:rsidR="00E13BEE" w:rsidRDefault="00E13BEE" w:rsidP="00E13BEE">
            <w:pPr>
              <w:jc w:val="both"/>
              <w:rPr>
                <w:szCs w:val="22"/>
                <w:u w:val="single"/>
              </w:rPr>
            </w:pPr>
            <w:r w:rsidRPr="00E13BEE">
              <w:rPr>
                <w:rFonts w:hint="eastAsia"/>
                <w:szCs w:val="22"/>
                <w:u w:val="single"/>
              </w:rPr>
              <w:t/>
            </w:r>
            <w:r w:rsidR="006C4FDC">
              <w:rPr>
                <w:szCs w:val="22"/>
                <w:u w:val="single"/>
              </w:rPr>
              <w:t>Neatsižvelgta</w:t>
            </w:r>
          </w:p>
          <w:p w:rsidR="006C4FDC" w:rsidRDefault="006C4FDC" w:rsidP="00E13BEE">
            <w:pPr>
              <w:jc w:val="both"/>
              <w:rPr>
                <w:szCs w:val="22"/>
                <w:u w:val="single"/>
              </w:rPr>
            </w:pPr>
          </w:p>
          <w:p w:rsidR="00A15F92" w:rsidRPr="00A15F92" w:rsidRDefault="00A15F92" w:rsidP="00A15F92">
            <w:pPr>
              <w:jc w:val="both"/>
              <w:rPr>
                <w:szCs w:val="22"/>
              </w:rPr>
            </w:pPr>
            <w:r>
              <w:rPr>
                <w:szCs w:val="22"/>
              </w:rPr>
              <w:t xml:space="preserve">Pažymėtina, kad Įstatymo projektu siekiama </w:t>
            </w:r>
            <w:r w:rsidRPr="00A15F92">
              <w:rPr>
                <w:szCs w:val="22"/>
              </w:rPr>
              <w:t>pakeisti užstato skyrimo teisinį reglamentavimą, siekiant užtikrinti, kad baudžiamojo proceso įstatyme būtų įtvirtintas aiškus ir tinkamas aptariamos kardomosios priemonių skyrimo, pakeitimo ir įvykdymo mechanizmas, kuris suteiktų platesnes galimybes taikyti užstatą, ir sumažintų ydingas galimybes perteklinai skirti ir (ar) pratęsti griežčiausią kardomąją priemonę – suėmimą.</w:t>
            </w:r>
            <w:r>
              <w:rPr>
                <w:szCs w:val="22"/>
              </w:rPr>
              <w:t xml:space="preserve"> Neabejotina, kad Įstatymo projektu siūlomi pakeitimai sukurs prielaidas efektyviau taikyti švelnesnę kardomąją priemonę užstatą, kadangi </w:t>
            </w:r>
            <w:r w:rsidR="009172F2">
              <w:rPr>
                <w:szCs w:val="22"/>
              </w:rPr>
              <w:t>aptariamais pakeitimais yra šalinami užstato skyrimo reglamentavimo trūk</w:t>
            </w:r>
            <w:r w:rsidR="006804A5">
              <w:rPr>
                <w:szCs w:val="22"/>
              </w:rPr>
              <w:t>u</w:t>
            </w:r>
            <w:r w:rsidR="009172F2">
              <w:rPr>
                <w:szCs w:val="22"/>
              </w:rPr>
              <w:t>mai, kurie iš esmės dažnu atveju užkirsdavo galimybę ikiteisminio tyrimo teisėjui ar teismui taikyti aptariamą kardomąją priemonę. Manytina, kad Įstatym</w:t>
            </w:r>
            <w:r w:rsidR="006804A5">
              <w:rPr>
                <w:szCs w:val="22"/>
              </w:rPr>
              <w:t>o</w:t>
            </w:r>
            <w:r w:rsidR="009172F2">
              <w:rPr>
                <w:szCs w:val="22"/>
              </w:rPr>
              <w:t xml:space="preserve"> projektu įtvirtinamas teisinis reglamentavimas sukurs prielaidas taikyti užstatą dažniau, kas neabejotinai sumažins skiriamų suėmimų skaičių. Kartu atkreiptinas dėmesys į tai, kad jau galiojančiame BPK reglamentavime yra aiškiai įtvirtinta, kad suėmimas gali būti skiriamas tik tais atvejais, kai švelnesnėmis kardomosiomis priemonės negalima pasiekti BPK 119 straipsnyje įtvirtintų tikslų (BPK 122 straipsnio 7 dalis), kartu reikalaujant ikiteisminio tyrimo teisėjo ar teismo konkrečių motyvų, kodėl nebuvo skirta švelnesnė kardomoji priemonė (BPK 125 straipsnio 2 dalies 4 punktas).</w:t>
            </w:r>
          </w:p>
          <w:p w:rsidR="00550371" w:rsidRDefault="00A15F92" w:rsidP="00B10397">
            <w:pPr>
              <w:jc w:val="both"/>
              <w:rPr>
                <w:szCs w:val="22"/>
              </w:rPr>
            </w:pPr>
            <w:r>
              <w:rPr>
                <w:szCs w:val="22"/>
              </w:rPr>
              <w:t xml:space="preserve"> </w:t>
            </w:r>
          </w:p>
          <w:p w:rsidR="00E13BEE" w:rsidRPr="00E13BEE" w:rsidRDefault="00E13BEE" w:rsidP="00E13BEE">
            <w:pPr>
              <w:jc w:val="both"/>
              <w:rPr>
                <w:szCs w:val="22"/>
                <w:u w:val="single"/>
              </w:rPr>
            </w:pPr>
          </w:p>
          <w:p w:rsidR="00E13BEE" w:rsidRPr="00E13BEE" w:rsidRDefault="00E13BEE" w:rsidP="00E13BEE">
            <w:pPr>
              <w:jc w:val="both"/>
              <w:rPr>
                <w:szCs w:val="22"/>
                <w:u w:val="single"/>
              </w:rPr>
            </w:pPr>
          </w:p>
          <w:p w:rsidR="00E13BEE" w:rsidRPr="00E13BEE" w:rsidRDefault="00E13BEE" w:rsidP="00E13BEE">
            <w:pPr>
              <w:jc w:val="both"/>
              <w:rPr>
                <w:rFonts w:hint="eastAsia"/>
                <w:szCs w:val="22"/>
                <w:u w:val="single"/>
              </w:rPr>
            </w:pPr>
          </w:p>
          <w:p w:rsidR="00E13BEE" w:rsidRPr="00915F84" w:rsidRDefault="00E13BEE" w:rsidP="00E13BEE">
            <w:pPr>
              <w:jc w:val="both"/>
              <w:rPr>
                <w:szCs w:val="22"/>
                <w:u w:val="single"/>
              </w:rPr>
            </w:pPr>
          </w:p>
        </w:tc>
      </w:tr>
      <w:tr w:rsidR="002A4028" w:rsidRPr="00915F84" w:rsidTr="003F277E">
        <w:tblPrEx>
          <w:tblCellMar>
            <w:top w:w="0" w:type="dxa"/>
            <w:bottom w:w="0" w:type="dxa"/>
          </w:tblCellMar>
        </w:tblPrEx>
        <w:tc>
          <w:tcPr>
            <w:tcW w:w="720" w:type="dxa"/>
          </w:tcPr>
          <w:p w:rsidR="002A4028" w:rsidRDefault="002A4028" w:rsidP="00516822">
            <w:pPr>
              <w:pStyle w:val="Pavadinimas"/>
              <w:tabs>
                <w:tab w:val="left" w:pos="222"/>
              </w:tabs>
              <w:jc w:val="left"/>
              <w:rPr>
                <w:b w:val="0"/>
                <w:bCs w:val="0"/>
              </w:rPr>
            </w:pPr>
          </w:p>
        </w:tc>
        <w:tc>
          <w:tcPr>
            <w:tcW w:w="1690" w:type="dxa"/>
          </w:tcPr>
          <w:p w:rsidR="002A4028" w:rsidRDefault="002A4028" w:rsidP="001B157D">
            <w:pPr>
              <w:pStyle w:val="Pavadinimas"/>
              <w:rPr>
                <w:b w:val="0"/>
                <w:bCs w:val="0"/>
              </w:rPr>
            </w:pPr>
          </w:p>
        </w:tc>
        <w:tc>
          <w:tcPr>
            <w:tcW w:w="4970" w:type="dxa"/>
          </w:tcPr>
          <w:p w:rsidR="002A4028" w:rsidRDefault="002A4028" w:rsidP="00A15F92">
            <w:pPr>
              <w:pStyle w:val="Antrats"/>
              <w:tabs>
                <w:tab w:val="left" w:pos="1296"/>
              </w:tabs>
              <w:jc w:val="both"/>
            </w:pPr>
            <w:r>
              <w:t xml:space="preserve">Pažymėtina, kad netikslinga apriboti proceso dalyvių teisę į priimtų sprendimų peržiūrą aukštesnės instancijos teisme, neatlikus sisteminės statistinė analizės, parodančios </w:t>
            </w:r>
            <w:r w:rsidR="00EA43F3">
              <w:t>skundų</w:t>
            </w:r>
            <w:r>
              <w:t xml:space="preserve"> dalies, tenkančios apygardos teismas </w:t>
            </w:r>
            <w:r w:rsidR="00EA43F3">
              <w:t>nagrinėjimui</w:t>
            </w:r>
            <w:r>
              <w:t xml:space="preserve"> dėl ikiteisminio tyrimo nutraukim</w:t>
            </w:r>
            <w:r w:rsidR="00EA43F3">
              <w:t>o</w:t>
            </w:r>
            <w:r>
              <w:t xml:space="preserve"> </w:t>
            </w:r>
            <w:r w:rsidR="00EA43F3">
              <w:lastRenderedPageBreak/>
              <w:t>arba</w:t>
            </w:r>
            <w:r>
              <w:t xml:space="preserve"> atsisakymo pradėti ikiteisminį tyrimą. Dėl šios priežasties manytina, kad bet kokio galutinio</w:t>
            </w:r>
            <w:r w:rsidR="00EA43F3">
              <w:t xml:space="preserve"> sprendimo priėmimo teisės priskyrimas tik ikiteisminio tyrimo teisėjo kompetencijai reiškia, kad procesinis sprendimas bus nulemtas prokuratūros pozicijos ir priėmus teikiamus pasiūlymus, apygardos teismo krūvio mažinimo klausimas, būtų išspręstas teisingesnio proceso sąskaitą. Svarbu pažymėtina, kad asmens teisė į apeliaciją yra garantuojama Žmogaus teisių pagrindinių laisvių apsaugos konvencijos (toliau – Konvencija) 6 straipsnio nuostatomis. Europos Žmogaus Teisių Teismas savo praktikoje yra nurodęs, kad įstatymo taikomi apribojimai pirmiausia negali suvaržyti ar susilpninti asmens teisės į teismą tokiu būdu ar apimtimi, kad būtų pažeista šios teisės esmė. Todėl svarstytina, ar Įstatymo projekto siūlytini įtvirtinti BPK 168, 214 straipsnių pakeitimai, nepagrįstai nesuvaržys asmenų procesinių teisių.</w:t>
            </w:r>
          </w:p>
        </w:tc>
        <w:tc>
          <w:tcPr>
            <w:tcW w:w="7221" w:type="dxa"/>
          </w:tcPr>
          <w:p w:rsidR="00EA43F3" w:rsidRDefault="00EA43F3" w:rsidP="00EA43F3">
            <w:pPr>
              <w:jc w:val="both"/>
              <w:rPr>
                <w:szCs w:val="22"/>
                <w:u w:val="single"/>
              </w:rPr>
            </w:pPr>
            <w:r>
              <w:rPr>
                <w:szCs w:val="22"/>
                <w:u w:val="single"/>
              </w:rPr>
              <w:lastRenderedPageBreak/>
              <w:t>Neatsižvelgta</w:t>
            </w:r>
          </w:p>
          <w:p w:rsidR="002A4028" w:rsidRDefault="002A4028" w:rsidP="00E13BEE">
            <w:pPr>
              <w:jc w:val="both"/>
              <w:rPr>
                <w:szCs w:val="22"/>
                <w:u w:val="single"/>
              </w:rPr>
            </w:pPr>
          </w:p>
          <w:p w:rsidR="008174B2" w:rsidRDefault="0055122C" w:rsidP="008174B2">
            <w:pPr>
              <w:tabs>
                <w:tab w:val="left" w:pos="878"/>
              </w:tabs>
              <w:autoSpaceDE w:val="0"/>
              <w:autoSpaceDN w:val="0"/>
              <w:adjustRightInd w:val="0"/>
              <w:jc w:val="both"/>
              <w:rPr>
                <w:lang w:eastAsia="lt-LT"/>
              </w:rPr>
            </w:pPr>
            <w:r>
              <w:rPr>
                <w:szCs w:val="22"/>
              </w:rPr>
              <w:t xml:space="preserve">Atkreiptinas dėmesys į tai, kad </w:t>
            </w:r>
            <w:r w:rsidR="008174B2">
              <w:rPr>
                <w:szCs w:val="22"/>
              </w:rPr>
              <w:t xml:space="preserve">Įstatymo projektu siūloma atsisakyti trečios (aukštesniojo teismo) pakopos skundams dėl atsisakymo pradėti ikiteisminį tyrimą ir ikiteisminio tyrimo nutraukimo ne tik dėl itin didelio jų skaičiaus (vien </w:t>
            </w:r>
            <w:r w:rsidR="008174B2" w:rsidRPr="000E3C30">
              <w:rPr>
                <w:lang w:eastAsia="lt-LT"/>
              </w:rPr>
              <w:t xml:space="preserve">2017 m. viso buvo priimti </w:t>
            </w:r>
            <w:r w:rsidR="008174B2" w:rsidRPr="008174B2">
              <w:rPr>
                <w:lang w:eastAsia="lt-LT"/>
              </w:rPr>
              <w:t>net 57 tūkstančiai</w:t>
            </w:r>
            <w:r w:rsidR="008174B2" w:rsidRPr="000E3C30">
              <w:rPr>
                <w:lang w:eastAsia="lt-LT"/>
              </w:rPr>
              <w:t xml:space="preserve"> </w:t>
            </w:r>
            <w:r w:rsidR="008174B2" w:rsidRPr="000E3C30">
              <w:rPr>
                <w:lang w:eastAsia="lt-LT"/>
              </w:rPr>
              <w:lastRenderedPageBreak/>
              <w:t>prokurorų nutarimų atsisakyti pradėti, sustabdyti ar nutraukti ikiteisminį tyrimą, kurie visi galėjo būti skundžiami iki pat apygardos teismų</w:t>
            </w:r>
            <w:r w:rsidR="008174B2">
              <w:rPr>
                <w:lang w:eastAsia="lt-LT"/>
              </w:rPr>
              <w:t xml:space="preserve">), bet ir dėl to, kad </w:t>
            </w:r>
            <w:r w:rsidR="008174B2" w:rsidRPr="000E3C30">
              <w:rPr>
                <w:lang w:eastAsia="lt-LT"/>
              </w:rPr>
              <w:t>aptariamų sprendimų patikr</w:t>
            </w:r>
            <w:r w:rsidR="008174B2">
              <w:rPr>
                <w:lang w:eastAsia="lt-LT"/>
              </w:rPr>
              <w:t>a</w:t>
            </w:r>
            <w:r w:rsidR="008174B2" w:rsidRPr="000E3C30">
              <w:rPr>
                <w:lang w:eastAsia="lt-LT"/>
              </w:rPr>
              <w:t xml:space="preserve"> </w:t>
            </w:r>
            <w:r w:rsidR="008174B2" w:rsidRPr="008174B2">
              <w:rPr>
                <w:lang w:eastAsia="lt-LT"/>
              </w:rPr>
              <w:t>net dvejuose teismų instancijose, yra neproporcinga</w:t>
            </w:r>
            <w:r w:rsidR="008174B2" w:rsidRPr="000E3C30">
              <w:rPr>
                <w:lang w:eastAsia="lt-LT"/>
              </w:rPr>
              <w:t xml:space="preserve"> sprendžiamų klausimų sudėtingumui ir </w:t>
            </w:r>
            <w:r w:rsidR="008174B2" w:rsidRPr="008174B2">
              <w:rPr>
                <w:lang w:eastAsia="lt-LT"/>
              </w:rPr>
              <w:t>nepagrįstai apkrauna</w:t>
            </w:r>
            <w:r w:rsidR="008174B2" w:rsidRPr="000E3C30">
              <w:rPr>
                <w:lang w:eastAsia="lt-LT"/>
              </w:rPr>
              <w:t xml:space="preserve"> apygardų teismus teisėjų kompetenciją neatitinkančių klausimų nagrinėjimu, todėl apygardų teismai negali efektyviai panaudoti turimų žmogiškųjų išteklių sudėtingiausių ir sunkiausių baudžiamųjų bylų nagrinėjimui.</w:t>
            </w:r>
            <w:r w:rsidR="008174B2">
              <w:rPr>
                <w:lang w:eastAsia="lt-LT"/>
              </w:rPr>
              <w:t xml:space="preserve"> Atsižvelgiant į tai manytina, kad dviejų pakopų apskundimo mechanizmas, numatantis galimybę apskųsti aptariamus procesinius sprendimus aukštesniajam prokurorui bei ikiteisminio tyrimo teisėjui, visapusiškai patenkina asmens teisę į apeliaciją, kadangi net ir priėmus siūlomus pakeitimus, asmenims būtų garantuojama teisė juos peržiūrėti net du kartus</w:t>
            </w:r>
            <w:r w:rsidR="0011577C">
              <w:rPr>
                <w:lang w:eastAsia="lt-LT"/>
              </w:rPr>
              <w:t>, kas visiškai užtikrinta Konvencijos 6 straipsnyje įtvirtintas garantijas</w:t>
            </w:r>
            <w:r w:rsidR="008174B2">
              <w:rPr>
                <w:lang w:eastAsia="lt-LT"/>
              </w:rPr>
              <w:t>. Šiame kontekste pažymėtina, kad nuteistiems/išteisintiems asmenims ženkliai sudėtingesnėse baudžiamosios bylose yra suteikiama teisę apskųsti teismo sprendimą tik vieną kartą apeliacinės instancijos teismui. Taigi, šiuo metu galiojanti iš esmės nesudėtingų ikiteisminio tyrimo sprendimų apskundimo tvarka, numatant galimybę jų teisėtumą bei pagrįstumą pasitikrinti net dvejuose teisminėse instancijose, yra itin didelė prabanga</w:t>
            </w:r>
            <w:r w:rsidR="00E93EE5">
              <w:rPr>
                <w:lang w:eastAsia="lt-LT"/>
              </w:rPr>
              <w:t>, ypatingai įvertinus apygardos teismų teisėjų darbo krūvius, kuriuos nuolat akcentuoja Teisėjų taryba</w:t>
            </w:r>
            <w:r w:rsidR="008174B2">
              <w:rPr>
                <w:lang w:eastAsia="lt-LT"/>
              </w:rPr>
              <w:t>. Neabejotina, kad aptariamų klausimų sprendimas apygardų teismų teisėjams iš esmės atima būtinus žmogiškuosius išteklius, kuriuos jie turėtų naudoti pačių sudėtingiausių baudžiamųjų bylų nagrinėjimui, kuriose sprendžiami klausimai dėl pavojingiausių nusikalstamų veikų.</w:t>
            </w:r>
            <w:r w:rsidR="009F272B">
              <w:rPr>
                <w:lang w:eastAsia="lt-LT"/>
              </w:rPr>
              <w:t xml:space="preserve"> </w:t>
            </w:r>
            <w:r w:rsidR="008174B2">
              <w:rPr>
                <w:lang w:eastAsia="lt-LT"/>
              </w:rPr>
              <w:t>Taip pat visiškai nesutiktina su argumentu, kad numačius ikiteisminio tyrimo teisėjo sprendimą</w:t>
            </w:r>
            <w:r w:rsidR="00562A46">
              <w:rPr>
                <w:lang w:eastAsia="lt-LT"/>
              </w:rPr>
              <w:t xml:space="preserve"> dėl atsisakymo pradėti ikiteisminį tyrimą bei ikiteisminio tyrimo nutraukimo</w:t>
            </w:r>
            <w:r w:rsidR="008174B2">
              <w:rPr>
                <w:lang w:eastAsia="lt-LT"/>
              </w:rPr>
              <w:t xml:space="preserve">, kaip galutinį ir neskundžiamą, </w:t>
            </w:r>
            <w:r w:rsidR="00E93EE5">
              <w:rPr>
                <w:lang w:eastAsia="lt-LT"/>
              </w:rPr>
              <w:t xml:space="preserve">toks sprendimas būtų nulemtas </w:t>
            </w:r>
            <w:r w:rsidR="006E6045">
              <w:rPr>
                <w:lang w:eastAsia="lt-LT"/>
              </w:rPr>
              <w:t xml:space="preserve">išimtinai </w:t>
            </w:r>
            <w:r w:rsidR="00E93EE5">
              <w:rPr>
                <w:lang w:eastAsia="lt-LT"/>
              </w:rPr>
              <w:t xml:space="preserve">prokuroro pozicijos, kadangi ikiteisminio tyrimo teisėjas įvertina visą ikiteisminio tyrimo metu surinktą medžiagą, pateiktus skundo bei atsiliepimo į skundą argumentus </w:t>
            </w:r>
            <w:r w:rsidR="006E6045">
              <w:rPr>
                <w:lang w:eastAsia="lt-LT"/>
              </w:rPr>
              <w:t xml:space="preserve">ir priimą savarankišką sprendimą. </w:t>
            </w:r>
            <w:r w:rsidR="00562A46">
              <w:rPr>
                <w:lang w:eastAsia="lt-LT"/>
              </w:rPr>
              <w:t>Kartu atkreiptinas dėmesys į tai, kad Teisėjų taryba dėl siūlomo įtvirtinti teisinio reglamentavimo pastabų neturėjo.</w:t>
            </w:r>
          </w:p>
          <w:p w:rsidR="0055122C" w:rsidRPr="0055122C" w:rsidRDefault="008174B2" w:rsidP="008174B2">
            <w:pPr>
              <w:jc w:val="both"/>
              <w:rPr>
                <w:rFonts w:hint="eastAsia"/>
                <w:szCs w:val="22"/>
              </w:rPr>
            </w:pPr>
            <w:r>
              <w:rPr>
                <w:lang w:eastAsia="lt-LT"/>
              </w:rPr>
              <w:lastRenderedPageBreak/>
              <w:t xml:space="preserve">. </w:t>
            </w:r>
          </w:p>
        </w:tc>
      </w:tr>
      <w:tr w:rsidR="00EA43F3" w:rsidRPr="00915F84" w:rsidTr="003F277E">
        <w:tblPrEx>
          <w:tblCellMar>
            <w:top w:w="0" w:type="dxa"/>
            <w:bottom w:w="0" w:type="dxa"/>
          </w:tblCellMar>
        </w:tblPrEx>
        <w:tc>
          <w:tcPr>
            <w:tcW w:w="720" w:type="dxa"/>
          </w:tcPr>
          <w:p w:rsidR="00EA43F3" w:rsidRDefault="00EA43F3" w:rsidP="00516822">
            <w:pPr>
              <w:pStyle w:val="Pavadinimas"/>
              <w:tabs>
                <w:tab w:val="left" w:pos="222"/>
              </w:tabs>
              <w:jc w:val="left"/>
              <w:rPr>
                <w:b w:val="0"/>
                <w:bCs w:val="0"/>
              </w:rPr>
            </w:pPr>
          </w:p>
        </w:tc>
        <w:tc>
          <w:tcPr>
            <w:tcW w:w="1690" w:type="dxa"/>
          </w:tcPr>
          <w:p w:rsidR="00EA43F3" w:rsidRDefault="00EA43F3" w:rsidP="001B157D">
            <w:pPr>
              <w:pStyle w:val="Pavadinimas"/>
              <w:rPr>
                <w:b w:val="0"/>
                <w:bCs w:val="0"/>
              </w:rPr>
            </w:pPr>
          </w:p>
        </w:tc>
        <w:tc>
          <w:tcPr>
            <w:tcW w:w="4970" w:type="dxa"/>
          </w:tcPr>
          <w:p w:rsidR="00EA43F3" w:rsidRDefault="00EA43F3" w:rsidP="00A15F92">
            <w:pPr>
              <w:pStyle w:val="Antrats"/>
              <w:tabs>
                <w:tab w:val="left" w:pos="1296"/>
              </w:tabs>
              <w:jc w:val="both"/>
            </w:pPr>
            <w:r>
              <w:t>Vertinant BPK 225 straipsnio pakeitimą, atkreiptinas dėmesys, kad praplėtus apylinkių teismų kompetenciją, apygardos teismams tenkantis baudžiamųjų bylų krūvis ženkliai nesumažėtų, nes apygardų teismai apeliacine tvarka nagrinėtų skundus dėl apylinkių teismų priimtų sprendimų. Taip pat svarbu atkreipti dėmesį, kad sistemiškai neaptartas Lietuvos apeliacinio teismo nagrinėjamų baudžiamųjų bylų sąrašas, kuris apeliacine tvarka nagrinėjo apygardos teismų nutartis. Todėl BPK 225 straipsnių pakeitimai, manytina, kad papildomai turėtų būti įvertinti tik peržiūrėjus apylinkės, apygardų, Lietuvos apeliacinio teismo, Lietuvos aukščiausiojo teismo baudžiamųjų bylų teismingumą ir trijų instancijų teismų sistemą, siekiant tinkamai paskirstyti Lietuvos teismų darbų krūvi nagrinėjant baudžiamąsias bylas.</w:t>
            </w:r>
          </w:p>
        </w:tc>
        <w:tc>
          <w:tcPr>
            <w:tcW w:w="7221" w:type="dxa"/>
          </w:tcPr>
          <w:p w:rsidR="00EA43F3" w:rsidRDefault="00EA43F3" w:rsidP="00EA43F3">
            <w:pPr>
              <w:jc w:val="both"/>
              <w:rPr>
                <w:szCs w:val="22"/>
                <w:u w:val="single"/>
              </w:rPr>
            </w:pPr>
            <w:r>
              <w:rPr>
                <w:szCs w:val="22"/>
                <w:u w:val="single"/>
              </w:rPr>
              <w:t>Neatsižvelgta</w:t>
            </w:r>
          </w:p>
          <w:p w:rsidR="009F272B" w:rsidRDefault="009F272B" w:rsidP="00EA43F3">
            <w:pPr>
              <w:jc w:val="both"/>
              <w:rPr>
                <w:szCs w:val="22"/>
                <w:u w:val="single"/>
              </w:rPr>
            </w:pPr>
          </w:p>
          <w:p w:rsidR="00767FB8" w:rsidRPr="009E1E19" w:rsidRDefault="00767FB8" w:rsidP="00EA43F3">
            <w:pPr>
              <w:jc w:val="both"/>
              <w:rPr>
                <w:szCs w:val="22"/>
              </w:rPr>
            </w:pPr>
            <w:r>
              <w:rPr>
                <w:szCs w:val="22"/>
              </w:rPr>
              <w:t xml:space="preserve">Pažymėtina, kad </w:t>
            </w:r>
            <w:r w:rsidR="009E1E19">
              <w:rPr>
                <w:szCs w:val="22"/>
              </w:rPr>
              <w:t xml:space="preserve">praplėtus apylinkių teismų kompetenciją, apygardų teismų darbo krūvis nagrinėjant baudžiamąsias bylas pirma instancijas, dėl </w:t>
            </w:r>
            <w:r w:rsidR="009E1E19" w:rsidRPr="00EC2E65">
              <w:rPr>
                <w:bCs/>
                <w:lang w:eastAsia="lt-LT"/>
              </w:rPr>
              <w:t>Įstatymo projektu siūlom</w:t>
            </w:r>
            <w:r w:rsidR="009E1E19">
              <w:rPr>
                <w:bCs/>
                <w:lang w:eastAsia="lt-LT"/>
              </w:rPr>
              <w:t>ų</w:t>
            </w:r>
            <w:r w:rsidR="009E1E19" w:rsidRPr="00EC2E65">
              <w:rPr>
                <w:bCs/>
                <w:lang w:eastAsia="lt-LT"/>
              </w:rPr>
              <w:t xml:space="preserve"> įtvirtinti</w:t>
            </w:r>
            <w:r w:rsidR="009E1E19">
              <w:rPr>
                <w:bCs/>
                <w:lang w:eastAsia="lt-LT"/>
              </w:rPr>
              <w:t xml:space="preserve"> sunkių</w:t>
            </w:r>
            <w:r w:rsidR="009E1E19" w:rsidRPr="00EC2E65">
              <w:rPr>
                <w:bCs/>
                <w:lang w:eastAsia="lt-LT"/>
              </w:rPr>
              <w:t xml:space="preserve"> nusikaltim</w:t>
            </w:r>
            <w:r w:rsidR="009E1E19">
              <w:rPr>
                <w:bCs/>
                <w:lang w:eastAsia="lt-LT"/>
              </w:rPr>
              <w:t>ų, sumažėtų net 50%</w:t>
            </w:r>
            <w:r w:rsidR="009E1E19" w:rsidRPr="00EC2E65">
              <w:rPr>
                <w:bCs/>
                <w:lang w:eastAsia="lt-LT"/>
              </w:rPr>
              <w:t xml:space="preserve"> (išnagrinėtos 576 baudžiamosios bylos iš 2018 m. išnagrinėtų 1008 bau</w:t>
            </w:r>
            <w:r w:rsidR="009E1E19">
              <w:rPr>
                <w:bCs/>
                <w:lang w:eastAsia="lt-LT"/>
              </w:rPr>
              <w:t>džiamųjų bylų pirma instancija). Sutiktina, kad aptariamu atveju apygardos teismai potencialiai sulauktų dėl apylinkės teismų priimtų sprendimų apeliaci</w:t>
            </w:r>
            <w:r w:rsidR="006F153D">
              <w:rPr>
                <w:bCs/>
                <w:lang w:eastAsia="lt-LT"/>
              </w:rPr>
              <w:t>nių skundų</w:t>
            </w:r>
            <w:r w:rsidR="009E1E19">
              <w:rPr>
                <w:bCs/>
                <w:lang w:eastAsia="lt-LT"/>
              </w:rPr>
              <w:t xml:space="preserve">, tačiau šiame kontekste pažymėtina, kad tikrai ne visi sprendimai baudžiamosiose bylose yra apskundžiami, taip pat atsižvelgiant į tai, kad dažnu atveju procesas apeliacinės instancijos teisme nevyksta </w:t>
            </w:r>
            <w:r w:rsidR="009E1E19">
              <w:rPr>
                <w:bCs/>
                <w:i/>
                <w:lang w:eastAsia="lt-LT"/>
              </w:rPr>
              <w:t>de novo</w:t>
            </w:r>
            <w:r w:rsidR="009E1E19">
              <w:rPr>
                <w:bCs/>
                <w:lang w:eastAsia="lt-LT"/>
              </w:rPr>
              <w:t xml:space="preserve"> (lot. iš naujo), apygardos teismų darbo krūvis bet kokiu atveju sumažėtų. Taip pat atkreiptinas dėmesys į tai, kad siūlomais pakeitimais būtų sumažintas ir Lietuvos apeliacinio teismo darbo krūvis. Atsižvelgiant į tai, siūlomi pakeitimai visapusiškai užtikrins, kad tiek apygardų teismai, tiek Lietuvos apeliacinis teismas galėtų efektyviau koncentruoti turimus žmogiškuosius išteklius į sudėtingiausių baudžiamųjų bylų nagrinėjimą.</w:t>
            </w:r>
            <w:r w:rsidR="00844872">
              <w:rPr>
                <w:bCs/>
                <w:lang w:eastAsia="lt-LT"/>
              </w:rPr>
              <w:t xml:space="preserve"> Taip pat pažymėtina, kad iš aptartų argumentų nėra aišku kokiu tikslu yra būtina peržiūrėti Lietuvos apeliacinio teismo nagrinėjamas</w:t>
            </w:r>
            <w:r w:rsidR="006F153D">
              <w:rPr>
                <w:bCs/>
                <w:lang w:eastAsia="lt-LT"/>
              </w:rPr>
              <w:t xml:space="preserve"> baudžiamąsias</w:t>
            </w:r>
            <w:r w:rsidR="00844872">
              <w:rPr>
                <w:bCs/>
                <w:lang w:eastAsia="lt-LT"/>
              </w:rPr>
              <w:t xml:space="preserve"> bylas, juolab atsižvelgiant į tai, kad pirmąja instancija Lietuvos apeliacinis teismas baudžiamųjų bylų nenagrinėja</w:t>
            </w:r>
            <w:r w:rsidR="006F153D">
              <w:rPr>
                <w:bCs/>
                <w:lang w:eastAsia="lt-LT"/>
              </w:rPr>
              <w:t xml:space="preserve"> ir jokių sąrašų BPK šiuo klausimu įtvirtinta taip pat nėra</w:t>
            </w:r>
            <w:r w:rsidR="00844872">
              <w:rPr>
                <w:bCs/>
                <w:lang w:eastAsia="lt-LT"/>
              </w:rPr>
              <w:t>.</w:t>
            </w:r>
            <w:r w:rsidR="009E1E19">
              <w:rPr>
                <w:bCs/>
                <w:lang w:eastAsia="lt-LT"/>
              </w:rPr>
              <w:t xml:space="preserve"> </w:t>
            </w:r>
          </w:p>
          <w:p w:rsidR="00EA43F3" w:rsidRPr="00E13BEE" w:rsidRDefault="00EA43F3" w:rsidP="009E1E19">
            <w:pPr>
              <w:jc w:val="both"/>
              <w:rPr>
                <w:rFonts w:hint="eastAsia"/>
                <w:szCs w:val="22"/>
                <w:u w:val="single"/>
              </w:rPr>
            </w:pPr>
          </w:p>
        </w:tc>
      </w:tr>
    </w:tbl>
    <w:p w:rsidR="00BF3392" w:rsidRDefault="00BF3392" w:rsidP="00BF3392">
      <w:pPr>
        <w:tabs>
          <w:tab w:val="right" w:pos="9639"/>
        </w:tabs>
        <w:spacing w:line="360" w:lineRule="auto"/>
      </w:pPr>
    </w:p>
    <w:p w:rsidR="003A5F97" w:rsidRPr="00915F84" w:rsidRDefault="003A5F97" w:rsidP="005D5625">
      <w:pPr>
        <w:pStyle w:val="Pavadinimas"/>
        <w:jc w:val="both"/>
        <w:rPr>
          <w:b w:val="0"/>
          <w:bCs w:val="0"/>
        </w:rPr>
      </w:pPr>
    </w:p>
    <w:sectPr w:rsidR="003A5F97" w:rsidRPr="00915F84">
      <w:headerReference w:type="even" r:id="rId8"/>
      <w:headerReference w:type="default" r:id="rId9"/>
      <w:pgSz w:w="16838" w:h="11906"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D2" w:rsidRDefault="007D1ED2">
      <w:r>
        <w:separator/>
      </w:r>
    </w:p>
  </w:endnote>
  <w:endnote w:type="continuationSeparator" w:id="0">
    <w:p w:rsidR="007D1ED2" w:rsidRDefault="007D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D2" w:rsidRDefault="007D1ED2">
      <w:r>
        <w:separator/>
      </w:r>
    </w:p>
  </w:footnote>
  <w:footnote w:type="continuationSeparator" w:id="0">
    <w:p w:rsidR="007D1ED2" w:rsidRDefault="007D1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0F" w:rsidRDefault="000B64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B640F" w:rsidRDefault="000B640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0F" w:rsidRDefault="000B64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2C81">
      <w:rPr>
        <w:rStyle w:val="Puslapionumeris"/>
        <w:noProof/>
      </w:rPr>
      <w:t>6</w:t>
    </w:r>
    <w:r>
      <w:rPr>
        <w:rStyle w:val="Puslapionumeris"/>
      </w:rPr>
      <w:fldChar w:fldCharType="end"/>
    </w:r>
  </w:p>
  <w:p w:rsidR="000B640F" w:rsidRDefault="000B64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18D8"/>
    <w:multiLevelType w:val="multilevel"/>
    <w:tmpl w:val="8130AFE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1BC1E45"/>
    <w:multiLevelType w:val="hybridMultilevel"/>
    <w:tmpl w:val="7578EC1A"/>
    <w:lvl w:ilvl="0" w:tplc="0427000F">
      <w:start w:val="1"/>
      <w:numFmt w:val="decimal"/>
      <w:lvlText w:val="%1."/>
      <w:lvlJc w:val="left"/>
      <w:pPr>
        <w:ind w:left="1777" w:hanging="360"/>
      </w:pPr>
      <w:rPr>
        <w:rFonts w:hint="default"/>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2" w15:restartNumberingAfterBreak="0">
    <w:nsid w:val="17F40E62"/>
    <w:multiLevelType w:val="hybridMultilevel"/>
    <w:tmpl w:val="6E203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497EC1"/>
    <w:multiLevelType w:val="hybridMultilevel"/>
    <w:tmpl w:val="59045E02"/>
    <w:lvl w:ilvl="0" w:tplc="0E4E4C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 w15:restartNumberingAfterBreak="0">
    <w:nsid w:val="217961F9"/>
    <w:multiLevelType w:val="hybridMultilevel"/>
    <w:tmpl w:val="E5548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A97BC6"/>
    <w:multiLevelType w:val="multilevel"/>
    <w:tmpl w:val="5AE43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256A1E"/>
    <w:multiLevelType w:val="hybridMultilevel"/>
    <w:tmpl w:val="99049E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3D7B5587"/>
    <w:multiLevelType w:val="hybridMultilevel"/>
    <w:tmpl w:val="CB7CE9B8"/>
    <w:lvl w:ilvl="0" w:tplc="4980009C">
      <w:start w:val="1"/>
      <w:numFmt w:val="decimal"/>
      <w:lvlText w:val="%1."/>
      <w:lvlJc w:val="left"/>
      <w:pPr>
        <w:ind w:left="606" w:hanging="360"/>
      </w:pPr>
      <w:rPr>
        <w:rFonts w:hint="default"/>
      </w:rPr>
    </w:lvl>
    <w:lvl w:ilvl="1" w:tplc="04270019" w:tentative="1">
      <w:start w:val="1"/>
      <w:numFmt w:val="lowerLetter"/>
      <w:lvlText w:val="%2."/>
      <w:lvlJc w:val="left"/>
      <w:pPr>
        <w:ind w:left="1326" w:hanging="360"/>
      </w:pPr>
    </w:lvl>
    <w:lvl w:ilvl="2" w:tplc="0427001B" w:tentative="1">
      <w:start w:val="1"/>
      <w:numFmt w:val="lowerRoman"/>
      <w:lvlText w:val="%3."/>
      <w:lvlJc w:val="right"/>
      <w:pPr>
        <w:ind w:left="2046" w:hanging="180"/>
      </w:pPr>
    </w:lvl>
    <w:lvl w:ilvl="3" w:tplc="0427000F" w:tentative="1">
      <w:start w:val="1"/>
      <w:numFmt w:val="decimal"/>
      <w:lvlText w:val="%4."/>
      <w:lvlJc w:val="left"/>
      <w:pPr>
        <w:ind w:left="2766" w:hanging="360"/>
      </w:pPr>
    </w:lvl>
    <w:lvl w:ilvl="4" w:tplc="04270019" w:tentative="1">
      <w:start w:val="1"/>
      <w:numFmt w:val="lowerLetter"/>
      <w:lvlText w:val="%5."/>
      <w:lvlJc w:val="left"/>
      <w:pPr>
        <w:ind w:left="3486" w:hanging="360"/>
      </w:pPr>
    </w:lvl>
    <w:lvl w:ilvl="5" w:tplc="0427001B" w:tentative="1">
      <w:start w:val="1"/>
      <w:numFmt w:val="lowerRoman"/>
      <w:lvlText w:val="%6."/>
      <w:lvlJc w:val="right"/>
      <w:pPr>
        <w:ind w:left="4206" w:hanging="180"/>
      </w:pPr>
    </w:lvl>
    <w:lvl w:ilvl="6" w:tplc="0427000F" w:tentative="1">
      <w:start w:val="1"/>
      <w:numFmt w:val="decimal"/>
      <w:lvlText w:val="%7."/>
      <w:lvlJc w:val="left"/>
      <w:pPr>
        <w:ind w:left="4926" w:hanging="360"/>
      </w:pPr>
    </w:lvl>
    <w:lvl w:ilvl="7" w:tplc="04270019" w:tentative="1">
      <w:start w:val="1"/>
      <w:numFmt w:val="lowerLetter"/>
      <w:lvlText w:val="%8."/>
      <w:lvlJc w:val="left"/>
      <w:pPr>
        <w:ind w:left="5646" w:hanging="360"/>
      </w:pPr>
    </w:lvl>
    <w:lvl w:ilvl="8" w:tplc="0427001B" w:tentative="1">
      <w:start w:val="1"/>
      <w:numFmt w:val="lowerRoman"/>
      <w:lvlText w:val="%9."/>
      <w:lvlJc w:val="right"/>
      <w:pPr>
        <w:ind w:left="6366" w:hanging="180"/>
      </w:pPr>
    </w:lvl>
  </w:abstractNum>
  <w:abstractNum w:abstractNumId="8" w15:restartNumberingAfterBreak="0">
    <w:nsid w:val="4041391E"/>
    <w:multiLevelType w:val="hybridMultilevel"/>
    <w:tmpl w:val="7AD24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AF39D5"/>
    <w:multiLevelType w:val="hybridMultilevel"/>
    <w:tmpl w:val="E7949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83032A"/>
    <w:multiLevelType w:val="hybridMultilevel"/>
    <w:tmpl w:val="D902A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B926F9"/>
    <w:multiLevelType w:val="hybridMultilevel"/>
    <w:tmpl w:val="37145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6F2088"/>
    <w:multiLevelType w:val="hybridMultilevel"/>
    <w:tmpl w:val="871E2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9F435E"/>
    <w:multiLevelType w:val="multilevel"/>
    <w:tmpl w:val="8C120E7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C94A34"/>
    <w:multiLevelType w:val="hybridMultilevel"/>
    <w:tmpl w:val="634CF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CF6427"/>
    <w:multiLevelType w:val="hybridMultilevel"/>
    <w:tmpl w:val="B380D56A"/>
    <w:lvl w:ilvl="0" w:tplc="005C37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DE2AFE"/>
    <w:multiLevelType w:val="hybridMultilevel"/>
    <w:tmpl w:val="4F76F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9"/>
  </w:num>
  <w:num w:numId="5">
    <w:abstractNumId w:val="15"/>
  </w:num>
  <w:num w:numId="6">
    <w:abstractNumId w:val="10"/>
  </w:num>
  <w:num w:numId="7">
    <w:abstractNumId w:val="6"/>
  </w:num>
  <w:num w:numId="8">
    <w:abstractNumId w:val="2"/>
  </w:num>
  <w:num w:numId="9">
    <w:abstractNumId w:val="11"/>
  </w:num>
  <w:num w:numId="10">
    <w:abstractNumId w:val="8"/>
  </w:num>
  <w:num w:numId="11">
    <w:abstractNumId w:val="1"/>
  </w:num>
  <w:num w:numId="12">
    <w:abstractNumId w:val="7"/>
  </w:num>
  <w:num w:numId="13">
    <w:abstractNumId w:val="4"/>
  </w:num>
  <w:num w:numId="14">
    <w:abstractNumId w:val="14"/>
  </w:num>
  <w:num w:numId="15">
    <w:abstractNumId w:val="5"/>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8"/>
    <w:rsid w:val="000055E7"/>
    <w:rsid w:val="000145F9"/>
    <w:rsid w:val="00020801"/>
    <w:rsid w:val="00030868"/>
    <w:rsid w:val="00032FD4"/>
    <w:rsid w:val="000360F6"/>
    <w:rsid w:val="00037630"/>
    <w:rsid w:val="00041C0F"/>
    <w:rsid w:val="00045798"/>
    <w:rsid w:val="0005540A"/>
    <w:rsid w:val="00066F91"/>
    <w:rsid w:val="00070FF1"/>
    <w:rsid w:val="00073B24"/>
    <w:rsid w:val="000834F9"/>
    <w:rsid w:val="00084F5D"/>
    <w:rsid w:val="00085CDC"/>
    <w:rsid w:val="0009022F"/>
    <w:rsid w:val="00091735"/>
    <w:rsid w:val="000919E6"/>
    <w:rsid w:val="000A2BB3"/>
    <w:rsid w:val="000A62FF"/>
    <w:rsid w:val="000A6838"/>
    <w:rsid w:val="000A7CE5"/>
    <w:rsid w:val="000B39AE"/>
    <w:rsid w:val="000B640F"/>
    <w:rsid w:val="000B656B"/>
    <w:rsid w:val="000B7E4B"/>
    <w:rsid w:val="000C15FF"/>
    <w:rsid w:val="000C69B6"/>
    <w:rsid w:val="000D77AE"/>
    <w:rsid w:val="000E7663"/>
    <w:rsid w:val="000F273A"/>
    <w:rsid w:val="000F45F9"/>
    <w:rsid w:val="001053BB"/>
    <w:rsid w:val="00105903"/>
    <w:rsid w:val="00106932"/>
    <w:rsid w:val="00112911"/>
    <w:rsid w:val="0011577C"/>
    <w:rsid w:val="00115E71"/>
    <w:rsid w:val="001271AC"/>
    <w:rsid w:val="001420E5"/>
    <w:rsid w:val="00146EF9"/>
    <w:rsid w:val="00152C14"/>
    <w:rsid w:val="001541EB"/>
    <w:rsid w:val="0016324E"/>
    <w:rsid w:val="001705D9"/>
    <w:rsid w:val="001761FE"/>
    <w:rsid w:val="00183896"/>
    <w:rsid w:val="00183F67"/>
    <w:rsid w:val="00193892"/>
    <w:rsid w:val="0019458D"/>
    <w:rsid w:val="0019756A"/>
    <w:rsid w:val="001A3A61"/>
    <w:rsid w:val="001A3ACD"/>
    <w:rsid w:val="001B157D"/>
    <w:rsid w:val="001B1F68"/>
    <w:rsid w:val="001B2A27"/>
    <w:rsid w:val="001B3388"/>
    <w:rsid w:val="001C2CB2"/>
    <w:rsid w:val="001C5C2C"/>
    <w:rsid w:val="001D47C0"/>
    <w:rsid w:val="001D4F5B"/>
    <w:rsid w:val="001D5B2F"/>
    <w:rsid w:val="001D5CFA"/>
    <w:rsid w:val="001E0689"/>
    <w:rsid w:val="001E2EB7"/>
    <w:rsid w:val="001E71ED"/>
    <w:rsid w:val="001E7B70"/>
    <w:rsid w:val="001F0604"/>
    <w:rsid w:val="001F2E3E"/>
    <w:rsid w:val="001F6516"/>
    <w:rsid w:val="002015D8"/>
    <w:rsid w:val="00223F10"/>
    <w:rsid w:val="0022721A"/>
    <w:rsid w:val="002375EF"/>
    <w:rsid w:val="00241B19"/>
    <w:rsid w:val="00244C54"/>
    <w:rsid w:val="00251432"/>
    <w:rsid w:val="0025284C"/>
    <w:rsid w:val="002539B3"/>
    <w:rsid w:val="00261EAC"/>
    <w:rsid w:val="002670B6"/>
    <w:rsid w:val="00276A38"/>
    <w:rsid w:val="00277333"/>
    <w:rsid w:val="00277C0C"/>
    <w:rsid w:val="00280175"/>
    <w:rsid w:val="00280BF9"/>
    <w:rsid w:val="00280CA1"/>
    <w:rsid w:val="0028157C"/>
    <w:rsid w:val="0028732D"/>
    <w:rsid w:val="00290DB3"/>
    <w:rsid w:val="00294D7A"/>
    <w:rsid w:val="002952B7"/>
    <w:rsid w:val="002A4028"/>
    <w:rsid w:val="002A646E"/>
    <w:rsid w:val="002B43A1"/>
    <w:rsid w:val="002B50AB"/>
    <w:rsid w:val="002B6FD2"/>
    <w:rsid w:val="002C0F0F"/>
    <w:rsid w:val="002C2D99"/>
    <w:rsid w:val="002C45B4"/>
    <w:rsid w:val="002C74DF"/>
    <w:rsid w:val="002C7CDC"/>
    <w:rsid w:val="002C7E8B"/>
    <w:rsid w:val="002E055C"/>
    <w:rsid w:val="002E1AA7"/>
    <w:rsid w:val="002E1B01"/>
    <w:rsid w:val="002E3E69"/>
    <w:rsid w:val="002E6AF9"/>
    <w:rsid w:val="002F103F"/>
    <w:rsid w:val="002F4EF9"/>
    <w:rsid w:val="002F52A3"/>
    <w:rsid w:val="00306097"/>
    <w:rsid w:val="003105D1"/>
    <w:rsid w:val="00315FCC"/>
    <w:rsid w:val="003223F8"/>
    <w:rsid w:val="003321EF"/>
    <w:rsid w:val="00342E47"/>
    <w:rsid w:val="00344CC1"/>
    <w:rsid w:val="0034727C"/>
    <w:rsid w:val="00350A46"/>
    <w:rsid w:val="00351169"/>
    <w:rsid w:val="003513E6"/>
    <w:rsid w:val="00352435"/>
    <w:rsid w:val="00353801"/>
    <w:rsid w:val="003548BE"/>
    <w:rsid w:val="0035640D"/>
    <w:rsid w:val="0037538F"/>
    <w:rsid w:val="00383D69"/>
    <w:rsid w:val="0039060F"/>
    <w:rsid w:val="00391B02"/>
    <w:rsid w:val="0039325E"/>
    <w:rsid w:val="00394387"/>
    <w:rsid w:val="00394AE8"/>
    <w:rsid w:val="003A1A50"/>
    <w:rsid w:val="003A4E94"/>
    <w:rsid w:val="003A5F97"/>
    <w:rsid w:val="003B00DF"/>
    <w:rsid w:val="003B3460"/>
    <w:rsid w:val="003B70A6"/>
    <w:rsid w:val="003C017F"/>
    <w:rsid w:val="003C183E"/>
    <w:rsid w:val="003C6365"/>
    <w:rsid w:val="003E2A4A"/>
    <w:rsid w:val="003E7C63"/>
    <w:rsid w:val="003F277E"/>
    <w:rsid w:val="003F3FC1"/>
    <w:rsid w:val="003F5CFA"/>
    <w:rsid w:val="003F62E3"/>
    <w:rsid w:val="0040050D"/>
    <w:rsid w:val="00411A47"/>
    <w:rsid w:val="00415641"/>
    <w:rsid w:val="004304A3"/>
    <w:rsid w:val="00430C44"/>
    <w:rsid w:val="00433E26"/>
    <w:rsid w:val="00435B94"/>
    <w:rsid w:val="00436133"/>
    <w:rsid w:val="00443B52"/>
    <w:rsid w:val="00446E12"/>
    <w:rsid w:val="00450FF0"/>
    <w:rsid w:val="004573F6"/>
    <w:rsid w:val="004624C0"/>
    <w:rsid w:val="004725DE"/>
    <w:rsid w:val="0047771A"/>
    <w:rsid w:val="0048002D"/>
    <w:rsid w:val="004809DD"/>
    <w:rsid w:val="00485350"/>
    <w:rsid w:val="004864C2"/>
    <w:rsid w:val="00486909"/>
    <w:rsid w:val="00486A4A"/>
    <w:rsid w:val="00490FB4"/>
    <w:rsid w:val="00491CF0"/>
    <w:rsid w:val="00496EB0"/>
    <w:rsid w:val="004A3024"/>
    <w:rsid w:val="004B2890"/>
    <w:rsid w:val="004B2DD6"/>
    <w:rsid w:val="004C3A16"/>
    <w:rsid w:val="004C4878"/>
    <w:rsid w:val="004D767D"/>
    <w:rsid w:val="004E0608"/>
    <w:rsid w:val="004E1713"/>
    <w:rsid w:val="00512F3A"/>
    <w:rsid w:val="00514FC2"/>
    <w:rsid w:val="00516822"/>
    <w:rsid w:val="00516F40"/>
    <w:rsid w:val="00521E28"/>
    <w:rsid w:val="00523F07"/>
    <w:rsid w:val="0053066C"/>
    <w:rsid w:val="00550371"/>
    <w:rsid w:val="0055122C"/>
    <w:rsid w:val="00560336"/>
    <w:rsid w:val="0056048F"/>
    <w:rsid w:val="00562A46"/>
    <w:rsid w:val="00563395"/>
    <w:rsid w:val="005647D8"/>
    <w:rsid w:val="00573598"/>
    <w:rsid w:val="00574DD2"/>
    <w:rsid w:val="00581591"/>
    <w:rsid w:val="005827FD"/>
    <w:rsid w:val="00585261"/>
    <w:rsid w:val="005852FD"/>
    <w:rsid w:val="00585B7D"/>
    <w:rsid w:val="0058672F"/>
    <w:rsid w:val="00586F1D"/>
    <w:rsid w:val="0059123E"/>
    <w:rsid w:val="00594684"/>
    <w:rsid w:val="005D0932"/>
    <w:rsid w:val="005D5625"/>
    <w:rsid w:val="005D7D91"/>
    <w:rsid w:val="005E1BE8"/>
    <w:rsid w:val="005E26C0"/>
    <w:rsid w:val="005E2E84"/>
    <w:rsid w:val="005E395D"/>
    <w:rsid w:val="005F57F6"/>
    <w:rsid w:val="00605DBE"/>
    <w:rsid w:val="006076DF"/>
    <w:rsid w:val="00610270"/>
    <w:rsid w:val="0062362D"/>
    <w:rsid w:val="00641F07"/>
    <w:rsid w:val="00642191"/>
    <w:rsid w:val="006434A1"/>
    <w:rsid w:val="00647A47"/>
    <w:rsid w:val="00650421"/>
    <w:rsid w:val="00661487"/>
    <w:rsid w:val="00664900"/>
    <w:rsid w:val="00665B9F"/>
    <w:rsid w:val="006669FE"/>
    <w:rsid w:val="00670784"/>
    <w:rsid w:val="00675FB2"/>
    <w:rsid w:val="00677134"/>
    <w:rsid w:val="006804A5"/>
    <w:rsid w:val="0068681B"/>
    <w:rsid w:val="00694E6C"/>
    <w:rsid w:val="00695435"/>
    <w:rsid w:val="006A0D4B"/>
    <w:rsid w:val="006A122A"/>
    <w:rsid w:val="006A14E7"/>
    <w:rsid w:val="006B597C"/>
    <w:rsid w:val="006B7648"/>
    <w:rsid w:val="006C0EAD"/>
    <w:rsid w:val="006C4FDC"/>
    <w:rsid w:val="006C6EC6"/>
    <w:rsid w:val="006C796A"/>
    <w:rsid w:val="006D26C9"/>
    <w:rsid w:val="006D675E"/>
    <w:rsid w:val="006D72E8"/>
    <w:rsid w:val="006E08F2"/>
    <w:rsid w:val="006E1AA9"/>
    <w:rsid w:val="006E45BC"/>
    <w:rsid w:val="006E6045"/>
    <w:rsid w:val="006F153D"/>
    <w:rsid w:val="006F3304"/>
    <w:rsid w:val="006F7014"/>
    <w:rsid w:val="006F7EC2"/>
    <w:rsid w:val="00704D44"/>
    <w:rsid w:val="00710A5B"/>
    <w:rsid w:val="007117BE"/>
    <w:rsid w:val="0071670B"/>
    <w:rsid w:val="00717710"/>
    <w:rsid w:val="00721B62"/>
    <w:rsid w:val="007230A1"/>
    <w:rsid w:val="00723A93"/>
    <w:rsid w:val="00725670"/>
    <w:rsid w:val="00727DC7"/>
    <w:rsid w:val="00732EE9"/>
    <w:rsid w:val="00751390"/>
    <w:rsid w:val="00751A45"/>
    <w:rsid w:val="0076056F"/>
    <w:rsid w:val="00762C81"/>
    <w:rsid w:val="00763BD4"/>
    <w:rsid w:val="00763E34"/>
    <w:rsid w:val="00767FB8"/>
    <w:rsid w:val="007739F2"/>
    <w:rsid w:val="007830A5"/>
    <w:rsid w:val="00785CA0"/>
    <w:rsid w:val="00786FBC"/>
    <w:rsid w:val="007919D7"/>
    <w:rsid w:val="007935EA"/>
    <w:rsid w:val="0079715F"/>
    <w:rsid w:val="007A0A2F"/>
    <w:rsid w:val="007A0A67"/>
    <w:rsid w:val="007A0EE5"/>
    <w:rsid w:val="007A1B05"/>
    <w:rsid w:val="007B1662"/>
    <w:rsid w:val="007B1AED"/>
    <w:rsid w:val="007B3A32"/>
    <w:rsid w:val="007B5D17"/>
    <w:rsid w:val="007B6AB0"/>
    <w:rsid w:val="007C4FF8"/>
    <w:rsid w:val="007D077F"/>
    <w:rsid w:val="007D1ED2"/>
    <w:rsid w:val="007D247B"/>
    <w:rsid w:val="007E2ECD"/>
    <w:rsid w:val="007E7ADA"/>
    <w:rsid w:val="00803730"/>
    <w:rsid w:val="008174B2"/>
    <w:rsid w:val="00837B8F"/>
    <w:rsid w:val="00844872"/>
    <w:rsid w:val="00844C51"/>
    <w:rsid w:val="00851BF3"/>
    <w:rsid w:val="00851E28"/>
    <w:rsid w:val="0085365C"/>
    <w:rsid w:val="00857004"/>
    <w:rsid w:val="008612F1"/>
    <w:rsid w:val="00864683"/>
    <w:rsid w:val="008715EB"/>
    <w:rsid w:val="00875ACE"/>
    <w:rsid w:val="008918FD"/>
    <w:rsid w:val="008933E2"/>
    <w:rsid w:val="008A33D2"/>
    <w:rsid w:val="008B12BD"/>
    <w:rsid w:val="008B3B9A"/>
    <w:rsid w:val="008C12B0"/>
    <w:rsid w:val="008C2404"/>
    <w:rsid w:val="008C62CE"/>
    <w:rsid w:val="008D2B2E"/>
    <w:rsid w:val="008E096C"/>
    <w:rsid w:val="008E2488"/>
    <w:rsid w:val="008E40AE"/>
    <w:rsid w:val="008E78A1"/>
    <w:rsid w:val="008F1236"/>
    <w:rsid w:val="008F230C"/>
    <w:rsid w:val="00901B51"/>
    <w:rsid w:val="00906E58"/>
    <w:rsid w:val="0091254D"/>
    <w:rsid w:val="00915698"/>
    <w:rsid w:val="00915F84"/>
    <w:rsid w:val="00916182"/>
    <w:rsid w:val="009172F2"/>
    <w:rsid w:val="0092149C"/>
    <w:rsid w:val="00925FE6"/>
    <w:rsid w:val="00933EFE"/>
    <w:rsid w:val="0093504F"/>
    <w:rsid w:val="0093706E"/>
    <w:rsid w:val="009419A7"/>
    <w:rsid w:val="009500F1"/>
    <w:rsid w:val="009520C2"/>
    <w:rsid w:val="009550D8"/>
    <w:rsid w:val="00957602"/>
    <w:rsid w:val="00980F2F"/>
    <w:rsid w:val="00990BC7"/>
    <w:rsid w:val="00994399"/>
    <w:rsid w:val="009B2426"/>
    <w:rsid w:val="009B607E"/>
    <w:rsid w:val="009C0E9D"/>
    <w:rsid w:val="009C6CC9"/>
    <w:rsid w:val="009D7CF0"/>
    <w:rsid w:val="009E132B"/>
    <w:rsid w:val="009E1E19"/>
    <w:rsid w:val="009E33A7"/>
    <w:rsid w:val="009E3844"/>
    <w:rsid w:val="009E4027"/>
    <w:rsid w:val="009E7AAC"/>
    <w:rsid w:val="009F272B"/>
    <w:rsid w:val="009F417D"/>
    <w:rsid w:val="00A00439"/>
    <w:rsid w:val="00A047E5"/>
    <w:rsid w:val="00A15F92"/>
    <w:rsid w:val="00A1739B"/>
    <w:rsid w:val="00A174D9"/>
    <w:rsid w:val="00A20B40"/>
    <w:rsid w:val="00A22914"/>
    <w:rsid w:val="00A274E7"/>
    <w:rsid w:val="00A32202"/>
    <w:rsid w:val="00A33156"/>
    <w:rsid w:val="00A341AD"/>
    <w:rsid w:val="00A35A48"/>
    <w:rsid w:val="00A4182D"/>
    <w:rsid w:val="00A54B0D"/>
    <w:rsid w:val="00A54E51"/>
    <w:rsid w:val="00A63113"/>
    <w:rsid w:val="00A6385F"/>
    <w:rsid w:val="00A63F61"/>
    <w:rsid w:val="00A711E3"/>
    <w:rsid w:val="00A726A6"/>
    <w:rsid w:val="00A731EA"/>
    <w:rsid w:val="00A758B8"/>
    <w:rsid w:val="00A816BC"/>
    <w:rsid w:val="00A81928"/>
    <w:rsid w:val="00A831B3"/>
    <w:rsid w:val="00A90B04"/>
    <w:rsid w:val="00A91BE4"/>
    <w:rsid w:val="00A92CAD"/>
    <w:rsid w:val="00A94C8C"/>
    <w:rsid w:val="00AB26CB"/>
    <w:rsid w:val="00AB4FF7"/>
    <w:rsid w:val="00AB6FF7"/>
    <w:rsid w:val="00AB780C"/>
    <w:rsid w:val="00AC02A4"/>
    <w:rsid w:val="00AC1443"/>
    <w:rsid w:val="00AC248E"/>
    <w:rsid w:val="00AC26CC"/>
    <w:rsid w:val="00AC5105"/>
    <w:rsid w:val="00AE0F69"/>
    <w:rsid w:val="00AE24A1"/>
    <w:rsid w:val="00AE5543"/>
    <w:rsid w:val="00AE60A8"/>
    <w:rsid w:val="00AF1557"/>
    <w:rsid w:val="00AF21AE"/>
    <w:rsid w:val="00AF3C68"/>
    <w:rsid w:val="00B01477"/>
    <w:rsid w:val="00B10397"/>
    <w:rsid w:val="00B11405"/>
    <w:rsid w:val="00B163FC"/>
    <w:rsid w:val="00B17470"/>
    <w:rsid w:val="00B2028A"/>
    <w:rsid w:val="00B22082"/>
    <w:rsid w:val="00B234DF"/>
    <w:rsid w:val="00B2457B"/>
    <w:rsid w:val="00B32B38"/>
    <w:rsid w:val="00B353C1"/>
    <w:rsid w:val="00B4767A"/>
    <w:rsid w:val="00B47E19"/>
    <w:rsid w:val="00B52208"/>
    <w:rsid w:val="00B63537"/>
    <w:rsid w:val="00B652BE"/>
    <w:rsid w:val="00B77C78"/>
    <w:rsid w:val="00B77EE0"/>
    <w:rsid w:val="00B827EC"/>
    <w:rsid w:val="00B852C8"/>
    <w:rsid w:val="00B9058F"/>
    <w:rsid w:val="00B91ABF"/>
    <w:rsid w:val="00B92539"/>
    <w:rsid w:val="00B95E1E"/>
    <w:rsid w:val="00B97906"/>
    <w:rsid w:val="00BA1812"/>
    <w:rsid w:val="00BA5430"/>
    <w:rsid w:val="00BB15C6"/>
    <w:rsid w:val="00BB759E"/>
    <w:rsid w:val="00BC2205"/>
    <w:rsid w:val="00BD4164"/>
    <w:rsid w:val="00BD54F3"/>
    <w:rsid w:val="00BE0CDF"/>
    <w:rsid w:val="00BE74EA"/>
    <w:rsid w:val="00BE79C1"/>
    <w:rsid w:val="00BF1D10"/>
    <w:rsid w:val="00BF2764"/>
    <w:rsid w:val="00BF3392"/>
    <w:rsid w:val="00BF33C5"/>
    <w:rsid w:val="00BF3E09"/>
    <w:rsid w:val="00C0112A"/>
    <w:rsid w:val="00C22A1A"/>
    <w:rsid w:val="00C30477"/>
    <w:rsid w:val="00C30F37"/>
    <w:rsid w:val="00C3374D"/>
    <w:rsid w:val="00C33CB3"/>
    <w:rsid w:val="00C34585"/>
    <w:rsid w:val="00C36F44"/>
    <w:rsid w:val="00C3766E"/>
    <w:rsid w:val="00C379A5"/>
    <w:rsid w:val="00C409C5"/>
    <w:rsid w:val="00C44BFB"/>
    <w:rsid w:val="00C44C43"/>
    <w:rsid w:val="00C52377"/>
    <w:rsid w:val="00C53651"/>
    <w:rsid w:val="00C62D2B"/>
    <w:rsid w:val="00C64770"/>
    <w:rsid w:val="00C66C36"/>
    <w:rsid w:val="00C70000"/>
    <w:rsid w:val="00C74805"/>
    <w:rsid w:val="00C814CA"/>
    <w:rsid w:val="00C82309"/>
    <w:rsid w:val="00C84360"/>
    <w:rsid w:val="00C84CED"/>
    <w:rsid w:val="00C8560B"/>
    <w:rsid w:val="00C87A85"/>
    <w:rsid w:val="00C908CB"/>
    <w:rsid w:val="00C9195A"/>
    <w:rsid w:val="00C920AF"/>
    <w:rsid w:val="00C942BE"/>
    <w:rsid w:val="00C955C5"/>
    <w:rsid w:val="00CA699F"/>
    <w:rsid w:val="00CA77D9"/>
    <w:rsid w:val="00CA7C7C"/>
    <w:rsid w:val="00CB2F5A"/>
    <w:rsid w:val="00CB5D47"/>
    <w:rsid w:val="00CD5291"/>
    <w:rsid w:val="00CE2ACA"/>
    <w:rsid w:val="00CE5C9D"/>
    <w:rsid w:val="00CE77F4"/>
    <w:rsid w:val="00CF3B65"/>
    <w:rsid w:val="00CF40A3"/>
    <w:rsid w:val="00D0226A"/>
    <w:rsid w:val="00D0488A"/>
    <w:rsid w:val="00D106AF"/>
    <w:rsid w:val="00D133CE"/>
    <w:rsid w:val="00D135A1"/>
    <w:rsid w:val="00D25BB6"/>
    <w:rsid w:val="00D30D1E"/>
    <w:rsid w:val="00D3482D"/>
    <w:rsid w:val="00D37C5C"/>
    <w:rsid w:val="00D44A18"/>
    <w:rsid w:val="00D56E2A"/>
    <w:rsid w:val="00D644E8"/>
    <w:rsid w:val="00D64924"/>
    <w:rsid w:val="00D66971"/>
    <w:rsid w:val="00D67F2A"/>
    <w:rsid w:val="00D74597"/>
    <w:rsid w:val="00D75C93"/>
    <w:rsid w:val="00D77F10"/>
    <w:rsid w:val="00D854C0"/>
    <w:rsid w:val="00D91385"/>
    <w:rsid w:val="00D94D73"/>
    <w:rsid w:val="00DA06CA"/>
    <w:rsid w:val="00DB0927"/>
    <w:rsid w:val="00DB2B52"/>
    <w:rsid w:val="00DB2F60"/>
    <w:rsid w:val="00DB497F"/>
    <w:rsid w:val="00DC2EC1"/>
    <w:rsid w:val="00DC323C"/>
    <w:rsid w:val="00DD1DCF"/>
    <w:rsid w:val="00DD26AA"/>
    <w:rsid w:val="00DD491B"/>
    <w:rsid w:val="00DD6988"/>
    <w:rsid w:val="00DE212E"/>
    <w:rsid w:val="00DE42AA"/>
    <w:rsid w:val="00DF4471"/>
    <w:rsid w:val="00DF4A15"/>
    <w:rsid w:val="00E0284A"/>
    <w:rsid w:val="00E02AF8"/>
    <w:rsid w:val="00E07F44"/>
    <w:rsid w:val="00E13BEE"/>
    <w:rsid w:val="00E20125"/>
    <w:rsid w:val="00E218DA"/>
    <w:rsid w:val="00E2348B"/>
    <w:rsid w:val="00E24212"/>
    <w:rsid w:val="00E32E87"/>
    <w:rsid w:val="00E332C0"/>
    <w:rsid w:val="00E517EC"/>
    <w:rsid w:val="00E518CF"/>
    <w:rsid w:val="00E53AAD"/>
    <w:rsid w:val="00E545FF"/>
    <w:rsid w:val="00E56B0F"/>
    <w:rsid w:val="00E5719C"/>
    <w:rsid w:val="00E61A30"/>
    <w:rsid w:val="00E61EAF"/>
    <w:rsid w:val="00E6342A"/>
    <w:rsid w:val="00E82FDC"/>
    <w:rsid w:val="00E868C4"/>
    <w:rsid w:val="00E86E5B"/>
    <w:rsid w:val="00E918CF"/>
    <w:rsid w:val="00E9348E"/>
    <w:rsid w:val="00E93EE5"/>
    <w:rsid w:val="00E96269"/>
    <w:rsid w:val="00E97C4E"/>
    <w:rsid w:val="00EA3DAB"/>
    <w:rsid w:val="00EA43F3"/>
    <w:rsid w:val="00EA46A7"/>
    <w:rsid w:val="00EA5D8E"/>
    <w:rsid w:val="00EB073D"/>
    <w:rsid w:val="00EB52FD"/>
    <w:rsid w:val="00EC0F24"/>
    <w:rsid w:val="00EC6D99"/>
    <w:rsid w:val="00ED226C"/>
    <w:rsid w:val="00F057EB"/>
    <w:rsid w:val="00F23393"/>
    <w:rsid w:val="00F26C8B"/>
    <w:rsid w:val="00F3345B"/>
    <w:rsid w:val="00F37655"/>
    <w:rsid w:val="00F41A64"/>
    <w:rsid w:val="00F42DCE"/>
    <w:rsid w:val="00F43533"/>
    <w:rsid w:val="00F528A4"/>
    <w:rsid w:val="00F52B05"/>
    <w:rsid w:val="00F578AC"/>
    <w:rsid w:val="00F607B4"/>
    <w:rsid w:val="00F667E3"/>
    <w:rsid w:val="00F70E74"/>
    <w:rsid w:val="00F70ED3"/>
    <w:rsid w:val="00F73016"/>
    <w:rsid w:val="00F74F8E"/>
    <w:rsid w:val="00F757BA"/>
    <w:rsid w:val="00F764BA"/>
    <w:rsid w:val="00F91970"/>
    <w:rsid w:val="00F92430"/>
    <w:rsid w:val="00F93596"/>
    <w:rsid w:val="00FA4703"/>
    <w:rsid w:val="00FA7323"/>
    <w:rsid w:val="00FB3375"/>
    <w:rsid w:val="00FB47EF"/>
    <w:rsid w:val="00FD128E"/>
    <w:rsid w:val="00FD1861"/>
    <w:rsid w:val="00FD5191"/>
    <w:rsid w:val="00FE172C"/>
    <w:rsid w:val="00FE1A6D"/>
    <w:rsid w:val="00FE7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96E20E-3107-46E1-9A60-9F728013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vadinimas">
    <w:name w:val="Title"/>
    <w:basedOn w:val="prastasis"/>
    <w:qFormat/>
    <w:pPr>
      <w:jc w:val="center"/>
    </w:pPr>
    <w:rPr>
      <w:b/>
      <w:bCs/>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Pagrindinistekstas">
    <w:name w:val="Body Text"/>
    <w:basedOn w:val="prastasis"/>
    <w:pPr>
      <w:jc w:val="both"/>
    </w:pPr>
    <w:rPr>
      <w:sz w:val="22"/>
      <w:szCs w:val="22"/>
    </w:rPr>
  </w:style>
  <w:style w:type="paragraph" w:styleId="Pagrindinistekstas2">
    <w:name w:val="Body Text 2"/>
    <w:basedOn w:val="prastasis"/>
    <w:pPr>
      <w:jc w:val="both"/>
    </w:pPr>
    <w:rPr>
      <w:szCs w:val="22"/>
    </w:rPr>
  </w:style>
  <w:style w:type="paragraph" w:styleId="Antrats">
    <w:name w:val="header"/>
    <w:aliases w:val="Char,Diagrama,Diagrama Diagrama Diagrama"/>
    <w:basedOn w:val="prastasis"/>
    <w:link w:val="AntratsDiagrama"/>
    <w:pPr>
      <w:tabs>
        <w:tab w:val="center" w:pos="4153"/>
        <w:tab w:val="right" w:pos="8306"/>
      </w:tabs>
    </w:pPr>
  </w:style>
  <w:style w:type="character" w:styleId="Puslapionumeris">
    <w:name w:val="page number"/>
    <w:basedOn w:val="Numatytasispastraiposriftas"/>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rPr>
      <w:sz w:val="20"/>
      <w:szCs w:val="20"/>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Komentarotema">
    <w:name w:val="annotation subject"/>
    <w:basedOn w:val="Komentarotekstas"/>
    <w:next w:val="Komentarotekstas"/>
    <w:rsid w:val="00E32E87"/>
    <w:rPr>
      <w:b/>
      <w:bCs/>
    </w:rPr>
  </w:style>
  <w:style w:type="character" w:customStyle="1" w:styleId="KomentarotekstasDiagrama">
    <w:name w:val="Komentaro tekstas Diagrama"/>
    <w:link w:val="Komentarotekstas"/>
    <w:uiPriority w:val="99"/>
    <w:rsid w:val="00E32E87"/>
    <w:rPr>
      <w:lang w:eastAsia="en-US"/>
    </w:rPr>
  </w:style>
  <w:style w:type="character" w:customStyle="1" w:styleId="CommentSubjectChar">
    <w:name w:val="Comment Subject Char"/>
    <w:basedOn w:val="KomentarotekstasDiagrama"/>
    <w:link w:val="Komentarotema"/>
    <w:rsid w:val="00E32E87"/>
    <w:rPr>
      <w:lang w:eastAsia="en-US"/>
    </w:rPr>
  </w:style>
  <w:style w:type="paragraph" w:styleId="Debesliotekstas">
    <w:name w:val="Balloon Text"/>
    <w:basedOn w:val="prastasis"/>
    <w:link w:val="DebesliotekstasDiagrama"/>
    <w:rsid w:val="00E32E87"/>
    <w:rPr>
      <w:rFonts w:ascii="Tahoma" w:hAnsi="Tahoma" w:cs="Tahoma"/>
      <w:sz w:val="16"/>
      <w:szCs w:val="16"/>
    </w:rPr>
  </w:style>
  <w:style w:type="character" w:customStyle="1" w:styleId="DebesliotekstasDiagrama">
    <w:name w:val="Debesėlio tekstas Diagrama"/>
    <w:link w:val="Debesliotekstas"/>
    <w:rsid w:val="00E32E87"/>
    <w:rPr>
      <w:rFonts w:ascii="Tahoma" w:hAnsi="Tahoma" w:cs="Tahoma"/>
      <w:sz w:val="16"/>
      <w:szCs w:val="16"/>
      <w:lang w:eastAsia="en-US"/>
    </w:rPr>
  </w:style>
  <w:style w:type="paragraph" w:customStyle="1" w:styleId="Tekstas">
    <w:name w:val="Tekstas"/>
    <w:basedOn w:val="prastasis"/>
    <w:rsid w:val="000B640F"/>
    <w:pPr>
      <w:spacing w:before="40" w:after="40"/>
      <w:ind w:right="40" w:firstLine="1247"/>
      <w:jc w:val="both"/>
    </w:pPr>
  </w:style>
  <w:style w:type="paragraph" w:styleId="Betarp">
    <w:name w:val="No Spacing"/>
    <w:uiPriority w:val="1"/>
    <w:qFormat/>
    <w:rsid w:val="00D44A18"/>
    <w:rPr>
      <w:sz w:val="24"/>
      <w:szCs w:val="24"/>
      <w:lang w:eastAsia="en-US"/>
    </w:rPr>
  </w:style>
  <w:style w:type="character" w:customStyle="1" w:styleId="AntratsDiagrama">
    <w:name w:val="Antraštės Diagrama"/>
    <w:aliases w:val="Char Diagrama,Diagrama Diagrama,Diagrama Diagrama Diagrama Diagrama"/>
    <w:link w:val="Antrats"/>
    <w:rsid w:val="00F42DCE"/>
    <w:rPr>
      <w:sz w:val="24"/>
      <w:szCs w:val="24"/>
      <w:lang w:eastAsia="en-US"/>
    </w:rPr>
  </w:style>
  <w:style w:type="paragraph" w:styleId="Sraopastraipa">
    <w:name w:val="List Paragraph"/>
    <w:basedOn w:val="prastasis"/>
    <w:uiPriority w:val="34"/>
    <w:qFormat/>
    <w:rsid w:val="000D77AE"/>
    <w:pPr>
      <w:ind w:left="1296"/>
    </w:pPr>
  </w:style>
  <w:style w:type="paragraph" w:customStyle="1" w:styleId="Antraste">
    <w:name w:val="Antraste"/>
    <w:basedOn w:val="prastasis"/>
    <w:link w:val="AntrasteChar"/>
    <w:qFormat/>
    <w:rsid w:val="00DC323C"/>
    <w:pPr>
      <w:tabs>
        <w:tab w:val="left" w:pos="6804"/>
      </w:tabs>
      <w:jc w:val="center"/>
    </w:pPr>
    <w:rPr>
      <w:b/>
      <w:caps/>
      <w:lang w:eastAsia="lt-LT"/>
    </w:rPr>
  </w:style>
  <w:style w:type="character" w:customStyle="1" w:styleId="AntrasteChar">
    <w:name w:val="Antraste Char"/>
    <w:link w:val="Antraste"/>
    <w:rsid w:val="00DC323C"/>
    <w:rPr>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09770">
      <w:bodyDiv w:val="1"/>
      <w:marLeft w:val="0"/>
      <w:marRight w:val="0"/>
      <w:marTop w:val="0"/>
      <w:marBottom w:val="0"/>
      <w:divBdr>
        <w:top w:val="none" w:sz="0" w:space="0" w:color="auto"/>
        <w:left w:val="none" w:sz="0" w:space="0" w:color="auto"/>
        <w:bottom w:val="none" w:sz="0" w:space="0" w:color="auto"/>
        <w:right w:val="none" w:sz="0" w:space="0" w:color="auto"/>
      </w:divBdr>
      <w:divsChild>
        <w:div w:id="497499758">
          <w:marLeft w:val="0"/>
          <w:marRight w:val="0"/>
          <w:marTop w:val="0"/>
          <w:marBottom w:val="0"/>
          <w:divBdr>
            <w:top w:val="none" w:sz="0" w:space="0" w:color="auto"/>
            <w:left w:val="none" w:sz="0" w:space="0" w:color="auto"/>
            <w:bottom w:val="none" w:sz="0" w:space="0" w:color="auto"/>
            <w:right w:val="none" w:sz="0" w:space="0" w:color="auto"/>
          </w:divBdr>
        </w:div>
        <w:div w:id="566500738">
          <w:marLeft w:val="0"/>
          <w:marRight w:val="0"/>
          <w:marTop w:val="0"/>
          <w:marBottom w:val="0"/>
          <w:divBdr>
            <w:top w:val="none" w:sz="0" w:space="0" w:color="auto"/>
            <w:left w:val="none" w:sz="0" w:space="0" w:color="auto"/>
            <w:bottom w:val="none" w:sz="0" w:space="0" w:color="auto"/>
            <w:right w:val="none" w:sz="0" w:space="0" w:color="auto"/>
          </w:divBdr>
        </w:div>
        <w:div w:id="1078750163">
          <w:marLeft w:val="0"/>
          <w:marRight w:val="0"/>
          <w:marTop w:val="0"/>
          <w:marBottom w:val="0"/>
          <w:divBdr>
            <w:top w:val="none" w:sz="0" w:space="0" w:color="auto"/>
            <w:left w:val="none" w:sz="0" w:space="0" w:color="auto"/>
            <w:bottom w:val="none" w:sz="0" w:space="0" w:color="auto"/>
            <w:right w:val="none" w:sz="0" w:space="0" w:color="auto"/>
          </w:divBdr>
        </w:div>
      </w:divsChild>
    </w:div>
    <w:div w:id="828181431">
      <w:bodyDiv w:val="1"/>
      <w:marLeft w:val="0"/>
      <w:marRight w:val="0"/>
      <w:marTop w:val="0"/>
      <w:marBottom w:val="0"/>
      <w:divBdr>
        <w:top w:val="none" w:sz="0" w:space="0" w:color="auto"/>
        <w:left w:val="none" w:sz="0" w:space="0" w:color="auto"/>
        <w:bottom w:val="none" w:sz="0" w:space="0" w:color="auto"/>
        <w:right w:val="none" w:sz="0" w:space="0" w:color="auto"/>
      </w:divBdr>
      <w:divsChild>
        <w:div w:id="363794785">
          <w:marLeft w:val="0"/>
          <w:marRight w:val="0"/>
          <w:marTop w:val="0"/>
          <w:marBottom w:val="0"/>
          <w:divBdr>
            <w:top w:val="none" w:sz="0" w:space="0" w:color="auto"/>
            <w:left w:val="none" w:sz="0" w:space="0" w:color="auto"/>
            <w:bottom w:val="none" w:sz="0" w:space="0" w:color="auto"/>
            <w:right w:val="none" w:sz="0" w:space="0" w:color="auto"/>
          </w:divBdr>
        </w:div>
        <w:div w:id="560404285">
          <w:marLeft w:val="0"/>
          <w:marRight w:val="0"/>
          <w:marTop w:val="0"/>
          <w:marBottom w:val="0"/>
          <w:divBdr>
            <w:top w:val="none" w:sz="0" w:space="0" w:color="auto"/>
            <w:left w:val="none" w:sz="0" w:space="0" w:color="auto"/>
            <w:bottom w:val="none" w:sz="0" w:space="0" w:color="auto"/>
            <w:right w:val="none" w:sz="0" w:space="0" w:color="auto"/>
          </w:divBdr>
        </w:div>
        <w:div w:id="703944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26E0-7794-4389-AA9F-6B7877A1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8587</Words>
  <Characters>4895</Characters>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13456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2020-10-07T09:58:00Z</dcterms:created>
  <cp:lastPrinted>2016-05-23T07:25:00Z</cp:lastPrinted>
  <dcterms:modified xsi:type="dcterms:W3CDTF">2020-10-07T09:58:00Z</dcterms:modified>
</cp:coreProperties>
</file>