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E378" w14:textId="77777777" w:rsidR="00BC44E5" w:rsidRPr="002C45E5" w:rsidRDefault="00972BD8" w:rsidP="008224F6">
      <w:pPr>
        <w:jc w:val="center"/>
        <w:rPr>
          <w:b/>
          <w:bCs/>
          <w:caps/>
          <w:lang w:val="lt-LT"/>
        </w:rPr>
      </w:pPr>
      <w:r w:rsidRPr="002C45E5">
        <w:rPr>
          <w:b/>
          <w:bCs/>
          <w:caps/>
          <w:lang w:val="lt-LT"/>
        </w:rPr>
        <w:t xml:space="preserve">Lietuvos Respublikos pozicijOS </w:t>
      </w:r>
      <w:r w:rsidRPr="002C45E5">
        <w:rPr>
          <w:b/>
          <w:bCs/>
          <w:caps/>
          <w:lang w:val="lt-LT"/>
        </w:rPr>
        <w:br/>
        <w:t>202</w:t>
      </w:r>
      <w:r w:rsidR="00A02006" w:rsidRPr="002C45E5">
        <w:rPr>
          <w:b/>
          <w:bCs/>
          <w:caps/>
          <w:lang w:val="lt-LT"/>
        </w:rPr>
        <w:t>1</w:t>
      </w:r>
      <w:r w:rsidRPr="002C45E5">
        <w:rPr>
          <w:b/>
          <w:bCs/>
          <w:caps/>
          <w:lang w:val="lt-LT"/>
        </w:rPr>
        <w:t xml:space="preserve"> m. </w:t>
      </w:r>
      <w:r w:rsidR="00A02006" w:rsidRPr="002C45E5">
        <w:rPr>
          <w:b/>
          <w:bCs/>
          <w:caps/>
          <w:lang w:val="lt-LT"/>
        </w:rPr>
        <w:t xml:space="preserve">kovo 18 </w:t>
      </w:r>
      <w:r w:rsidRPr="002C45E5">
        <w:rPr>
          <w:b/>
          <w:bCs/>
          <w:caps/>
          <w:lang w:val="lt-LT"/>
        </w:rPr>
        <w:t xml:space="preserve">d. </w:t>
      </w:r>
      <w:r w:rsidR="00645CEE">
        <w:rPr>
          <w:b/>
          <w:bCs/>
          <w:caps/>
          <w:lang w:val="lt-LT"/>
        </w:rPr>
        <w:t xml:space="preserve">Neformalioje </w:t>
      </w:r>
      <w:r w:rsidR="00BC44E5" w:rsidRPr="002C45E5">
        <w:rPr>
          <w:b/>
          <w:bCs/>
          <w:caps/>
          <w:lang w:val="lt-LT"/>
        </w:rPr>
        <w:t xml:space="preserve">ES </w:t>
      </w:r>
    </w:p>
    <w:p w14:paraId="163A30A3" w14:textId="77777777" w:rsidR="00972BD8" w:rsidRPr="002C45E5" w:rsidRDefault="00BC44E5" w:rsidP="00BC44E5">
      <w:pPr>
        <w:jc w:val="center"/>
        <w:rPr>
          <w:b/>
          <w:bCs/>
          <w:caps/>
          <w:lang w:val="lt-LT"/>
        </w:rPr>
      </w:pPr>
      <w:r w:rsidRPr="002C45E5">
        <w:rPr>
          <w:b/>
          <w:bCs/>
          <w:caps/>
          <w:lang w:val="lt-LT"/>
        </w:rPr>
        <w:t>Aplin</w:t>
      </w:r>
      <w:r w:rsidR="002C45E5" w:rsidRPr="002C45E5">
        <w:rPr>
          <w:b/>
          <w:bCs/>
          <w:caps/>
          <w:lang w:val="lt-LT"/>
        </w:rPr>
        <w:t>kos ministrų vaizdo konferencijoje</w:t>
      </w:r>
    </w:p>
    <w:p w14:paraId="51689FFA" w14:textId="77777777" w:rsidR="00972BD8" w:rsidRDefault="00972BD8" w:rsidP="00972BD8">
      <w:pPr>
        <w:jc w:val="center"/>
        <w:rPr>
          <w:b/>
          <w:bCs/>
          <w:caps/>
          <w:lang w:val="lt-LT"/>
        </w:rPr>
      </w:pPr>
      <w:r w:rsidRPr="002C45E5">
        <w:rPr>
          <w:b/>
          <w:bCs/>
          <w:caps/>
          <w:lang w:val="lt-LT"/>
        </w:rPr>
        <w:t>svarstomais klausimais</w:t>
      </w:r>
    </w:p>
    <w:p w14:paraId="35CE0D97" w14:textId="77777777" w:rsidR="00555468" w:rsidRDefault="00555468" w:rsidP="00972BD8">
      <w:pPr>
        <w:jc w:val="center"/>
        <w:rPr>
          <w:b/>
          <w:bCs/>
          <w:caps/>
          <w:lang w:val="lt-LT"/>
        </w:rPr>
      </w:pPr>
    </w:p>
    <w:tbl>
      <w:tblPr>
        <w:tblStyle w:val="TableGrid"/>
        <w:tblW w:w="0" w:type="auto"/>
        <w:tblLook w:val="04A0" w:firstRow="1" w:lastRow="0" w:firstColumn="1" w:lastColumn="0" w:noHBand="0" w:noVBand="1"/>
      </w:tblPr>
      <w:tblGrid>
        <w:gridCol w:w="9853"/>
      </w:tblGrid>
      <w:tr w:rsidR="00555468" w:rsidRPr="002C45E5" w14:paraId="06BC71A3" w14:textId="77777777" w:rsidTr="000567B2">
        <w:tc>
          <w:tcPr>
            <w:tcW w:w="9853" w:type="dxa"/>
          </w:tcPr>
          <w:p w14:paraId="3CEC368B" w14:textId="7D90F4EB" w:rsidR="00555468" w:rsidRPr="002C45E5" w:rsidRDefault="00555468" w:rsidP="000567B2">
            <w:pPr>
              <w:pStyle w:val="BodyA"/>
              <w:tabs>
                <w:tab w:val="left" w:pos="284"/>
              </w:tabs>
              <w:jc w:val="both"/>
              <w:rPr>
                <w:rFonts w:hAnsi="Times New Roman" w:cs="Times New Roman"/>
                <w:b/>
                <w:lang w:val="lt-LT"/>
              </w:rPr>
            </w:pPr>
            <w:r w:rsidRPr="002C45E5">
              <w:rPr>
                <w:rFonts w:hAnsi="Times New Roman" w:cs="Times New Roman"/>
                <w:b/>
                <w:lang w:val="lt-LT"/>
              </w:rPr>
              <w:t>3. ES Prisitaikymo prie klimato kaitos strategija</w:t>
            </w:r>
          </w:p>
          <w:p w14:paraId="4CF5406C" w14:textId="77777777" w:rsidR="00555468" w:rsidRPr="002C45E5" w:rsidRDefault="00555468" w:rsidP="000567B2">
            <w:pPr>
              <w:pStyle w:val="Default"/>
              <w:rPr>
                <w:rFonts w:ascii="Times New Roman" w:hAnsi="Times New Roman" w:cs="Times New Roman"/>
                <w:i/>
              </w:rPr>
            </w:pPr>
            <w:r w:rsidRPr="002C45E5">
              <w:rPr>
                <w:rFonts w:hAnsi="Times New Roman" w:cs="Times New Roman"/>
                <w:i/>
              </w:rPr>
              <w:t>- Apsikeitimas nuomon</w:t>
            </w:r>
            <w:r w:rsidRPr="002C45E5">
              <w:rPr>
                <w:rFonts w:hAnsi="Times New Roman" w:cs="Times New Roman"/>
                <w:i/>
              </w:rPr>
              <w:t>ė</w:t>
            </w:r>
            <w:r w:rsidRPr="002C45E5">
              <w:rPr>
                <w:rFonts w:hAnsi="Times New Roman" w:cs="Times New Roman"/>
                <w:i/>
              </w:rPr>
              <w:t xml:space="preserve">mis </w:t>
            </w:r>
          </w:p>
          <w:p w14:paraId="77B54579" w14:textId="77777777" w:rsidR="008224F6" w:rsidRDefault="008224F6" w:rsidP="000567B2">
            <w:pPr>
              <w:pStyle w:val="Default"/>
              <w:rPr>
                <w:rFonts w:ascii="Times New Roman" w:hAnsi="Times New Roman" w:cs="Times New Roman"/>
                <w:b/>
                <w:u w:val="single"/>
              </w:rPr>
            </w:pPr>
          </w:p>
          <w:p w14:paraId="003735C9" w14:textId="77777777" w:rsidR="00555468" w:rsidRPr="002C45E5" w:rsidRDefault="00555468" w:rsidP="000567B2">
            <w:pPr>
              <w:pStyle w:val="Default"/>
              <w:rPr>
                <w:rFonts w:ascii="Times New Roman" w:hAnsi="Times New Roman" w:cs="Times New Roman"/>
                <w:b/>
                <w:u w:val="single"/>
              </w:rPr>
            </w:pPr>
            <w:r w:rsidRPr="002C45E5">
              <w:rPr>
                <w:rFonts w:ascii="Times New Roman" w:hAnsi="Times New Roman" w:cs="Times New Roman"/>
                <w:b/>
                <w:u w:val="single"/>
              </w:rPr>
              <w:t>Klausimo esmė.</w:t>
            </w:r>
          </w:p>
          <w:p w14:paraId="61171930" w14:textId="77777777" w:rsidR="00555468" w:rsidRPr="002C45E5" w:rsidRDefault="00555468" w:rsidP="000567B2">
            <w:pPr>
              <w:pStyle w:val="Default"/>
              <w:ind w:left="-250"/>
              <w:jc w:val="both"/>
              <w:rPr>
                <w:rStyle w:val="eop"/>
              </w:rPr>
            </w:pPr>
          </w:p>
          <w:p w14:paraId="4E2E36FB" w14:textId="77777777" w:rsidR="00555468" w:rsidRDefault="00555468" w:rsidP="000567B2">
            <w:pPr>
              <w:pStyle w:val="Default"/>
              <w:jc w:val="both"/>
              <w:rPr>
                <w:rStyle w:val="eop"/>
              </w:rPr>
            </w:pPr>
            <w:r w:rsidRPr="002C45E5">
              <w:rPr>
                <w:rStyle w:val="eop"/>
              </w:rPr>
              <w:t xml:space="preserve">2021 m. </w:t>
            </w:r>
            <w:r w:rsidRPr="00555468">
              <w:rPr>
                <w:rStyle w:val="eop"/>
              </w:rPr>
              <w:t>vasario 24 d</w:t>
            </w:r>
            <w:r w:rsidRPr="002C45E5">
              <w:rPr>
                <w:rStyle w:val="eop"/>
              </w:rPr>
              <w:t>. EK paskelbė ES prisitaikymo prie klimato kaitos strategiją.</w:t>
            </w:r>
            <w:r>
              <w:rPr>
                <w:rStyle w:val="eop"/>
              </w:rPr>
              <w:t xml:space="preserve"> </w:t>
            </w:r>
            <w:r w:rsidRPr="002C45E5">
              <w:rPr>
                <w:rStyle w:val="eop"/>
              </w:rPr>
              <w:t>Naujoji Strategija nustato, kaip E</w:t>
            </w:r>
            <w:r>
              <w:rPr>
                <w:rStyle w:val="eop"/>
              </w:rPr>
              <w:t>S</w:t>
            </w:r>
            <w:r w:rsidRPr="002C45E5">
              <w:rPr>
                <w:rStyle w:val="eop"/>
              </w:rPr>
              <w:t xml:space="preserve"> prisitaikys prie neišvengiamo klimato kaitos poveikio ir taps atsparia klimato kaitai iki 2050 m.</w:t>
            </w:r>
          </w:p>
          <w:p w14:paraId="5E001CAA" w14:textId="77777777" w:rsidR="00555468" w:rsidRPr="002C45E5" w:rsidRDefault="00555468" w:rsidP="000567B2">
            <w:pPr>
              <w:pStyle w:val="Default"/>
              <w:jc w:val="both"/>
              <w:rPr>
                <w:rStyle w:val="eop"/>
              </w:rPr>
            </w:pPr>
          </w:p>
          <w:p w14:paraId="45588BA9" w14:textId="77777777" w:rsidR="00555468" w:rsidRDefault="00555468" w:rsidP="000567B2">
            <w:pPr>
              <w:pStyle w:val="Default"/>
              <w:jc w:val="both"/>
              <w:rPr>
                <w:rStyle w:val="eop"/>
              </w:rPr>
            </w:pPr>
            <w:r w:rsidRPr="002C45E5">
              <w:rPr>
                <w:rStyle w:val="eop"/>
              </w:rPr>
              <w:t xml:space="preserve">Ši strategija, papildydama ambicingą ES neutralios klimatui ekonomikos tikslą iki 2050 m., siekia: sustiprinti ES </w:t>
            </w:r>
            <w:r>
              <w:rPr>
                <w:rStyle w:val="eop"/>
              </w:rPr>
              <w:t>bei</w:t>
            </w:r>
            <w:r w:rsidRPr="002C45E5">
              <w:rPr>
                <w:rStyle w:val="eop"/>
              </w:rPr>
              <w:t xml:space="preserve"> pasaulio prisitaikymo gebėjimus ir kuo labiau sumažinti pažeidžiamumą dėl neigiamų klimato kaitos padarinių, atsižvelgiant į Paryžiaus susitarimą ir Europos klimato kaitos reglamento pasiūlymą. Naująja strategija siekiama sustiprinti visų ūkio sektorių atsparią klimato kaitai plėtrą ir palankias visuomenės gyvenimo sąlygas kartu su kitomis Žaliojo kurso politikos sritimis, tokiomis kaip biologinės įvairovės apsauga ir tvarus žemės ūkis. </w:t>
            </w:r>
          </w:p>
          <w:p w14:paraId="70F2AD6E" w14:textId="77777777" w:rsidR="00555468" w:rsidRDefault="00555468" w:rsidP="000567B2">
            <w:pPr>
              <w:pStyle w:val="Default"/>
              <w:jc w:val="both"/>
              <w:rPr>
                <w:rStyle w:val="eop"/>
              </w:rPr>
            </w:pPr>
          </w:p>
          <w:p w14:paraId="28F44967" w14:textId="77777777" w:rsidR="005F7E15" w:rsidRDefault="00555468" w:rsidP="000567B2">
            <w:pPr>
              <w:pStyle w:val="Default"/>
              <w:jc w:val="both"/>
              <w:rPr>
                <w:rStyle w:val="eop"/>
              </w:rPr>
            </w:pPr>
            <w:r w:rsidRPr="002C45E5">
              <w:rPr>
                <w:rStyle w:val="eop"/>
              </w:rPr>
              <w:t xml:space="preserve">Strategijoje numatyti keturi pagrindiniai tikslai: </w:t>
            </w:r>
          </w:p>
          <w:p w14:paraId="2C0A771C" w14:textId="3CF0ACBA" w:rsidR="00320C48" w:rsidRDefault="00320C48" w:rsidP="00320C48">
            <w:pPr>
              <w:pStyle w:val="Default"/>
              <w:jc w:val="both"/>
              <w:rPr>
                <w:rStyle w:val="eop"/>
              </w:rPr>
            </w:pPr>
            <w:r>
              <w:rPr>
                <w:rStyle w:val="eop"/>
              </w:rPr>
              <w:t xml:space="preserve">1. </w:t>
            </w:r>
            <w:r w:rsidRPr="002C45E5">
              <w:rPr>
                <w:rStyle w:val="eop"/>
              </w:rPr>
              <w:t>padaryti prisitaikymą išmanesnį</w:t>
            </w:r>
            <w:r>
              <w:rPr>
                <w:rStyle w:val="eop"/>
              </w:rPr>
              <w:t xml:space="preserve">, t. y., remtis naujausiomis mokslinėmis žiniomis; iš viešojo ir iš privataus sektoriaus surinkti daugiau duomenų, ypač apie ekonominius nuostolius; vykdyti skaitmeninę transformaciją; gerinti ryšių su ekosistemų paslaugomis ir rizika sveikatai supratimą; vykdyti rizikos ir nuostolių duomenimis paremtą rizikos vertinimą; </w:t>
            </w:r>
            <w:r w:rsidRPr="003A7BFE">
              <w:rPr>
                <w:rStyle w:val="eop"/>
              </w:rPr>
              <w:t>„</w:t>
            </w:r>
            <w:proofErr w:type="spellStart"/>
            <w:r w:rsidRPr="003A7BFE">
              <w:rPr>
                <w:rStyle w:val="eop"/>
              </w:rPr>
              <w:t>Climate</w:t>
            </w:r>
            <w:proofErr w:type="spellEnd"/>
            <w:r w:rsidRPr="003A7BFE">
              <w:rPr>
                <w:rStyle w:val="eop"/>
              </w:rPr>
              <w:t xml:space="preserve"> ADAPT“</w:t>
            </w:r>
            <w:r>
              <w:rPr>
                <w:rStyle w:val="eop"/>
              </w:rPr>
              <w:t xml:space="preserve"> turėtų tapti pagrindinė duomenų ir informacijos platforma;  </w:t>
            </w:r>
            <w:r w:rsidRPr="002C45E5">
              <w:rPr>
                <w:rStyle w:val="eop"/>
              </w:rPr>
              <w:t xml:space="preserve"> </w:t>
            </w:r>
          </w:p>
          <w:p w14:paraId="28882F7C" w14:textId="4AAC7F45" w:rsidR="00320C48" w:rsidRDefault="00320C48" w:rsidP="00320C48">
            <w:pPr>
              <w:pStyle w:val="Default"/>
              <w:jc w:val="both"/>
              <w:rPr>
                <w:rStyle w:val="eop"/>
              </w:rPr>
            </w:pPr>
            <w:r>
              <w:rPr>
                <w:rStyle w:val="eop"/>
              </w:rPr>
              <w:t xml:space="preserve">2. </w:t>
            </w:r>
            <w:r w:rsidRPr="002C45E5">
              <w:rPr>
                <w:rStyle w:val="eop"/>
              </w:rPr>
              <w:t>greitesnį</w:t>
            </w:r>
            <w:r>
              <w:rPr>
                <w:rStyle w:val="eop"/>
              </w:rPr>
              <w:t>, t. y.,</w:t>
            </w:r>
            <w:r w:rsidRPr="002C45E5">
              <w:rPr>
                <w:rStyle w:val="eop"/>
              </w:rPr>
              <w:t xml:space="preserve"> </w:t>
            </w:r>
            <w:r>
              <w:rPr>
                <w:rStyle w:val="eop"/>
              </w:rPr>
              <w:t xml:space="preserve">visose srityse </w:t>
            </w:r>
            <w:r w:rsidRPr="001A1D3A">
              <w:rPr>
                <w:rStyle w:val="eop"/>
              </w:rPr>
              <w:t xml:space="preserve">prisitaikymas prie klimato kaitos </w:t>
            </w:r>
            <w:r>
              <w:rPr>
                <w:rStyle w:val="eop"/>
              </w:rPr>
              <w:t xml:space="preserve">turėtų </w:t>
            </w:r>
            <w:r w:rsidRPr="001A1D3A">
              <w:rPr>
                <w:rStyle w:val="eop"/>
              </w:rPr>
              <w:t>vykt</w:t>
            </w:r>
            <w:r>
              <w:rPr>
                <w:rStyle w:val="eop"/>
              </w:rPr>
              <w:t>i</w:t>
            </w:r>
            <w:r w:rsidRPr="001A1D3A">
              <w:rPr>
                <w:rStyle w:val="eop"/>
              </w:rPr>
              <w:t xml:space="preserve"> sparčiau, </w:t>
            </w:r>
            <w:r>
              <w:rPr>
                <w:rStyle w:val="eop"/>
              </w:rPr>
              <w:t>numatant</w:t>
            </w:r>
            <w:r w:rsidRPr="001A1D3A">
              <w:rPr>
                <w:rStyle w:val="eop"/>
              </w:rPr>
              <w:t xml:space="preserve"> proporcing</w:t>
            </w:r>
            <w:r>
              <w:rPr>
                <w:rStyle w:val="eop"/>
              </w:rPr>
              <w:t>us</w:t>
            </w:r>
            <w:r w:rsidRPr="001A1D3A">
              <w:rPr>
                <w:rStyle w:val="eop"/>
              </w:rPr>
              <w:t xml:space="preserve"> </w:t>
            </w:r>
            <w:r>
              <w:rPr>
                <w:rStyle w:val="eop"/>
              </w:rPr>
              <w:t xml:space="preserve">finansinius </w:t>
            </w:r>
            <w:r w:rsidRPr="001A1D3A">
              <w:rPr>
                <w:rStyle w:val="eop"/>
              </w:rPr>
              <w:t>ištekli</w:t>
            </w:r>
            <w:r>
              <w:rPr>
                <w:rStyle w:val="eop"/>
              </w:rPr>
              <w:t>us, diegiant</w:t>
            </w:r>
            <w:r w:rsidRPr="001A1D3A">
              <w:rPr>
                <w:rStyle w:val="eop"/>
              </w:rPr>
              <w:t xml:space="preserve"> prisitaikymo sprendim</w:t>
            </w:r>
            <w:r>
              <w:rPr>
                <w:rStyle w:val="eop"/>
              </w:rPr>
              <w:t>us; priimami</w:t>
            </w:r>
            <w:r w:rsidRPr="001A1D3A">
              <w:rPr>
                <w:rStyle w:val="eop"/>
              </w:rPr>
              <w:t xml:space="preserve"> sprendim</w:t>
            </w:r>
            <w:r>
              <w:rPr>
                <w:rStyle w:val="eop"/>
              </w:rPr>
              <w:t>ai turi apdėti</w:t>
            </w:r>
            <w:r w:rsidRPr="001A1D3A">
              <w:rPr>
                <w:rStyle w:val="eop"/>
              </w:rPr>
              <w:t xml:space="preserve"> ūkininkams ir</w:t>
            </w:r>
            <w:r>
              <w:rPr>
                <w:rStyle w:val="eop"/>
              </w:rPr>
              <w:t xml:space="preserve"> </w:t>
            </w:r>
            <w:r w:rsidRPr="001A1D3A">
              <w:rPr>
                <w:rStyle w:val="eop"/>
              </w:rPr>
              <w:t xml:space="preserve">žemės valdytojams </w:t>
            </w:r>
            <w:r>
              <w:rPr>
                <w:rStyle w:val="eop"/>
              </w:rPr>
              <w:t>kovoti su klimato kaitos r</w:t>
            </w:r>
            <w:r w:rsidRPr="001A1D3A">
              <w:rPr>
                <w:rStyle w:val="eop"/>
              </w:rPr>
              <w:t>izika</w:t>
            </w:r>
            <w:r>
              <w:rPr>
                <w:rStyle w:val="eop"/>
              </w:rPr>
              <w:t xml:space="preserve">; </w:t>
            </w:r>
            <w:r w:rsidRPr="001A1D3A">
              <w:rPr>
                <w:rStyle w:val="eop"/>
              </w:rPr>
              <w:t>populiarin</w:t>
            </w:r>
            <w:r>
              <w:rPr>
                <w:rStyle w:val="eop"/>
              </w:rPr>
              <w:t>amos</w:t>
            </w:r>
            <w:r w:rsidRPr="001A1D3A">
              <w:rPr>
                <w:rStyle w:val="eop"/>
              </w:rPr>
              <w:t xml:space="preserve"> </w:t>
            </w:r>
            <w:r>
              <w:rPr>
                <w:rStyle w:val="eop"/>
              </w:rPr>
              <w:t>prieinamos</w:t>
            </w:r>
            <w:r w:rsidRPr="001A1D3A">
              <w:rPr>
                <w:rStyle w:val="eop"/>
              </w:rPr>
              <w:t xml:space="preserve"> pagalbin</w:t>
            </w:r>
            <w:r>
              <w:rPr>
                <w:rStyle w:val="eop"/>
              </w:rPr>
              <w:t>ė</w:t>
            </w:r>
            <w:r w:rsidRPr="001A1D3A">
              <w:rPr>
                <w:rStyle w:val="eop"/>
              </w:rPr>
              <w:t>s</w:t>
            </w:r>
            <w:r>
              <w:rPr>
                <w:rStyle w:val="eop"/>
              </w:rPr>
              <w:t xml:space="preserve"> </w:t>
            </w:r>
            <w:r w:rsidRPr="001A1D3A">
              <w:rPr>
                <w:rStyle w:val="eop"/>
              </w:rPr>
              <w:t>priemon</w:t>
            </w:r>
            <w:r>
              <w:rPr>
                <w:rStyle w:val="eop"/>
              </w:rPr>
              <w:t>ė</w:t>
            </w:r>
            <w:r w:rsidRPr="001A1D3A">
              <w:rPr>
                <w:rStyle w:val="eop"/>
              </w:rPr>
              <w:t>s</w:t>
            </w:r>
            <w:r>
              <w:rPr>
                <w:rStyle w:val="eop"/>
              </w:rPr>
              <w:t>; i</w:t>
            </w:r>
            <w:r w:rsidRPr="001A1D3A">
              <w:rPr>
                <w:rStyle w:val="eop"/>
              </w:rPr>
              <w:t>nvestuo</w:t>
            </w:r>
            <w:r>
              <w:rPr>
                <w:rStyle w:val="eop"/>
              </w:rPr>
              <w:t>jama į klimato kaito poveikiui a</w:t>
            </w:r>
            <w:r w:rsidRPr="001A1D3A">
              <w:rPr>
                <w:rStyle w:val="eop"/>
              </w:rPr>
              <w:t>tsparią infrastruktūrą</w:t>
            </w:r>
            <w:r>
              <w:rPr>
                <w:rStyle w:val="eop"/>
              </w:rPr>
              <w:t xml:space="preserve">; </w:t>
            </w:r>
            <w:r w:rsidRPr="001A1D3A">
              <w:rPr>
                <w:rStyle w:val="eop"/>
              </w:rPr>
              <w:t xml:space="preserve">prisitaikymo veiksmų </w:t>
            </w:r>
            <w:r>
              <w:rPr>
                <w:rStyle w:val="eop"/>
              </w:rPr>
              <w:t xml:space="preserve">ir veiklos </w:t>
            </w:r>
            <w:r w:rsidRPr="001A1D3A">
              <w:rPr>
                <w:rStyle w:val="eop"/>
              </w:rPr>
              <w:t>nelaimių rizikos prevencijos ir mažinimo srityje</w:t>
            </w:r>
            <w:r>
              <w:rPr>
                <w:rStyle w:val="eop"/>
              </w:rPr>
              <w:t xml:space="preserve"> sinergija; stiprinamos </w:t>
            </w:r>
            <w:r w:rsidRPr="001A1D3A">
              <w:rPr>
                <w:rStyle w:val="eop"/>
              </w:rPr>
              <w:t>pastang</w:t>
            </w:r>
            <w:r>
              <w:rPr>
                <w:rStyle w:val="eop"/>
              </w:rPr>
              <w:t>os</w:t>
            </w:r>
            <w:r w:rsidRPr="001A1D3A">
              <w:rPr>
                <w:rStyle w:val="eop"/>
              </w:rPr>
              <w:t xml:space="preserve">, </w:t>
            </w:r>
            <w:r>
              <w:rPr>
                <w:rStyle w:val="eop"/>
              </w:rPr>
              <w:t xml:space="preserve">didinančios </w:t>
            </w:r>
            <w:r w:rsidRPr="001A1D3A">
              <w:rPr>
                <w:rStyle w:val="eop"/>
              </w:rPr>
              <w:t xml:space="preserve">pastatų </w:t>
            </w:r>
            <w:r>
              <w:rPr>
                <w:rStyle w:val="eop"/>
              </w:rPr>
              <w:t xml:space="preserve">atsparumą </w:t>
            </w:r>
            <w:r w:rsidRPr="001A1D3A">
              <w:rPr>
                <w:rStyle w:val="eop"/>
              </w:rPr>
              <w:t>klimato kaitos padarini</w:t>
            </w:r>
            <w:r>
              <w:rPr>
                <w:rStyle w:val="eop"/>
              </w:rPr>
              <w:t>ams; draudimo paslaugų skatinimas ir atsparumas; g</w:t>
            </w:r>
            <w:r w:rsidRPr="001A1D3A">
              <w:rPr>
                <w:rStyle w:val="eop"/>
              </w:rPr>
              <w:t>ėlo vandens prieinamum</w:t>
            </w:r>
            <w:r>
              <w:rPr>
                <w:rStyle w:val="eop"/>
              </w:rPr>
              <w:t>o</w:t>
            </w:r>
            <w:r w:rsidRPr="001A1D3A">
              <w:rPr>
                <w:rStyle w:val="eop"/>
              </w:rPr>
              <w:t xml:space="preserve"> ir tvar</w:t>
            </w:r>
            <w:r>
              <w:rPr>
                <w:rStyle w:val="eop"/>
              </w:rPr>
              <w:t>aus</w:t>
            </w:r>
            <w:r w:rsidRPr="001A1D3A">
              <w:rPr>
                <w:rStyle w:val="eop"/>
              </w:rPr>
              <w:t xml:space="preserve"> tiekim</w:t>
            </w:r>
            <w:r>
              <w:rPr>
                <w:rStyle w:val="eop"/>
              </w:rPr>
              <w:t>o užtikrinimas, vandens naudojimo mažinimas, kokybės gerinimas;</w:t>
            </w:r>
          </w:p>
          <w:p w14:paraId="0B927860" w14:textId="619E0603" w:rsidR="00320C48" w:rsidRDefault="00320C48" w:rsidP="00320C48">
            <w:pPr>
              <w:pStyle w:val="Default"/>
              <w:jc w:val="both"/>
              <w:rPr>
                <w:rStyle w:val="eop"/>
              </w:rPr>
            </w:pPr>
            <w:r>
              <w:rPr>
                <w:rStyle w:val="eop"/>
              </w:rPr>
              <w:t xml:space="preserve">3. </w:t>
            </w:r>
            <w:proofErr w:type="spellStart"/>
            <w:r w:rsidRPr="002C45E5">
              <w:rPr>
                <w:rStyle w:val="eop"/>
              </w:rPr>
              <w:t>sistemingesnį</w:t>
            </w:r>
            <w:proofErr w:type="spellEnd"/>
            <w:r>
              <w:rPr>
                <w:rStyle w:val="eop"/>
              </w:rPr>
              <w:t>, t. y.,</w:t>
            </w:r>
            <w:r w:rsidRPr="002C45E5">
              <w:rPr>
                <w:rStyle w:val="eop"/>
              </w:rPr>
              <w:t xml:space="preserve"> </w:t>
            </w:r>
            <w:r w:rsidRPr="00262FB0">
              <w:rPr>
                <w:rStyle w:val="eop"/>
              </w:rPr>
              <w:t>prisitaikymo veiksm</w:t>
            </w:r>
            <w:r>
              <w:rPr>
                <w:rStyle w:val="eop"/>
              </w:rPr>
              <w:t xml:space="preserve">ai turi būti </w:t>
            </w:r>
            <w:r w:rsidRPr="00262FB0">
              <w:rPr>
                <w:rStyle w:val="eop"/>
              </w:rPr>
              <w:t>įgyvendina</w:t>
            </w:r>
            <w:r>
              <w:rPr>
                <w:rStyle w:val="eop"/>
              </w:rPr>
              <w:t>mi</w:t>
            </w:r>
            <w:r w:rsidRPr="00262FB0">
              <w:rPr>
                <w:rStyle w:val="eop"/>
              </w:rPr>
              <w:t xml:space="preserve"> kartu su kitomis Europos žaliojo kurso iniciatyvomis</w:t>
            </w:r>
            <w:r>
              <w:rPr>
                <w:rStyle w:val="eop"/>
              </w:rPr>
              <w:t xml:space="preserve"> (B</w:t>
            </w:r>
            <w:r w:rsidRPr="00262FB0">
              <w:rPr>
                <w:rStyle w:val="eop"/>
              </w:rPr>
              <w:t xml:space="preserve">iologinės įvairovės strategija, Renovacijos banga, </w:t>
            </w:r>
            <w:r>
              <w:rPr>
                <w:rStyle w:val="eop"/>
              </w:rPr>
              <w:t>S</w:t>
            </w:r>
            <w:r w:rsidRPr="00262FB0">
              <w:rPr>
                <w:rStyle w:val="eop"/>
              </w:rPr>
              <w:t>trategija Nuo ūkio iki stalo</w:t>
            </w:r>
            <w:r>
              <w:rPr>
                <w:rStyle w:val="eop"/>
              </w:rPr>
              <w:t>); v</w:t>
            </w:r>
            <w:r w:rsidRPr="00DD68A4">
              <w:rPr>
                <w:rStyle w:val="eop"/>
              </w:rPr>
              <w:t>is</w:t>
            </w:r>
            <w:r>
              <w:rPr>
                <w:rStyle w:val="eop"/>
              </w:rPr>
              <w:t xml:space="preserve">uose </w:t>
            </w:r>
            <w:r w:rsidRPr="00DD68A4">
              <w:rPr>
                <w:rStyle w:val="eop"/>
              </w:rPr>
              <w:t>lyg</w:t>
            </w:r>
            <w:r>
              <w:rPr>
                <w:rStyle w:val="eop"/>
              </w:rPr>
              <w:t>iuose</w:t>
            </w:r>
            <w:r w:rsidRPr="00DD68A4">
              <w:rPr>
                <w:rStyle w:val="eop"/>
              </w:rPr>
              <w:t xml:space="preserve"> rengiamos prisitaikymo strategijos turi būti veiksmingos ir pagrįstos</w:t>
            </w:r>
            <w:r>
              <w:rPr>
                <w:rStyle w:val="eop"/>
              </w:rPr>
              <w:t xml:space="preserve"> </w:t>
            </w:r>
            <w:r w:rsidRPr="00DD68A4">
              <w:rPr>
                <w:rStyle w:val="eop"/>
              </w:rPr>
              <w:t>naujausiais moksliniais duomenimis</w:t>
            </w:r>
            <w:r>
              <w:rPr>
                <w:rStyle w:val="eop"/>
              </w:rPr>
              <w:t xml:space="preserve">; </w:t>
            </w:r>
            <w:proofErr w:type="spellStart"/>
            <w:r w:rsidRPr="00DD68A4">
              <w:rPr>
                <w:rStyle w:val="eop"/>
              </w:rPr>
              <w:t>stebėsen</w:t>
            </w:r>
            <w:r>
              <w:rPr>
                <w:rStyle w:val="eop"/>
              </w:rPr>
              <w:t>os</w:t>
            </w:r>
            <w:proofErr w:type="spellEnd"/>
            <w:r>
              <w:rPr>
                <w:rStyle w:val="eop"/>
              </w:rPr>
              <w:t xml:space="preserve"> vaidmens didėjimas; prisitaikymo svarba, ypač vietos lygmeniu, </w:t>
            </w:r>
            <w:r w:rsidR="007F0DC4">
              <w:rPr>
                <w:rStyle w:val="eop"/>
              </w:rPr>
              <w:t xml:space="preserve">ir </w:t>
            </w:r>
            <w:r>
              <w:rPr>
                <w:rStyle w:val="eop"/>
              </w:rPr>
              <w:t>tinkama ES parama; a</w:t>
            </w:r>
            <w:r w:rsidRPr="001A1D3A">
              <w:rPr>
                <w:rStyle w:val="eop"/>
              </w:rPr>
              <w:t>tsparumo klimato kaitai integr</w:t>
            </w:r>
            <w:r>
              <w:rPr>
                <w:rStyle w:val="eop"/>
              </w:rPr>
              <w:t>avimas</w:t>
            </w:r>
            <w:r w:rsidRPr="001A1D3A">
              <w:rPr>
                <w:rStyle w:val="eop"/>
              </w:rPr>
              <w:t xml:space="preserve"> į nacionalines fiskalines sistemas</w:t>
            </w:r>
            <w:r>
              <w:rPr>
                <w:rStyle w:val="eop"/>
              </w:rPr>
              <w:t xml:space="preserve">; </w:t>
            </w:r>
            <w:proofErr w:type="spellStart"/>
            <w:r>
              <w:rPr>
                <w:rStyle w:val="eop"/>
              </w:rPr>
              <w:t>makrofiskalin</w:t>
            </w:r>
            <w:r w:rsidR="007F0DC4">
              <w:rPr>
                <w:rStyle w:val="eop"/>
              </w:rPr>
              <w:t>io</w:t>
            </w:r>
            <w:proofErr w:type="spellEnd"/>
            <w:r>
              <w:rPr>
                <w:rStyle w:val="eop"/>
              </w:rPr>
              <w:t xml:space="preserve"> atsparumo</w:t>
            </w:r>
            <w:r w:rsidRPr="001A1D3A">
              <w:rPr>
                <w:rStyle w:val="eop"/>
              </w:rPr>
              <w:t xml:space="preserve"> užtikr</w:t>
            </w:r>
            <w:r>
              <w:rPr>
                <w:rStyle w:val="eop"/>
              </w:rPr>
              <w:t xml:space="preserve">inimas, </w:t>
            </w:r>
            <w:r w:rsidRPr="001A1D3A">
              <w:rPr>
                <w:rStyle w:val="eop"/>
              </w:rPr>
              <w:t>į ekonominę politiką įtrauk</w:t>
            </w:r>
            <w:r>
              <w:rPr>
                <w:rStyle w:val="eop"/>
              </w:rPr>
              <w:t>iant</w:t>
            </w:r>
            <w:r w:rsidRPr="001A1D3A">
              <w:rPr>
                <w:rStyle w:val="eop"/>
              </w:rPr>
              <w:t xml:space="preserve"> įvairius tikėtinus klimato kaitos scenarijus ir nelaimių rizikos valdym</w:t>
            </w:r>
            <w:r>
              <w:rPr>
                <w:rStyle w:val="eop"/>
              </w:rPr>
              <w:t>o išmanymas; g</w:t>
            </w:r>
            <w:r w:rsidRPr="001A1D3A">
              <w:rPr>
                <w:rStyle w:val="eop"/>
              </w:rPr>
              <w:t>amtos procesais pagrįstų prisitaikymo prie klimato kaitos sprendimų</w:t>
            </w:r>
            <w:r>
              <w:rPr>
                <w:rStyle w:val="eop"/>
              </w:rPr>
              <w:t xml:space="preserve"> </w:t>
            </w:r>
            <w:r w:rsidRPr="001A1D3A">
              <w:rPr>
                <w:rStyle w:val="eop"/>
              </w:rPr>
              <w:t>populiarinim</w:t>
            </w:r>
            <w:r>
              <w:rPr>
                <w:rStyle w:val="eop"/>
              </w:rPr>
              <w:t>as</w:t>
            </w:r>
            <w:r w:rsidR="007F0DC4">
              <w:rPr>
                <w:rStyle w:val="eop"/>
              </w:rPr>
              <w:t>. P</w:t>
            </w:r>
            <w:r w:rsidRPr="001A1D3A">
              <w:rPr>
                <w:rStyle w:val="eop"/>
              </w:rPr>
              <w:t xml:space="preserve">risitaikymas ir atsparumo didinimas </w:t>
            </w:r>
            <w:r>
              <w:rPr>
                <w:rStyle w:val="eop"/>
              </w:rPr>
              <w:t>–</w:t>
            </w:r>
            <w:r w:rsidRPr="001A1D3A">
              <w:rPr>
                <w:rStyle w:val="eop"/>
              </w:rPr>
              <w:t xml:space="preserve"> vieni iš uždavinių, kuriais grindžiamos ES ekonomikos gaivinimo po COVID-19 pandemijos pastangos</w:t>
            </w:r>
            <w:r>
              <w:rPr>
                <w:rStyle w:val="eop"/>
              </w:rPr>
              <w:t>;</w:t>
            </w:r>
          </w:p>
          <w:p w14:paraId="14B1A198" w14:textId="77777777" w:rsidR="007F0DC4" w:rsidRPr="00B43D47" w:rsidRDefault="00320C48" w:rsidP="00320C48">
            <w:pPr>
              <w:pStyle w:val="Default"/>
              <w:jc w:val="both"/>
              <w:rPr>
                <w:rStyle w:val="eop"/>
              </w:rPr>
            </w:pPr>
            <w:r>
              <w:rPr>
                <w:rStyle w:val="eop"/>
              </w:rPr>
              <w:t xml:space="preserve">4. </w:t>
            </w:r>
            <w:r w:rsidRPr="002C45E5">
              <w:rPr>
                <w:rStyle w:val="eop"/>
              </w:rPr>
              <w:t>sustiprinti tarptautinius veiksmus prisitaikant prie klimato kaitos</w:t>
            </w:r>
            <w:r>
              <w:rPr>
                <w:rStyle w:val="eop"/>
              </w:rPr>
              <w:t>, t</w:t>
            </w:r>
            <w:r w:rsidR="007F0DC4">
              <w:rPr>
                <w:rStyle w:val="eop"/>
              </w:rPr>
              <w:t>.</w:t>
            </w:r>
            <w:r>
              <w:rPr>
                <w:rStyle w:val="eop"/>
              </w:rPr>
              <w:t xml:space="preserve"> y., </w:t>
            </w:r>
            <w:r w:rsidRPr="009219D1">
              <w:rPr>
                <w:rStyle w:val="eop"/>
              </w:rPr>
              <w:t xml:space="preserve">prisitaikymo prie klimato kaitos užmojai turi atitikti </w:t>
            </w:r>
            <w:r>
              <w:rPr>
                <w:rStyle w:val="eop"/>
              </w:rPr>
              <w:t>ES</w:t>
            </w:r>
            <w:r w:rsidRPr="009219D1">
              <w:rPr>
                <w:rStyle w:val="eop"/>
              </w:rPr>
              <w:t xml:space="preserve"> pasaulinę iniciatyvą</w:t>
            </w:r>
            <w:r>
              <w:rPr>
                <w:rStyle w:val="eop"/>
              </w:rPr>
              <w:t xml:space="preserve"> </w:t>
            </w:r>
            <w:r w:rsidRPr="009219D1">
              <w:rPr>
                <w:rStyle w:val="eop"/>
              </w:rPr>
              <w:t>klimato kaitos švelninimo srityje</w:t>
            </w:r>
            <w:r>
              <w:rPr>
                <w:rStyle w:val="eop"/>
              </w:rPr>
              <w:t xml:space="preserve">; </w:t>
            </w:r>
            <w:r w:rsidRPr="009219D1">
              <w:rPr>
                <w:rStyle w:val="eop"/>
              </w:rPr>
              <w:t xml:space="preserve">prisitaikymo </w:t>
            </w:r>
            <w:r w:rsidRPr="00B43D47">
              <w:rPr>
                <w:rStyle w:val="eop"/>
              </w:rPr>
              <w:t>metodų taikymas</w:t>
            </w:r>
            <w:r w:rsidR="007F0DC4" w:rsidRPr="00B43D47">
              <w:rPr>
                <w:rStyle w:val="eop"/>
              </w:rPr>
              <w:t xml:space="preserve"> įvairiuose lygiuose</w:t>
            </w:r>
            <w:r w:rsidRPr="00B43D47">
              <w:rPr>
                <w:rStyle w:val="eop"/>
              </w:rPr>
              <w:t>;</w:t>
            </w:r>
            <w:r w:rsidRPr="00B43D47">
              <w:t xml:space="preserve"> </w:t>
            </w:r>
            <w:r w:rsidRPr="00B43D47">
              <w:rPr>
                <w:rStyle w:val="eop"/>
              </w:rPr>
              <w:t>tarptautin</w:t>
            </w:r>
            <w:r w:rsidR="007F0DC4" w:rsidRPr="00B43D47">
              <w:rPr>
                <w:rStyle w:val="eop"/>
              </w:rPr>
              <w:t>io</w:t>
            </w:r>
            <w:r w:rsidRPr="00B43D47">
              <w:rPr>
                <w:rStyle w:val="eop"/>
              </w:rPr>
              <w:t xml:space="preserve"> finansavimo, skirto stiprinti atsparumą klimato kaitai, didinimas;</w:t>
            </w:r>
            <w:r w:rsidRPr="00B43D47">
              <w:t xml:space="preserve"> </w:t>
            </w:r>
            <w:r w:rsidRPr="00B43D47">
              <w:rPr>
                <w:rStyle w:val="eop"/>
              </w:rPr>
              <w:t xml:space="preserve">visuotinė </w:t>
            </w:r>
            <w:proofErr w:type="spellStart"/>
            <w:r w:rsidRPr="00B43D47">
              <w:rPr>
                <w:rStyle w:val="eop"/>
              </w:rPr>
              <w:t>įtrauktis</w:t>
            </w:r>
            <w:proofErr w:type="spellEnd"/>
            <w:r w:rsidRPr="00B43D47">
              <w:rPr>
                <w:rStyle w:val="eop"/>
              </w:rPr>
              <w:t xml:space="preserve"> ir keitimasis informacija apie prisitaikymą</w:t>
            </w:r>
            <w:r w:rsidR="007F0DC4" w:rsidRPr="00B43D47">
              <w:rPr>
                <w:rStyle w:val="eop"/>
              </w:rPr>
              <w:t>.</w:t>
            </w:r>
          </w:p>
          <w:p w14:paraId="0D20A391" w14:textId="5EAFADF6" w:rsidR="00320C48" w:rsidRPr="00B43D47" w:rsidRDefault="00320C48" w:rsidP="00320C48">
            <w:pPr>
              <w:pStyle w:val="Default"/>
              <w:jc w:val="both"/>
              <w:rPr>
                <w:rStyle w:val="eop"/>
              </w:rPr>
            </w:pPr>
            <w:r w:rsidRPr="00B43D47">
              <w:rPr>
                <w:rStyle w:val="eop"/>
              </w:rPr>
              <w:t xml:space="preserve"> </w:t>
            </w:r>
          </w:p>
          <w:p w14:paraId="69304B50" w14:textId="7C56EA47" w:rsidR="00555468" w:rsidRPr="00B43D47" w:rsidRDefault="00320C48" w:rsidP="00320C48">
            <w:pPr>
              <w:pStyle w:val="Default"/>
              <w:jc w:val="both"/>
              <w:rPr>
                <w:rStyle w:val="eop"/>
              </w:rPr>
            </w:pPr>
            <w:r w:rsidRPr="00B43D47">
              <w:rPr>
                <w:rStyle w:val="eop"/>
              </w:rPr>
              <w:t>Politikos ciklas turi būti grindžiamas gilesnėmis žiniomis ir geresniais duomenimis</w:t>
            </w:r>
            <w:r w:rsidR="007F0DC4" w:rsidRPr="00B43D47">
              <w:rPr>
                <w:rStyle w:val="eop"/>
              </w:rPr>
              <w:t>,</w:t>
            </w:r>
            <w:r w:rsidRPr="00B43D47">
              <w:rPr>
                <w:rStyle w:val="eop"/>
              </w:rPr>
              <w:t xml:space="preserve"> visuose lygiuose turi būti remiamas politikos formavimas ir su klimatu susijusios rizikos valdymas</w:t>
            </w:r>
            <w:r w:rsidR="007F0DC4" w:rsidRPr="00B43D47">
              <w:rPr>
                <w:rStyle w:val="eop"/>
              </w:rPr>
              <w:t>,</w:t>
            </w:r>
            <w:r w:rsidRPr="00B43D47">
              <w:rPr>
                <w:rStyle w:val="eop"/>
              </w:rPr>
              <w:t xml:space="preserve"> sparčiau įgyvendinami prisitaikymo visose srityse veiksmai. </w:t>
            </w:r>
            <w:r w:rsidR="00555468" w:rsidRPr="00B43D47">
              <w:rPr>
                <w:rStyle w:val="eop"/>
              </w:rPr>
              <w:t xml:space="preserve">Šių tikslų bus siekiama tobulinant žinias apie </w:t>
            </w:r>
            <w:r w:rsidR="00555468" w:rsidRPr="00B43D47">
              <w:rPr>
                <w:rStyle w:val="eop"/>
              </w:rPr>
              <w:lastRenderedPageBreak/>
              <w:t>klimato kaitos poveikį, prisitaikymo planavimą ir klimato rizikos vertinimą ir padedant stiprinti atsparumą klimato kaitai visame pasaulyje.</w:t>
            </w:r>
          </w:p>
          <w:p w14:paraId="7CC626FB" w14:textId="77777777" w:rsidR="00555468" w:rsidRPr="00B43D47" w:rsidRDefault="00555468" w:rsidP="000567B2">
            <w:pPr>
              <w:pStyle w:val="Default"/>
              <w:jc w:val="both"/>
              <w:rPr>
                <w:rStyle w:val="eop"/>
              </w:rPr>
            </w:pPr>
          </w:p>
          <w:p w14:paraId="58D2731A" w14:textId="77777777" w:rsidR="00555468" w:rsidRPr="00B43D47" w:rsidRDefault="00555468" w:rsidP="000567B2">
            <w:pPr>
              <w:pStyle w:val="NormalWeb"/>
              <w:spacing w:before="0" w:beforeAutospacing="0" w:after="0" w:afterAutospacing="0"/>
              <w:jc w:val="both"/>
              <w:rPr>
                <w:i/>
                <w:color w:val="000000"/>
              </w:rPr>
            </w:pPr>
            <w:r w:rsidRPr="00B43D47">
              <w:rPr>
                <w:b/>
                <w:i/>
                <w:color w:val="000000"/>
              </w:rPr>
              <w:t>Aplinkos taryboje ministrai pasikeis nuomonėmis dėl ES Prisitaikymo prie klimato kaitos strategijos pagal ES pirmininkaujančios Portugalijos pateiktus diskusinius klausimus</w:t>
            </w:r>
            <w:r w:rsidRPr="00B43D47">
              <w:rPr>
                <w:i/>
                <w:color w:val="000000"/>
              </w:rPr>
              <w:t>:</w:t>
            </w:r>
          </w:p>
          <w:p w14:paraId="1C969978" w14:textId="77777777" w:rsidR="00555468" w:rsidRPr="00B43D47" w:rsidRDefault="00555468" w:rsidP="000567B2">
            <w:pPr>
              <w:pStyle w:val="Default"/>
              <w:jc w:val="both"/>
              <w:rPr>
                <w:rFonts w:ascii="Times New Roman" w:hAnsi="Times New Roman" w:cs="Times New Roman"/>
                <w:i/>
              </w:rPr>
            </w:pPr>
            <w:r w:rsidRPr="00B43D47">
              <w:rPr>
                <w:rFonts w:ascii="Times New Roman" w:hAnsi="Times New Roman" w:cs="Times New Roman"/>
                <w:i/>
              </w:rPr>
              <w:t>1. Kurie naujosios ES pritaikymo prie klimato kaitos strategijos elementai yra aktualiausi, siekiant paskatinti pritaikymą ir padidinti atsparumą jūsų šalyje ir taip pat prisidėti prie ES lygmens paramos vietos veiksmams?</w:t>
            </w:r>
          </w:p>
          <w:p w14:paraId="588A4F15" w14:textId="77777777" w:rsidR="00555468" w:rsidRPr="00B43D47" w:rsidRDefault="00555468" w:rsidP="000567B2">
            <w:pPr>
              <w:pStyle w:val="Default"/>
              <w:jc w:val="both"/>
              <w:rPr>
                <w:rFonts w:ascii="Times New Roman" w:hAnsi="Times New Roman" w:cs="Times New Roman"/>
                <w:i/>
              </w:rPr>
            </w:pPr>
            <w:r w:rsidRPr="00B43D47">
              <w:rPr>
                <w:rFonts w:ascii="Times New Roman" w:hAnsi="Times New Roman" w:cs="Times New Roman"/>
                <w:i/>
              </w:rPr>
              <w:t>2. Kurias iš naujovių (pvz., Tarptautinis dėmesys; draudimas; finansinės ir ekonominės aplinkybės), pateiktų naujojoje ES prisitaikymo prie klimato kaitos strategijoje, laikytumėte labiausiai prisidedančiomis prie ES tapimo klimatui atsparia visuomene?</w:t>
            </w:r>
          </w:p>
          <w:p w14:paraId="4D08C533" w14:textId="77777777" w:rsidR="00555468" w:rsidRPr="00B43D47" w:rsidRDefault="00555468" w:rsidP="000567B2">
            <w:pPr>
              <w:jc w:val="both"/>
              <w:rPr>
                <w:color w:val="000000"/>
                <w:u w:val="single"/>
                <w:lang w:val="lt-LT"/>
              </w:rPr>
            </w:pPr>
          </w:p>
          <w:p w14:paraId="648216EF" w14:textId="77777777" w:rsidR="00555468" w:rsidRPr="00B43D47" w:rsidRDefault="00555468" w:rsidP="000567B2">
            <w:pPr>
              <w:jc w:val="both"/>
              <w:rPr>
                <w:b/>
                <w:color w:val="000000"/>
                <w:u w:val="single"/>
                <w:lang w:val="lt-LT"/>
              </w:rPr>
            </w:pPr>
            <w:r w:rsidRPr="00B43D47">
              <w:rPr>
                <w:b/>
                <w:color w:val="000000"/>
                <w:u w:val="single"/>
                <w:lang w:val="lt-LT"/>
              </w:rPr>
              <w:t>Lietuvos pozicija.</w:t>
            </w:r>
          </w:p>
          <w:p w14:paraId="6DB6ADC2" w14:textId="77777777" w:rsidR="008224F6" w:rsidRPr="00B43D47" w:rsidRDefault="008224F6" w:rsidP="000567B2">
            <w:pPr>
              <w:jc w:val="both"/>
              <w:rPr>
                <w:color w:val="000000"/>
                <w:u w:val="single"/>
                <w:lang w:val="lt-LT"/>
              </w:rPr>
            </w:pPr>
          </w:p>
          <w:p w14:paraId="1434CAA3" w14:textId="77777777" w:rsidR="008224F6"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 xml:space="preserve">Lietuva sveikina naująją ES prisitaikymo prie klimato kaitos strategiją. Pritariame, kad prisitaikymas prie klimato kaitos turi būti išmanesnis, greitesnis ir sistemingesnis bei sustiprintas tarptautinis bendradarbiavimas prisitaikymo klausimais. </w:t>
            </w:r>
          </w:p>
          <w:p w14:paraId="484E9D11"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0AEC6474"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 xml:space="preserve">Prisitaikymas prie klimato kaitos privalo būti integruotas į visus ekonomikos sektorius. Būtina didinti visuomenės įsitraukimą, nes tai leis didinti atsparumą ir patirti kuo mažesnius klimato kaitos padarinių nuostolius ir padaromą žalą. Sprendimai turi būti priimami remiantis žiniomis ir duomenimis, įvertinant būsimą žalą ir pritaikant prisitaikymo prie klimato kaitos priemones. Pažanga būtina prisitaikymo prie klimato kaitos modeliavimo, rizikos vertinimo ir valdymo priemonių, nelaimių rizikos prevencijos ir mažinimo srityse, užtikrinant </w:t>
            </w:r>
            <w:proofErr w:type="spellStart"/>
            <w:r w:rsidRPr="00B43D47">
              <w:rPr>
                <w:rStyle w:val="normaltextrun"/>
                <w:lang w:val="lt-LT"/>
              </w:rPr>
              <w:t>makrofiskalinį</w:t>
            </w:r>
            <w:proofErr w:type="spellEnd"/>
            <w:r w:rsidRPr="00B43D47">
              <w:rPr>
                <w:rStyle w:val="normaltextrun"/>
                <w:lang w:val="lt-LT"/>
              </w:rPr>
              <w:t xml:space="preserve"> atsparumą.</w:t>
            </w:r>
          </w:p>
          <w:p w14:paraId="29D6705D"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22A1586F"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Lietuvos nuomone, į įgyvendinimo veiksmus aktyviau turi įsitraukti vietos valdžia. Parama prisitaikymui prie klimato kaitos planavimo ir įgyvendinimo veiksmams vietos lygmenyje turėtų būti teikiama per ES merų pakto paramos prisitaikymo veiksmams priemonę.</w:t>
            </w:r>
          </w:p>
          <w:p w14:paraId="22CA5A17"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47EEEDEF"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 xml:space="preserve">Turime užtikrinti ir gamtos procesais pagrįstų sprendimų taikymą, įgyvendinant mėlynosios ir žaliosios </w:t>
            </w:r>
            <w:r w:rsidRPr="00B43D47">
              <w:rPr>
                <w:rStyle w:val="normaltextrun"/>
                <w:i/>
                <w:lang w:val="lt-LT"/>
              </w:rPr>
              <w:t>[priešingai nei pilkosios]</w:t>
            </w:r>
            <w:r w:rsidRPr="00B43D47">
              <w:rPr>
                <w:rStyle w:val="normaltextrun"/>
                <w:lang w:val="lt-LT"/>
              </w:rPr>
              <w:t xml:space="preserve"> infrastruktūros priemones, kurios didina atsparumą klimato kaitai ir prisideda prie Žaliojo kurso tikslų.</w:t>
            </w:r>
          </w:p>
          <w:p w14:paraId="342AD1E7"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69C349DB" w14:textId="762250DA"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Atsižvelgiant į ES prisitaikymo strategiją</w:t>
            </w:r>
            <w:r w:rsidR="008224F6" w:rsidRPr="00B43D47">
              <w:rPr>
                <w:rStyle w:val="normaltextrun"/>
                <w:lang w:val="lt-LT"/>
              </w:rPr>
              <w:t>,</w:t>
            </w:r>
            <w:r w:rsidRPr="00B43D47">
              <w:rPr>
                <w:rStyle w:val="normaltextrun"/>
                <w:lang w:val="lt-LT"/>
              </w:rPr>
              <w:t xml:space="preserve"> šiuo metu </w:t>
            </w:r>
            <w:r w:rsidR="005F7E15" w:rsidRPr="00B43D47">
              <w:rPr>
                <w:rStyle w:val="normaltextrun"/>
                <w:lang w:val="lt-LT"/>
              </w:rPr>
              <w:t xml:space="preserve">atnaujinamos </w:t>
            </w:r>
            <w:r w:rsidRPr="00B43D47">
              <w:rPr>
                <w:rStyle w:val="normaltextrun"/>
                <w:lang w:val="lt-LT"/>
              </w:rPr>
              <w:t>nacionalin</w:t>
            </w:r>
            <w:r w:rsidR="005F7E15" w:rsidRPr="00B43D47">
              <w:rPr>
                <w:rStyle w:val="normaltextrun"/>
                <w:lang w:val="lt-LT"/>
              </w:rPr>
              <w:t>ės klimato kaitos darbotvarkės</w:t>
            </w:r>
            <w:r w:rsidRPr="00B43D47">
              <w:rPr>
                <w:rStyle w:val="normaltextrun"/>
                <w:lang w:val="lt-LT"/>
              </w:rPr>
              <w:t xml:space="preserve"> prisitaikymo </w:t>
            </w:r>
            <w:r w:rsidR="005F7E15" w:rsidRPr="00B43D47">
              <w:rPr>
                <w:rStyle w:val="normaltextrun"/>
                <w:lang w:val="lt-LT"/>
              </w:rPr>
              <w:t xml:space="preserve">dalį </w:t>
            </w:r>
            <w:r w:rsidRPr="00B43D47">
              <w:rPr>
                <w:rStyle w:val="normaltextrun"/>
                <w:lang w:val="lt-LT"/>
              </w:rPr>
              <w:t xml:space="preserve">papildysime finansų, fiskalinės rizikos, </w:t>
            </w:r>
            <w:proofErr w:type="spellStart"/>
            <w:r w:rsidRPr="00B43D47">
              <w:rPr>
                <w:rStyle w:val="normaltextrun"/>
                <w:lang w:val="lt-LT"/>
              </w:rPr>
              <w:t>makrofiskalinio</w:t>
            </w:r>
            <w:proofErr w:type="spellEnd"/>
            <w:r w:rsidRPr="00B43D47">
              <w:rPr>
                <w:rStyle w:val="normaltextrun"/>
                <w:lang w:val="lt-LT"/>
              </w:rPr>
              <w:t xml:space="preserve"> atsparumo didinimo ir nelaimių rizikos valdymo aspektais. </w:t>
            </w:r>
          </w:p>
          <w:p w14:paraId="03F54695"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73A16471" w14:textId="2E8E9779"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 xml:space="preserve">Manome, kad </w:t>
            </w:r>
            <w:r w:rsidR="00580BA1">
              <w:rPr>
                <w:rStyle w:val="normaltextrun"/>
                <w:lang w:val="lt-LT"/>
              </w:rPr>
              <w:t>sektorinės</w:t>
            </w:r>
            <w:bookmarkStart w:id="0" w:name="_GoBack"/>
            <w:bookmarkEnd w:id="0"/>
            <w:r w:rsidR="005F7E15" w:rsidRPr="00B43D47">
              <w:rPr>
                <w:rStyle w:val="normaltextrun"/>
                <w:lang w:val="lt-LT"/>
              </w:rPr>
              <w:t xml:space="preserve"> </w:t>
            </w:r>
            <w:r w:rsidRPr="00B43D47">
              <w:rPr>
                <w:rStyle w:val="normaltextrun"/>
                <w:lang w:val="lt-LT"/>
              </w:rPr>
              <w:t xml:space="preserve">ES atsparumo klimato kaitai didinimo gairės, parengti nauji prisitaikymo sprendimų standartai ir kriterijai ypatingos svarbos infrastruktūros objektams, pastatų statybai ir renovacijai bei daugelis kitų įrankių taip pat prisidėtų prie atsparumo didinimo. </w:t>
            </w:r>
          </w:p>
          <w:p w14:paraId="11974A99" w14:textId="77777777" w:rsidR="008224F6"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p>
          <w:p w14:paraId="741599AF" w14:textId="051F2BF3" w:rsidR="00555468" w:rsidRPr="00B43D47" w:rsidRDefault="008224F6"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rmaltextrun"/>
                <w:lang w:val="lt-LT"/>
              </w:rPr>
            </w:pPr>
            <w:r w:rsidRPr="00B43D47">
              <w:rPr>
                <w:rStyle w:val="normaltextrun"/>
                <w:lang w:val="lt-LT"/>
              </w:rPr>
              <w:t>D</w:t>
            </w:r>
            <w:r w:rsidR="00555468" w:rsidRPr="00B43D47">
              <w:rPr>
                <w:rStyle w:val="normaltextrun"/>
                <w:lang w:val="lt-LT"/>
              </w:rPr>
              <w:t>idel</w:t>
            </w:r>
            <w:r w:rsidRPr="00B43D47">
              <w:rPr>
                <w:rStyle w:val="normaltextrun"/>
                <w:lang w:val="lt-LT"/>
              </w:rPr>
              <w:t>iu iššūkiu</w:t>
            </w:r>
            <w:r w:rsidR="00555468" w:rsidRPr="00B43D47">
              <w:rPr>
                <w:rStyle w:val="normaltextrun"/>
                <w:lang w:val="lt-LT"/>
              </w:rPr>
              <w:t xml:space="preserve"> matome finansinių išteklių subalansavimą tarp </w:t>
            </w:r>
            <w:r w:rsidR="005F7E15" w:rsidRPr="00B43D47">
              <w:rPr>
                <w:rStyle w:val="normaltextrun"/>
                <w:lang w:val="lt-LT"/>
              </w:rPr>
              <w:t xml:space="preserve">ambicingų </w:t>
            </w:r>
            <w:r w:rsidR="00555468" w:rsidRPr="00B43D47">
              <w:rPr>
                <w:rStyle w:val="normaltextrun"/>
                <w:lang w:val="lt-LT"/>
              </w:rPr>
              <w:t>klimato kaitos švelninimo tikslų ir prisitaikymo prie klimato kaitos tiksl</w:t>
            </w:r>
            <w:r w:rsidR="005F7E15" w:rsidRPr="00B43D47">
              <w:rPr>
                <w:rStyle w:val="normaltextrun"/>
                <w:lang w:val="lt-LT"/>
              </w:rPr>
              <w:t>ų</w:t>
            </w:r>
            <w:r w:rsidR="00555468" w:rsidRPr="00B43D47">
              <w:rPr>
                <w:rStyle w:val="normaltextrun"/>
                <w:lang w:val="lt-LT"/>
              </w:rPr>
              <w:t xml:space="preserve"> ir uždavinių įgyvendinimo.</w:t>
            </w:r>
          </w:p>
          <w:p w14:paraId="7BB5C110" w14:textId="77777777" w:rsidR="00555468" w:rsidRPr="002C45E5"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6602035" w14:textId="77777777" w:rsidR="00555468" w:rsidRDefault="00555468" w:rsidP="00555468">
      <w:pPr>
        <w:jc w:val="both"/>
        <w:rPr>
          <w:b/>
          <w:bCs/>
          <w:caps/>
          <w:lang w:val="lt-LT"/>
        </w:rPr>
      </w:pPr>
    </w:p>
    <w:tbl>
      <w:tblPr>
        <w:tblStyle w:val="TableGrid"/>
        <w:tblW w:w="0" w:type="auto"/>
        <w:tblLook w:val="04A0" w:firstRow="1" w:lastRow="0" w:firstColumn="1" w:lastColumn="0" w:noHBand="0" w:noVBand="1"/>
      </w:tblPr>
      <w:tblGrid>
        <w:gridCol w:w="9853"/>
      </w:tblGrid>
      <w:tr w:rsidR="00555468" w:rsidRPr="002C45E5" w14:paraId="5EE8E9C6" w14:textId="77777777" w:rsidTr="000567B2">
        <w:tc>
          <w:tcPr>
            <w:tcW w:w="9853" w:type="dxa"/>
          </w:tcPr>
          <w:p w14:paraId="30C04841" w14:textId="77777777" w:rsidR="00555468" w:rsidRPr="002C45E5" w:rsidRDefault="00555468" w:rsidP="000567B2">
            <w:pPr>
              <w:rPr>
                <w:b/>
                <w:shd w:val="clear" w:color="auto" w:fill="FFFFFF"/>
                <w:lang w:val="lt-LT"/>
              </w:rPr>
            </w:pPr>
            <w:r w:rsidRPr="002C45E5">
              <w:rPr>
                <w:b/>
                <w:lang w:val="lt-LT"/>
              </w:rPr>
              <w:t xml:space="preserve">2. </w:t>
            </w:r>
            <w:r w:rsidRPr="002C45E5">
              <w:rPr>
                <w:b/>
                <w:shd w:val="clear" w:color="auto" w:fill="FFFFFF"/>
                <w:lang w:val="lt-LT"/>
              </w:rPr>
              <w:t>Europos semestras:</w:t>
            </w:r>
          </w:p>
          <w:p w14:paraId="5BA0A587" w14:textId="77777777" w:rsidR="00555468" w:rsidRPr="002C45E5" w:rsidRDefault="00555468" w:rsidP="000567B2">
            <w:pPr>
              <w:rPr>
                <w:b/>
                <w:shd w:val="clear" w:color="auto" w:fill="FFFFFF"/>
                <w:lang w:val="lt-LT"/>
              </w:rPr>
            </w:pPr>
            <w:r w:rsidRPr="002C45E5">
              <w:rPr>
                <w:b/>
                <w:shd w:val="clear" w:color="auto" w:fill="FFFFFF"/>
                <w:lang w:val="lt-LT"/>
              </w:rPr>
              <w:t xml:space="preserve">a) Ekonomikos gaivinimo ir atsparumo planų vaidmuo Žaliosios pertvarkos kontekste </w:t>
            </w:r>
          </w:p>
          <w:p w14:paraId="3CFB038F" w14:textId="77777777" w:rsidR="00555468" w:rsidRPr="002C45E5" w:rsidRDefault="00555468" w:rsidP="000567B2">
            <w:pPr>
              <w:rPr>
                <w:b/>
                <w:shd w:val="clear" w:color="auto" w:fill="FFFFFF"/>
                <w:lang w:val="lt-LT"/>
              </w:rPr>
            </w:pPr>
            <w:r w:rsidRPr="002C45E5">
              <w:rPr>
                <w:b/>
                <w:shd w:val="clear" w:color="auto" w:fill="FFFFFF"/>
                <w:lang w:val="lt-LT"/>
              </w:rPr>
              <w:t xml:space="preserve">b) Europos semestro ateitis ekonomikos gaivinimo ir atsparumo priemonių ir Žaliosios pertvarkos kontekste. </w:t>
            </w:r>
          </w:p>
          <w:p w14:paraId="04C464C9" w14:textId="77777777" w:rsidR="00555468" w:rsidRDefault="00555468" w:rsidP="000567B2">
            <w:pPr>
              <w:pStyle w:val="Default"/>
              <w:rPr>
                <w:i/>
                <w:shd w:val="clear" w:color="auto" w:fill="FFFFFF"/>
              </w:rPr>
            </w:pPr>
            <w:r w:rsidRPr="002C45E5">
              <w:rPr>
                <w:i/>
                <w:shd w:val="clear" w:color="auto" w:fill="FFFFFF"/>
              </w:rPr>
              <w:t>- Apsikeitimas nuomonėmis</w:t>
            </w:r>
          </w:p>
          <w:p w14:paraId="7D5B32B5" w14:textId="77777777" w:rsidR="008224F6" w:rsidRPr="002C45E5" w:rsidRDefault="008224F6" w:rsidP="000567B2">
            <w:pPr>
              <w:pStyle w:val="Default"/>
              <w:rPr>
                <w:rFonts w:ascii="Times New Roman" w:hAnsi="Times New Roman" w:cs="Times New Roman"/>
                <w:i/>
              </w:rPr>
            </w:pPr>
          </w:p>
          <w:p w14:paraId="2EB532BB" w14:textId="77777777" w:rsidR="00555468" w:rsidRPr="002C45E5" w:rsidRDefault="00555468" w:rsidP="000567B2">
            <w:pPr>
              <w:pStyle w:val="Default"/>
              <w:rPr>
                <w:rFonts w:hAnsi="Times New Roman" w:cs="Times New Roman"/>
                <w:b/>
                <w:u w:val="single"/>
              </w:rPr>
            </w:pPr>
            <w:r w:rsidRPr="002C45E5">
              <w:rPr>
                <w:rFonts w:hAnsi="Times New Roman" w:cs="Times New Roman"/>
                <w:b/>
                <w:u w:val="single"/>
              </w:rPr>
              <w:t>Klausimo esm</w:t>
            </w:r>
            <w:r w:rsidRPr="002C45E5">
              <w:rPr>
                <w:rFonts w:hAnsi="Times New Roman" w:cs="Times New Roman"/>
                <w:b/>
                <w:u w:val="single"/>
              </w:rPr>
              <w:t>ė</w:t>
            </w:r>
            <w:r w:rsidRPr="002C45E5">
              <w:rPr>
                <w:rFonts w:hAnsi="Times New Roman" w:cs="Times New Roman"/>
                <w:b/>
                <w:u w:val="single"/>
              </w:rPr>
              <w:t>.</w:t>
            </w:r>
          </w:p>
          <w:p w14:paraId="7867F5D7" w14:textId="15A23ACF" w:rsidR="00555468" w:rsidRPr="002C45E5" w:rsidRDefault="00555468" w:rsidP="000567B2">
            <w:pPr>
              <w:pStyle w:val="NormalWeb"/>
              <w:jc w:val="both"/>
              <w:rPr>
                <w:color w:val="000000"/>
              </w:rPr>
            </w:pPr>
            <w:r w:rsidRPr="002C45E5">
              <w:rPr>
                <w:color w:val="000000"/>
              </w:rPr>
              <w:lastRenderedPageBreak/>
              <w:t>COVID-19 pandemijos neigiamas poveikis reikalauja skubaus ir koordinuoto atsako siekiant spręsti sveikatos, ekonomikos ir socialinius iššūkius. Europos semestras yra pagrindinis instrumentas leidžiantis koordinuoti ekonomikos politiką ES. 2021 m. Metinė darnaus augimo apžvalga pradėjo naują Europos semestro ciklą ir nustatė strategines gaires Ekonomikos gaivinimo ir atsparumo didinimo priemonių (RRF) įgyvendinimui. Nacionalinių Ekonomikos gaivinimo ir atsparumo didinimo planų vertinimas remsis šalims skirtų rekomendacij</w:t>
            </w:r>
            <w:r w:rsidR="00962532">
              <w:rPr>
                <w:color w:val="000000"/>
              </w:rPr>
              <w:t>ų</w:t>
            </w:r>
            <w:r w:rsidRPr="002C45E5">
              <w:rPr>
                <w:color w:val="000000"/>
              </w:rPr>
              <w:t xml:space="preserve"> (CSR) įgyvendinimu.  </w:t>
            </w:r>
          </w:p>
          <w:p w14:paraId="474F2501" w14:textId="77777777" w:rsidR="00555468" w:rsidRPr="002C45E5" w:rsidRDefault="00555468" w:rsidP="000567B2">
            <w:pPr>
              <w:pStyle w:val="NormalWeb"/>
              <w:spacing w:before="0" w:beforeAutospacing="0" w:after="0" w:afterAutospacing="0"/>
              <w:jc w:val="both"/>
              <w:rPr>
                <w:color w:val="000000"/>
              </w:rPr>
            </w:pPr>
            <w:r w:rsidRPr="002C45E5">
              <w:rPr>
                <w:color w:val="000000"/>
              </w:rPr>
              <w:t xml:space="preserve">Viena iš esminių krypčių, su kuria sietiniems veiksmams numatyta skirti net 37 proc. visų Nacionaliniuose ekonomikos gaivinimo ir atsparumo didinimo planuose numatytų lėšų yra klimato kaita. Šios srities finansavimas turėtų efektyviai prisidėti prie Žaliosios pertvarkos priemonių įgyvendinimo. Valstybės narės raginamos pristatyti reformas, priemones ir investicijas, kuriomis bus siekiama vystyti iniciatyvas atsinaujinančios energetikos, darnaus </w:t>
            </w:r>
            <w:proofErr w:type="spellStart"/>
            <w:r w:rsidRPr="002C45E5">
              <w:rPr>
                <w:color w:val="000000"/>
              </w:rPr>
              <w:t>judumo</w:t>
            </w:r>
            <w:proofErr w:type="spellEnd"/>
            <w:r w:rsidRPr="002C45E5">
              <w:rPr>
                <w:color w:val="000000"/>
              </w:rPr>
              <w:t>, žiedinės ekonomikos, pastatų energetinio efektyvumo didinimo, aplinkos infrastruktūros, bioįvairovės išsaugojimo ir atkūrimo srityse. Visos siūlomos reformos turėtų vadovautis „nedaryti reikšmingos žalos aplinkos ir klimato kaitos tikslams“ principu.</w:t>
            </w:r>
          </w:p>
          <w:p w14:paraId="424B606B" w14:textId="77777777" w:rsidR="00555468" w:rsidRPr="002C45E5" w:rsidRDefault="00555468" w:rsidP="000567B2">
            <w:pPr>
              <w:pStyle w:val="NormalWeb"/>
              <w:spacing w:before="0" w:beforeAutospacing="0" w:after="0" w:afterAutospacing="0"/>
              <w:jc w:val="both"/>
              <w:rPr>
                <w:color w:val="000000"/>
              </w:rPr>
            </w:pPr>
          </w:p>
          <w:p w14:paraId="60BEC688" w14:textId="77777777" w:rsidR="00555468" w:rsidRPr="002C45E5" w:rsidRDefault="00555468" w:rsidP="000567B2">
            <w:pPr>
              <w:pStyle w:val="NormalWeb"/>
              <w:spacing w:before="0" w:beforeAutospacing="0" w:after="0" w:afterAutospacing="0"/>
              <w:jc w:val="both"/>
              <w:rPr>
                <w:b/>
                <w:i/>
                <w:color w:val="000000"/>
              </w:rPr>
            </w:pPr>
            <w:r w:rsidRPr="002C45E5">
              <w:rPr>
                <w:b/>
                <w:i/>
                <w:color w:val="000000"/>
              </w:rPr>
              <w:t>Aplinkos taryboje ministrai pasikeis nuomonėmis dėl Europos semestro pagal ES pirmininkaujančios Portugalijos pateiktus diskusinius klausimus</w:t>
            </w:r>
            <w:r>
              <w:rPr>
                <w:b/>
                <w:i/>
                <w:color w:val="000000"/>
              </w:rPr>
              <w:t>:</w:t>
            </w:r>
          </w:p>
          <w:p w14:paraId="11D32B32" w14:textId="77777777" w:rsidR="00555468" w:rsidRPr="002C45E5" w:rsidRDefault="00555468" w:rsidP="000567B2">
            <w:pPr>
              <w:jc w:val="both"/>
              <w:rPr>
                <w:lang w:val="lt-LT"/>
              </w:rPr>
            </w:pPr>
            <w:r w:rsidRPr="002C45E5">
              <w:rPr>
                <w:i/>
                <w:lang w:val="lt-LT"/>
              </w:rPr>
              <w:t xml:space="preserve">1. Ar Ekonomikos gaivinimo ir atsparumo didinimo planų įgyvendinimas užtikrins Žaliąją pertvarką? Kaip dar būtų galima šiuos planus sustipinti (ypač galvojant apie daugiametę finansinė programą)?  </w:t>
            </w:r>
          </w:p>
          <w:p w14:paraId="6D2CE432" w14:textId="77777777" w:rsidR="00555468" w:rsidRPr="002C45E5" w:rsidRDefault="00555468" w:rsidP="000567B2">
            <w:pPr>
              <w:jc w:val="both"/>
              <w:rPr>
                <w:lang w:val="lt-LT"/>
              </w:rPr>
            </w:pPr>
            <w:r w:rsidRPr="002C45E5">
              <w:rPr>
                <w:i/>
                <w:lang w:val="lt-LT"/>
              </w:rPr>
              <w:t>2. Kokia</w:t>
            </w:r>
            <w:r w:rsidR="005A381E">
              <w:rPr>
                <w:i/>
                <w:lang w:val="lt-LT"/>
              </w:rPr>
              <w:t>is principais turėtų vadovautis</w:t>
            </w:r>
            <w:r w:rsidRPr="002C45E5">
              <w:rPr>
                <w:i/>
                <w:lang w:val="lt-LT"/>
              </w:rPr>
              <w:t xml:space="preserve"> ši pertvarka ir kurie iš jų turėtų būtų prioritetiniai Europos semestrui?</w:t>
            </w:r>
          </w:p>
          <w:p w14:paraId="6E3B337E" w14:textId="77777777" w:rsidR="00555468" w:rsidRPr="002C45E5" w:rsidRDefault="00555468" w:rsidP="000567B2">
            <w:pPr>
              <w:rPr>
                <w:i/>
                <w:lang w:val="lt-LT"/>
              </w:rPr>
            </w:pPr>
            <w:r w:rsidRPr="002C45E5">
              <w:rPr>
                <w:i/>
                <w:lang w:val="lt-LT"/>
              </w:rPr>
              <w:t>3. Kokių dar veiksmų reikėtų imtis ateityje siekiant Europos semestro struktūrinio žalinimo?</w:t>
            </w:r>
          </w:p>
          <w:p w14:paraId="7033672D" w14:textId="77777777" w:rsidR="00555468" w:rsidRPr="002C45E5" w:rsidRDefault="00555468" w:rsidP="000567B2">
            <w:pPr>
              <w:pStyle w:val="Default"/>
              <w:rPr>
                <w:rFonts w:ascii="Times New Roman" w:hAnsi="Times New Roman" w:cs="Times New Roman"/>
              </w:rPr>
            </w:pPr>
          </w:p>
          <w:p w14:paraId="7F0A13AB" w14:textId="77777777" w:rsidR="00555468" w:rsidRPr="002C45E5" w:rsidRDefault="00555468" w:rsidP="000567B2">
            <w:pPr>
              <w:jc w:val="both"/>
              <w:rPr>
                <w:b/>
                <w:color w:val="000000"/>
                <w:u w:val="single"/>
                <w:lang w:val="lt-LT"/>
              </w:rPr>
            </w:pPr>
            <w:r w:rsidRPr="002C45E5">
              <w:rPr>
                <w:b/>
                <w:color w:val="000000"/>
                <w:u w:val="single"/>
                <w:lang w:val="lt-LT"/>
              </w:rPr>
              <w:t>Lietuvos pozicija.</w:t>
            </w:r>
          </w:p>
          <w:p w14:paraId="40A17DBC" w14:textId="77777777" w:rsidR="00555468"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0E615D75" w14:textId="77777777" w:rsidR="00555468"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277E1">
              <w:rPr>
                <w:lang w:val="lt-LT"/>
              </w:rPr>
              <w:t>Lietuvos nuomone</w:t>
            </w:r>
            <w:r>
              <w:rPr>
                <w:lang w:val="lt-LT"/>
              </w:rPr>
              <w:t>,</w:t>
            </w:r>
            <w:r w:rsidRPr="007277E1">
              <w:rPr>
                <w:lang w:val="lt-LT"/>
              </w:rPr>
              <w:t xml:space="preserve"> Europos semestras, kaip svarbiausias darnios ekonomikos politikos koordinavimo instrumentas</w:t>
            </w:r>
            <w:r>
              <w:rPr>
                <w:lang w:val="lt-LT"/>
              </w:rPr>
              <w:t>, privalo užtikrinti ilgalaikį</w:t>
            </w:r>
            <w:r w:rsidRPr="007277E1">
              <w:rPr>
                <w:lang w:val="lt-LT"/>
              </w:rPr>
              <w:t xml:space="preserve"> JT Darnaus vystymosi ir Žaliojo kurso  tikslų įgyvendinimą.</w:t>
            </w:r>
          </w:p>
          <w:p w14:paraId="484B01E8" w14:textId="77777777" w:rsidR="00555468" w:rsidRPr="007277E1"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00950829" w14:textId="77777777" w:rsidR="00555468"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B43D47">
              <w:rPr>
                <w:lang w:val="lt-LT"/>
              </w:rPr>
              <w:t>Mūsų nuomone, Ekonomikos gaivinimo ir atsparumo didinimo planai (RRP) yra svarbus trumpojo laikotarpio instrumentas, kuris, pasitelkiant investicijas ir reformas, suteiks postūmį įgyvendinti europinę ir nacionalinę žaliąją pertvarką, ypač siekiant klimato neutralumo tikslų. Manome, kad šių planų tikslus būtina sustiprinti įstatyminėmis reformomis, ypač aplinkosaugos mokesčių srityje, ir palaipsniui atsisakyti aplinkai žalingų subsidijų</w:t>
            </w:r>
            <w:r w:rsidR="00A037F1" w:rsidRPr="00B43D47">
              <w:rPr>
                <w:lang w:val="lt-LT"/>
              </w:rPr>
              <w:t>,</w:t>
            </w:r>
            <w:r w:rsidR="00A037F1" w:rsidRPr="00B43D47">
              <w:t xml:space="preserve"> </w:t>
            </w:r>
            <w:r w:rsidR="00A037F1" w:rsidRPr="00B43D47">
              <w:rPr>
                <w:lang w:val="lt-LT"/>
              </w:rPr>
              <w:t xml:space="preserve">ypač iškastiniam kurui. Šios pertvarkos turi vykti atidžiai </w:t>
            </w:r>
            <w:r w:rsidR="00AB62BB" w:rsidRPr="00B43D47">
              <w:rPr>
                <w:lang w:val="lt-LT"/>
              </w:rPr>
              <w:t xml:space="preserve">vertinant </w:t>
            </w:r>
            <w:proofErr w:type="spellStart"/>
            <w:r w:rsidR="00AB62BB" w:rsidRPr="00B43D47">
              <w:rPr>
                <w:lang w:val="lt-LT"/>
              </w:rPr>
              <w:t>socio-ekonominį</w:t>
            </w:r>
            <w:proofErr w:type="spellEnd"/>
            <w:r w:rsidR="00AB62BB" w:rsidRPr="00B43D47">
              <w:rPr>
                <w:lang w:val="lt-LT"/>
              </w:rPr>
              <w:t xml:space="preserve"> poveikį, siekiant nepalikti nieko nuošalyje </w:t>
            </w:r>
            <w:r w:rsidR="00A037F1" w:rsidRPr="00B43D47">
              <w:rPr>
                <w:lang w:val="lt-LT"/>
              </w:rPr>
              <w:t>ir sprendžiant energetinio skurdo problemą. Taip pat svarbu daug dėmesio skirti visuomenės informavimui</w:t>
            </w:r>
            <w:r w:rsidR="00A037F1" w:rsidRPr="00A037F1">
              <w:rPr>
                <w:lang w:val="lt-LT"/>
              </w:rPr>
              <w:t>, siekiant elgesio pokyčių</w:t>
            </w:r>
            <w:r w:rsidR="00A037F1">
              <w:rPr>
                <w:lang w:val="lt-LT"/>
              </w:rPr>
              <w:t>,</w:t>
            </w:r>
            <w:r w:rsidR="00A037F1" w:rsidRPr="00A037F1">
              <w:rPr>
                <w:lang w:val="lt-LT"/>
              </w:rPr>
              <w:t xml:space="preserve"> </w:t>
            </w:r>
            <w:r w:rsidR="00A037F1">
              <w:rPr>
                <w:lang w:val="lt-LT"/>
              </w:rPr>
              <w:t>pirmiausia</w:t>
            </w:r>
            <w:r w:rsidR="00A037F1" w:rsidRPr="00A037F1">
              <w:rPr>
                <w:lang w:val="lt-LT"/>
              </w:rPr>
              <w:t xml:space="preserve"> kalb</w:t>
            </w:r>
            <w:r w:rsidR="00A037F1">
              <w:rPr>
                <w:lang w:val="lt-LT"/>
              </w:rPr>
              <w:t>ėti</w:t>
            </w:r>
            <w:r w:rsidR="00A037F1" w:rsidRPr="00A037F1">
              <w:rPr>
                <w:lang w:val="lt-LT"/>
              </w:rPr>
              <w:t xml:space="preserve"> apie tausų energijos vartojimą.</w:t>
            </w:r>
          </w:p>
          <w:p w14:paraId="7066CF6E" w14:textId="77777777" w:rsidR="00555468" w:rsidRPr="007277E1"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33309431" w14:textId="56096D46"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277E1">
              <w:rPr>
                <w:lang w:val="lt-LT"/>
              </w:rPr>
              <w:t xml:space="preserve">Ilguoju laikotarpiu, </w:t>
            </w:r>
            <w:r w:rsidRPr="00AB62BB">
              <w:rPr>
                <w:lang w:val="lt-LT"/>
              </w:rPr>
              <w:t>suderin</w:t>
            </w:r>
            <w:r w:rsidR="00962532">
              <w:rPr>
                <w:lang w:val="lt-LT"/>
              </w:rPr>
              <w:t>us</w:t>
            </w:r>
            <w:r w:rsidRPr="00AB62BB">
              <w:rPr>
                <w:lang w:val="lt-LT"/>
              </w:rPr>
              <w:t xml:space="preserve"> su RRP, Naujos daugiametės finansinės programos (</w:t>
            </w:r>
            <w:r w:rsidR="00A037F1" w:rsidRPr="00AB62BB">
              <w:rPr>
                <w:lang w:val="lt-LT"/>
              </w:rPr>
              <w:t>DPF</w:t>
            </w:r>
            <w:r w:rsidRPr="00AB62BB">
              <w:rPr>
                <w:lang w:val="lt-LT"/>
              </w:rPr>
              <w:t>) ir</w:t>
            </w:r>
            <w:r w:rsidRPr="007277E1">
              <w:rPr>
                <w:lang w:val="lt-LT"/>
              </w:rPr>
              <w:t xml:space="preserve"> „Naujosios karto</w:t>
            </w:r>
            <w:r>
              <w:rPr>
                <w:lang w:val="lt-LT"/>
              </w:rPr>
              <w:t xml:space="preserve">s ES“ finansiniai instrumentai </w:t>
            </w:r>
            <w:r w:rsidRPr="007277E1">
              <w:rPr>
                <w:lang w:val="lt-LT"/>
              </w:rPr>
              <w:t>turėtų papildyti ir pratęsti visų ekonomikos sektorių iškastinio kuro atsisakymą, pertvarkymą į klimatui neutralų, žiedinį ir atsparų klimato pokyčiams  vystymąsi</w:t>
            </w:r>
            <w:r w:rsidRPr="00B43D47">
              <w:rPr>
                <w:lang w:val="lt-LT"/>
              </w:rPr>
              <w:t>.</w:t>
            </w:r>
            <w:r w:rsidR="00A037F1" w:rsidRPr="00B43D47">
              <w:t xml:space="preserve"> </w:t>
            </w:r>
            <w:r w:rsidR="00A037F1" w:rsidRPr="00B43D47">
              <w:rPr>
                <w:lang w:val="lt-LT"/>
              </w:rPr>
              <w:t>Tarp RRP ir DFP programų ir priemonių turi būti užtikrinta sinergija ir papildomumas, siekiant išvengti investicijų dubliavimosi rizikos. Daugiau paskatų ir lėšų turi būti nukreipiama į socialinius pokyčius, siekiant įgalinti lygiavertį visų grupių dalyvavimą žaliojoje pertvarkoje ir prisidėjimą prie kovos su klimato kaita tikslų.</w:t>
            </w:r>
          </w:p>
          <w:p w14:paraId="69B1EA19"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696EBA2A" w14:textId="77777777" w:rsidR="00555468"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B43D47">
              <w:rPr>
                <w:lang w:val="lt-LT"/>
              </w:rPr>
              <w:t>Manome, kad Europos semestro prioritetiniai principai turėtų būti teisinga ir socialiai sąžininga, nieko nepaliekant nuošalyje, ekonomiškai efektyvi pertvarka, užtikrinanti energetinio skurdo, valstybių ir regionų socialinės atskirties mažinimą, kartu skatinant sanglaudą ir konvergenciją. Turime užtikrinti</w:t>
            </w:r>
            <w:r w:rsidRPr="007277E1">
              <w:rPr>
                <w:lang w:val="lt-LT"/>
              </w:rPr>
              <w:t xml:space="preserve"> „teršėjas moka“ ir „nedaryti reikšmingos žalos“ aplinkos tikslams principų </w:t>
            </w:r>
            <w:r w:rsidRPr="007277E1">
              <w:rPr>
                <w:lang w:val="lt-LT"/>
              </w:rPr>
              <w:lastRenderedPageBreak/>
              <w:t>įgyvendinimą, skatinti darnias investicijas ir viešojo sektoriaus lėšomis mobilizuoti privačias investicijas. Tačiau mums išlieka klausimas, kaip Komisija vertins valstybių narių RRP dėl „nedaryti reikšmingos žalos“ principo taikymo, kai dėl visų 6-ių Taksonomijos reglamento sričių darnumo rodikliai dar nepaskelbti ir nepatvirtinti?</w:t>
            </w:r>
          </w:p>
          <w:p w14:paraId="57E8CB7A"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18D2E894"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B43D47">
              <w:rPr>
                <w:lang w:val="lt-LT"/>
              </w:rPr>
              <w:t xml:space="preserve">Siekdami Europos semestro struktūrinio žalinimo, turime panaudoti visas įmanomas priemones ir įrankius: skatinti tyrimus ir </w:t>
            </w:r>
            <w:proofErr w:type="spellStart"/>
            <w:r w:rsidRPr="00B43D47">
              <w:rPr>
                <w:lang w:val="lt-LT"/>
              </w:rPr>
              <w:t>inovatyvių</w:t>
            </w:r>
            <w:proofErr w:type="spellEnd"/>
            <w:r w:rsidRPr="00B43D47">
              <w:rPr>
                <w:lang w:val="lt-LT"/>
              </w:rPr>
              <w:t xml:space="preserve"> technologijų diegimą visuose ekonomikos sektoriuose per žaliuosius viešuosius pirkimus, taikyti valstybės pagalbą, vykdyti skaitmeninimą, specialistų parengimą ir perkvalifikavimą naujai kuriamoms pramonės šakoms ir žaliosioms darbo vietoms ir kt.</w:t>
            </w:r>
          </w:p>
          <w:p w14:paraId="6E3146C3" w14:textId="77777777" w:rsidR="00555468" w:rsidRPr="00B43D47"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73748E3D" w14:textId="2BF6ACF1" w:rsidR="00555468"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B43D47">
              <w:rPr>
                <w:lang w:val="lt-LT"/>
              </w:rPr>
              <w:t>Siekiant visų</w:t>
            </w:r>
            <w:r w:rsidRPr="007277E1">
              <w:rPr>
                <w:lang w:val="lt-LT"/>
              </w:rPr>
              <w:t xml:space="preserve"> šių tikslų labai svarbu pagerinti valstybių narių pajėgumus panau</w:t>
            </w:r>
            <w:r w:rsidR="00962532">
              <w:rPr>
                <w:lang w:val="lt-LT"/>
              </w:rPr>
              <w:t>doti ES fondų lėšas nacionaliniu</w:t>
            </w:r>
            <w:r w:rsidRPr="007277E1">
              <w:rPr>
                <w:lang w:val="lt-LT"/>
              </w:rPr>
              <w:t xml:space="preserve"> lygiu.</w:t>
            </w:r>
          </w:p>
          <w:p w14:paraId="5981AD79" w14:textId="77777777" w:rsidR="003813A9" w:rsidRPr="002C45E5" w:rsidRDefault="003813A9"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285D4392" w14:textId="77777777" w:rsidR="00555468" w:rsidRPr="002C45E5" w:rsidRDefault="00555468" w:rsidP="00555468">
      <w:pPr>
        <w:jc w:val="both"/>
        <w:rPr>
          <w:b/>
          <w:bCs/>
          <w:caps/>
          <w:lang w:val="lt-LT"/>
        </w:rPr>
      </w:pPr>
    </w:p>
    <w:p w14:paraId="1CF60E6F" w14:textId="77777777" w:rsidR="003B32FC" w:rsidRPr="002C45E5" w:rsidRDefault="003B32FC">
      <w:pPr>
        <w:rPr>
          <w:lang w:val="lt-LT"/>
        </w:rPr>
      </w:pPr>
    </w:p>
    <w:tbl>
      <w:tblPr>
        <w:tblStyle w:val="TableGrid"/>
        <w:tblW w:w="0" w:type="auto"/>
        <w:tblLook w:val="04A0" w:firstRow="1" w:lastRow="0" w:firstColumn="1" w:lastColumn="0" w:noHBand="0" w:noVBand="1"/>
      </w:tblPr>
      <w:tblGrid>
        <w:gridCol w:w="9853"/>
      </w:tblGrid>
      <w:tr w:rsidR="00972BD8" w:rsidRPr="002C45E5" w14:paraId="34948C9B" w14:textId="77777777" w:rsidTr="00972BD8">
        <w:tc>
          <w:tcPr>
            <w:tcW w:w="9853" w:type="dxa"/>
          </w:tcPr>
          <w:p w14:paraId="26947C5C" w14:textId="77777777" w:rsidR="00A02006" w:rsidRPr="002C45E5" w:rsidRDefault="008224F6" w:rsidP="00A02006">
            <w:pPr>
              <w:pStyle w:val="Default"/>
              <w:rPr>
                <w:b/>
              </w:rPr>
            </w:pPr>
            <w:r>
              <w:rPr>
                <w:b/>
              </w:rPr>
              <w:t>3</w:t>
            </w:r>
            <w:r w:rsidR="00A02006" w:rsidRPr="002C45E5">
              <w:rPr>
                <w:b/>
              </w:rPr>
              <w:t>. Baterijų ir baterijų atliekų reglamentas</w:t>
            </w:r>
          </w:p>
          <w:p w14:paraId="2973AC91" w14:textId="77777777" w:rsidR="00972BD8" w:rsidRDefault="00A02006" w:rsidP="00A02006">
            <w:pPr>
              <w:pStyle w:val="BodyA"/>
              <w:rPr>
                <w:i/>
                <w:lang w:val="lt-LT"/>
              </w:rPr>
            </w:pPr>
            <w:r w:rsidRPr="002C45E5">
              <w:rPr>
                <w:i/>
                <w:lang w:val="lt-LT"/>
              </w:rPr>
              <w:t xml:space="preserve">- Politiniai debatai </w:t>
            </w:r>
          </w:p>
          <w:p w14:paraId="55AFF3AB" w14:textId="77777777" w:rsidR="008224F6" w:rsidRPr="002C45E5" w:rsidRDefault="008224F6" w:rsidP="00A02006">
            <w:pPr>
              <w:pStyle w:val="BodyA"/>
              <w:rPr>
                <w:i/>
                <w:lang w:val="lt-LT"/>
              </w:rPr>
            </w:pPr>
          </w:p>
          <w:p w14:paraId="5A23BB6A" w14:textId="77777777" w:rsidR="00972BD8" w:rsidRPr="002C45E5" w:rsidRDefault="00972BD8" w:rsidP="00972BD8">
            <w:pPr>
              <w:pStyle w:val="BodyA"/>
              <w:rPr>
                <w:rFonts w:hAnsi="Times New Roman" w:cs="Times New Roman"/>
                <w:b/>
                <w:u w:val="single"/>
                <w:lang w:val="lt-LT"/>
              </w:rPr>
            </w:pPr>
            <w:r w:rsidRPr="002C45E5">
              <w:rPr>
                <w:rFonts w:hAnsi="Times New Roman" w:cs="Times New Roman"/>
                <w:b/>
                <w:u w:val="single"/>
                <w:lang w:val="lt-LT"/>
              </w:rPr>
              <w:t>Klausimo esmė</w:t>
            </w:r>
            <w:r w:rsidR="008224F6">
              <w:rPr>
                <w:rFonts w:hAnsi="Times New Roman" w:cs="Times New Roman"/>
                <w:b/>
                <w:u w:val="single"/>
                <w:lang w:val="lt-LT"/>
              </w:rPr>
              <w:t>.</w:t>
            </w:r>
          </w:p>
          <w:p w14:paraId="27D9B89C" w14:textId="77777777" w:rsidR="00645CEE" w:rsidRPr="00645CEE" w:rsidRDefault="00645CEE" w:rsidP="00645CEE">
            <w:pPr>
              <w:pStyle w:val="paragraph"/>
              <w:jc w:val="both"/>
              <w:textAlignment w:val="baseline"/>
              <w:rPr>
                <w:rStyle w:val="normaltextrun"/>
              </w:rPr>
            </w:pPr>
            <w:r w:rsidRPr="00645CEE">
              <w:rPr>
                <w:rStyle w:val="normaltextrun"/>
              </w:rPr>
              <w:t>2020 m. gruodžio 10 d. buvo pristatytas Komisijos pasiūlymas dėl baterijų ir baterijų atliekų reglamento, kurio esminis tikslas – modernizuoti ES teisinę bazę baterijų klausimu, siekiant ES žaliojo kurso ir kitų iniciatyvų horizontalaus vykdymo ir transformuojant ES ekonomiką į žiedinę ir išteklius tausojančią ekonomiką. Pasiūlymu siekiama nustatyti</w:t>
            </w:r>
            <w:r>
              <w:rPr>
                <w:rStyle w:val="normaltextrun"/>
              </w:rPr>
              <w:t xml:space="preserve"> išsamią baterijų reglamentavimo</w:t>
            </w:r>
            <w:r w:rsidRPr="00645CEE">
              <w:rPr>
                <w:rStyle w:val="normaltextrun"/>
              </w:rPr>
              <w:t xml:space="preserve"> sistemą, užtikrinančią, kad žaliavos būtų tiekiamos tvariai ir atsakingai, baterijų elementai, moduliai ir paketai būtų gaminami naudojant švarią energiją, juose būtų mažai pavojingų medžiagų ir jie būtų suprojektuoti naudoti ilgą laiką, baterijų atliekos būtų tinkamai surenkamos ir perdirbamos, siekiant išsaugoti vertingas žaliavas.</w:t>
            </w:r>
          </w:p>
          <w:p w14:paraId="668C101C" w14:textId="77777777" w:rsidR="00491F02" w:rsidRPr="00645CEE" w:rsidRDefault="00645CEE" w:rsidP="00645CEE">
            <w:pPr>
              <w:pStyle w:val="paragraph"/>
              <w:spacing w:before="0" w:beforeAutospacing="0" w:after="0" w:afterAutospacing="0"/>
              <w:jc w:val="both"/>
              <w:textAlignment w:val="baseline"/>
              <w:rPr>
                <w:rStyle w:val="jlqj4b"/>
              </w:rPr>
            </w:pPr>
            <w:r w:rsidRPr="00645CEE">
              <w:rPr>
                <w:rStyle w:val="normaltextrun"/>
              </w:rPr>
              <w:t>Svarstymų E</w:t>
            </w:r>
            <w:r>
              <w:rPr>
                <w:rStyle w:val="normaltextrun"/>
              </w:rPr>
              <w:t>S</w:t>
            </w:r>
            <w:r w:rsidRPr="00645CEE">
              <w:rPr>
                <w:rStyle w:val="normaltextrun"/>
              </w:rPr>
              <w:t xml:space="preserve"> Tarybos Aplinkos darbo grupėje metu buvo iš</w:t>
            </w:r>
            <w:r>
              <w:rPr>
                <w:rStyle w:val="normaltextrun"/>
              </w:rPr>
              <w:t>skirti</w:t>
            </w:r>
            <w:r w:rsidRPr="00645CEE">
              <w:rPr>
                <w:rStyle w:val="normaltextrun"/>
              </w:rPr>
              <w:t xml:space="preserve"> šie pagrindiniai </w:t>
            </w:r>
            <w:r>
              <w:rPr>
                <w:rStyle w:val="normaltextrun"/>
              </w:rPr>
              <w:t xml:space="preserve">reglamento </w:t>
            </w:r>
            <w:r w:rsidRPr="00645CEE">
              <w:rPr>
                <w:rStyle w:val="normaltextrun"/>
              </w:rPr>
              <w:t xml:space="preserve">klausimai: </w:t>
            </w:r>
            <w:r>
              <w:rPr>
                <w:rStyle w:val="normaltextrun"/>
              </w:rPr>
              <w:t>t</w:t>
            </w:r>
            <w:r w:rsidRPr="00645CEE">
              <w:rPr>
                <w:rStyle w:val="normaltextrun"/>
              </w:rPr>
              <w:t>eisinė bazė, apimtis, tvarumo ir saugos reikalavimai, išsamūs patikrinimai, baterijų sutvarkymas jų gyvavimo ciklo pabaigoje.</w:t>
            </w:r>
          </w:p>
          <w:p w14:paraId="26530167" w14:textId="77777777" w:rsidR="00BC44E5" w:rsidRPr="00645CEE" w:rsidRDefault="00BC44E5" w:rsidP="00972BD8">
            <w:pPr>
              <w:pStyle w:val="paragraph"/>
              <w:spacing w:before="0" w:beforeAutospacing="0" w:after="0" w:afterAutospacing="0"/>
              <w:jc w:val="both"/>
              <w:textAlignment w:val="baseline"/>
              <w:rPr>
                <w:rStyle w:val="normaltextrun"/>
              </w:rPr>
            </w:pPr>
          </w:p>
          <w:p w14:paraId="5969903A" w14:textId="77777777" w:rsidR="00972BD8" w:rsidRPr="005A381E" w:rsidRDefault="00491F02" w:rsidP="005A381E">
            <w:pPr>
              <w:pStyle w:val="NormalWeb"/>
              <w:spacing w:before="0" w:beforeAutospacing="0" w:after="0" w:afterAutospacing="0"/>
              <w:jc w:val="both"/>
              <w:rPr>
                <w:b/>
                <w:i/>
                <w:color w:val="000000"/>
              </w:rPr>
            </w:pPr>
            <w:r w:rsidRPr="005A381E">
              <w:rPr>
                <w:b/>
                <w:i/>
                <w:color w:val="000000"/>
              </w:rPr>
              <w:t>Siekiant politinių gairių tolesn</w:t>
            </w:r>
            <w:r w:rsidR="008224F6" w:rsidRPr="005A381E">
              <w:rPr>
                <w:b/>
                <w:i/>
                <w:color w:val="000000"/>
              </w:rPr>
              <w:t>ėms</w:t>
            </w:r>
            <w:r w:rsidRPr="005A381E">
              <w:rPr>
                <w:b/>
                <w:i/>
                <w:color w:val="000000"/>
              </w:rPr>
              <w:t xml:space="preserve"> deryb</w:t>
            </w:r>
            <w:r w:rsidR="008224F6" w:rsidRPr="005A381E">
              <w:rPr>
                <w:b/>
                <w:i/>
                <w:color w:val="000000"/>
              </w:rPr>
              <w:t>oms</w:t>
            </w:r>
            <w:r w:rsidRPr="005A381E">
              <w:rPr>
                <w:b/>
                <w:i/>
                <w:color w:val="000000"/>
              </w:rPr>
              <w:t xml:space="preserve"> dėl pasiūlymo ir pagrindinių valstybių narių prioritetų, ministrai kviečiami dalyvauti politinėse diskusijose </w:t>
            </w:r>
            <w:r w:rsidR="00A02006" w:rsidRPr="005A381E">
              <w:rPr>
                <w:b/>
                <w:i/>
                <w:color w:val="000000"/>
              </w:rPr>
              <w:t>ES pirmininkaujančios Portugalijos pateikt</w:t>
            </w:r>
            <w:r w:rsidR="00BC44E5" w:rsidRPr="005A381E">
              <w:rPr>
                <w:b/>
                <w:i/>
                <w:color w:val="000000"/>
              </w:rPr>
              <w:t>ais</w:t>
            </w:r>
            <w:r w:rsidR="00A02006" w:rsidRPr="005A381E">
              <w:rPr>
                <w:b/>
                <w:i/>
                <w:color w:val="000000"/>
              </w:rPr>
              <w:t xml:space="preserve"> klausim</w:t>
            </w:r>
            <w:r w:rsidR="00BC44E5" w:rsidRPr="005A381E">
              <w:rPr>
                <w:b/>
                <w:i/>
                <w:color w:val="000000"/>
              </w:rPr>
              <w:t>ais</w:t>
            </w:r>
            <w:r w:rsidR="008224F6" w:rsidRPr="005A381E">
              <w:rPr>
                <w:b/>
                <w:i/>
                <w:color w:val="000000"/>
              </w:rPr>
              <w:t>:</w:t>
            </w:r>
            <w:r w:rsidR="00A02006" w:rsidRPr="005A381E">
              <w:rPr>
                <w:b/>
                <w:i/>
                <w:color w:val="000000"/>
              </w:rPr>
              <w:t xml:space="preserve"> </w:t>
            </w:r>
          </w:p>
          <w:p w14:paraId="41CEE9AC" w14:textId="77777777" w:rsidR="00491F02" w:rsidRPr="002C45E5" w:rsidRDefault="00491F02" w:rsidP="00491F02">
            <w:pPr>
              <w:jc w:val="both"/>
              <w:rPr>
                <w:i/>
                <w:color w:val="000000"/>
                <w:lang w:val="lt-LT"/>
              </w:rPr>
            </w:pPr>
            <w:r w:rsidRPr="008224F6">
              <w:rPr>
                <w:i/>
                <w:color w:val="000000"/>
                <w:lang w:val="lt-LT"/>
              </w:rPr>
              <w:t>1. Atsižvelgiant</w:t>
            </w:r>
            <w:r w:rsidRPr="002C45E5">
              <w:rPr>
                <w:i/>
                <w:color w:val="000000"/>
                <w:lang w:val="lt-LT"/>
              </w:rPr>
              <w:t xml:space="preserve"> į siūlomo reglamento turinį ir tikslus, kokia yra jūsų nuomonė dėl vidaus rinkos teisinio pagrindo pasirinkimo ir pasiūlymo taikymo srities?</w:t>
            </w:r>
          </w:p>
          <w:p w14:paraId="39E734D7" w14:textId="77777777" w:rsidR="00491F02" w:rsidRPr="002C45E5" w:rsidRDefault="00491F02" w:rsidP="00491F02">
            <w:pPr>
              <w:jc w:val="both"/>
              <w:rPr>
                <w:i/>
                <w:color w:val="000000"/>
                <w:lang w:val="lt-LT"/>
              </w:rPr>
            </w:pPr>
            <w:r w:rsidRPr="002C45E5">
              <w:rPr>
                <w:i/>
                <w:color w:val="000000"/>
                <w:lang w:val="lt-LT"/>
              </w:rPr>
              <w:t xml:space="preserve">2. Ar, atsižvelgiant į tikslą mažinti poveikį aplinkai ir socialinei aplinkai visais baterijų gyvavimo ciklo etapais, manote, kad siūlomi tvarumo ir saugos reikalavimai, išsamaus patikrinimo nuostatos, terminai ir jų laipsniškam įgyvendinimui skirti metodai yra tinkami? </w:t>
            </w:r>
          </w:p>
          <w:p w14:paraId="75E2EF46" w14:textId="77777777" w:rsidR="00972BD8" w:rsidRPr="002C45E5" w:rsidRDefault="00491F02" w:rsidP="00491F02">
            <w:pPr>
              <w:jc w:val="both"/>
              <w:rPr>
                <w:i/>
                <w:color w:val="000000"/>
                <w:lang w:val="lt-LT"/>
              </w:rPr>
            </w:pPr>
            <w:r w:rsidRPr="002C45E5">
              <w:rPr>
                <w:i/>
                <w:color w:val="000000"/>
                <w:lang w:val="lt-LT"/>
              </w:rPr>
              <w:t xml:space="preserve">3. </w:t>
            </w:r>
            <w:r w:rsidR="00645CEE" w:rsidRPr="00645CEE">
              <w:rPr>
                <w:i/>
                <w:color w:val="000000"/>
                <w:lang w:val="lt-LT"/>
              </w:rPr>
              <w:t>Kadangi reglamento tikslas – skatinti žiedinę ekonomiką, įskaitant pakartotinį baterijų naudojimą, ar manote, kad siūlomo reglamento užmojai ir terminai, siekiant baterijų surinkimo ir perdirbimo tikslų, yra tinkami? Be to, ar sutinkate, kad, siekiant sukurti gerai veikiančią perdirbimo paslaugų ir antrinių žaliavų, susijusių su baterijomis ir baterijų atliekomis, vidaus rinką, reikalingas tolesnis išplėstinės gamintojo atsakomybės schemų suderinimas.</w:t>
            </w:r>
          </w:p>
          <w:p w14:paraId="1E024219" w14:textId="77777777" w:rsidR="00491F02" w:rsidRPr="002C45E5" w:rsidRDefault="00491F02" w:rsidP="00491F02">
            <w:pPr>
              <w:jc w:val="both"/>
              <w:rPr>
                <w:color w:val="000000"/>
                <w:lang w:val="lt-LT"/>
              </w:rPr>
            </w:pPr>
          </w:p>
          <w:p w14:paraId="57AE81B0" w14:textId="77777777" w:rsidR="00972BD8" w:rsidRDefault="00972BD8" w:rsidP="00972BD8">
            <w:pPr>
              <w:jc w:val="both"/>
              <w:rPr>
                <w:b/>
                <w:color w:val="000000"/>
                <w:u w:val="single"/>
                <w:lang w:val="lt-LT"/>
              </w:rPr>
            </w:pPr>
            <w:r w:rsidRPr="002C45E5">
              <w:rPr>
                <w:b/>
                <w:color w:val="000000"/>
                <w:u w:val="single"/>
                <w:lang w:val="lt-LT"/>
              </w:rPr>
              <w:t>Lietuvos pozicija</w:t>
            </w:r>
            <w:r w:rsidR="002C45E5" w:rsidRPr="002C45E5">
              <w:rPr>
                <w:b/>
                <w:color w:val="000000"/>
                <w:u w:val="single"/>
                <w:lang w:val="lt-LT"/>
              </w:rPr>
              <w:t>.</w:t>
            </w:r>
          </w:p>
          <w:p w14:paraId="5CB21726" w14:textId="77777777" w:rsidR="008224F6" w:rsidRPr="002C45E5" w:rsidRDefault="008224F6" w:rsidP="00972BD8">
            <w:pPr>
              <w:jc w:val="both"/>
              <w:rPr>
                <w:b/>
                <w:color w:val="000000"/>
                <w:u w:val="single"/>
                <w:lang w:val="lt-LT"/>
              </w:rPr>
            </w:pPr>
          </w:p>
          <w:p w14:paraId="372F0152" w14:textId="77777777" w:rsidR="001B64FC" w:rsidRPr="00B43D47" w:rsidRDefault="001B64FC" w:rsidP="001B64FC">
            <w:pPr>
              <w:jc w:val="both"/>
              <w:rPr>
                <w:color w:val="000000"/>
                <w:lang w:val="lt-LT"/>
              </w:rPr>
            </w:pPr>
            <w:r w:rsidRPr="00B43D47">
              <w:rPr>
                <w:color w:val="000000"/>
                <w:lang w:val="lt-LT"/>
              </w:rPr>
              <w:t>Teigiamai vertiname Baterijų reglamento pasiūlymą, kuris yra labai reikalingas, atsižvelgiant į Žaliojo kurso tikslus, pokyčius rinkoje ir technikos pažangą.</w:t>
            </w:r>
            <w:r w:rsidR="00645CEE" w:rsidRPr="00B43D47">
              <w:rPr>
                <w:color w:val="000000"/>
                <w:lang w:val="lt-LT"/>
              </w:rPr>
              <w:t xml:space="preserve"> </w:t>
            </w:r>
            <w:r w:rsidRPr="00B43D47">
              <w:rPr>
                <w:color w:val="000000"/>
                <w:lang w:val="lt-LT"/>
              </w:rPr>
              <w:t xml:space="preserve">Lietuva iš esmės pritaria Baterijų reglamento tikslams. Tačiau atkreipiame dėmesį, kad pasiūlymas techniškai sudėtingas, o jame </w:t>
            </w:r>
            <w:r w:rsidRPr="00B43D47">
              <w:rPr>
                <w:color w:val="000000"/>
                <w:lang w:val="lt-LT"/>
              </w:rPr>
              <w:lastRenderedPageBreak/>
              <w:t>nustatyti reikalavimai palies platų ekonominės veiklos vykdytojų ir nacionalinių institucijų ratą. Todėl turime skirti pakankamai laiko diskusijoms, kad rastume visiems priimtiną kompromisą, nepadarytume klaidų ir nesukurtume bereikalingos administracinės naštos.</w:t>
            </w:r>
          </w:p>
          <w:p w14:paraId="21526B93" w14:textId="77777777" w:rsidR="00645CEE" w:rsidRPr="00B43D47" w:rsidRDefault="00645CEE" w:rsidP="001B64FC">
            <w:pPr>
              <w:jc w:val="both"/>
              <w:rPr>
                <w:color w:val="000000"/>
                <w:lang w:val="lt-LT"/>
              </w:rPr>
            </w:pPr>
          </w:p>
          <w:p w14:paraId="71F5B67F" w14:textId="77777777" w:rsidR="001B64FC" w:rsidRPr="00B43D47" w:rsidRDefault="001B64FC" w:rsidP="001B64FC">
            <w:pPr>
              <w:jc w:val="both"/>
              <w:rPr>
                <w:color w:val="000000"/>
                <w:lang w:val="lt-LT"/>
              </w:rPr>
            </w:pPr>
            <w:r w:rsidRPr="00B43D47">
              <w:rPr>
                <w:color w:val="000000"/>
                <w:lang w:val="lt-LT"/>
              </w:rPr>
              <w:t>Suprantame ir palaikome Komisijos siekį šiuo pasiūlymu harmonizuoti vidaus rinką ir užtikrinti vienodas konkurencines sąlygas. Tačiau manome, kad aplinkosauginiai pasiūlymo tikslai yra ne mažiau svarbūs. Todėl tikslinga nustatyti dvigubą pasiūlymo teisinį pagrindą, kuris suteiktų lankstumo valstybėms narėms siekiant aplinkosauginių tikslų ir išlaikant gerai veikiančias gamintojų atsakomybės schemas.</w:t>
            </w:r>
          </w:p>
          <w:p w14:paraId="7A672D01" w14:textId="77777777" w:rsidR="001B64FC" w:rsidRPr="00B43D47" w:rsidRDefault="001B64FC" w:rsidP="001B64FC">
            <w:pPr>
              <w:jc w:val="both"/>
              <w:rPr>
                <w:color w:val="000000"/>
                <w:lang w:val="lt-LT"/>
              </w:rPr>
            </w:pPr>
            <w:r w:rsidRPr="00B43D47">
              <w:rPr>
                <w:color w:val="000000"/>
                <w:lang w:val="lt-LT"/>
              </w:rPr>
              <w:t>Teigiamai vertiname baterijų tvarumo ir saugos reikalavimus, tačiau manome, kad dėl konkrečių perdirbtos medžiagos dalies tikslų reikėtų apsispręsti tik sutarus dėl apskaičiavimo ir tikrinimo metodikos. Teigiamai vertiname ir išsamaus patikrinimo nuostatas, kurios svarbios tiek aplinkosauginiu, tiek socialiniu požiūriu. Svarbu, kad šios nuostatos būtų suderintos su horizontaliais teisės aktais ir nedidintų administracinės naštos.</w:t>
            </w:r>
          </w:p>
          <w:p w14:paraId="63367DC4" w14:textId="77777777" w:rsidR="00645CEE" w:rsidRPr="00B43D47" w:rsidRDefault="00645CEE" w:rsidP="001B64FC">
            <w:pPr>
              <w:jc w:val="both"/>
              <w:rPr>
                <w:color w:val="000000"/>
                <w:lang w:val="lt-LT"/>
              </w:rPr>
            </w:pPr>
          </w:p>
          <w:p w14:paraId="3C83B287" w14:textId="77777777" w:rsidR="001B64FC" w:rsidRPr="00B43D47" w:rsidRDefault="001B64FC" w:rsidP="001B64FC">
            <w:pPr>
              <w:jc w:val="both"/>
              <w:rPr>
                <w:color w:val="000000"/>
                <w:lang w:val="lt-LT"/>
              </w:rPr>
            </w:pPr>
            <w:r w:rsidRPr="00B43D47">
              <w:rPr>
                <w:color w:val="000000"/>
                <w:lang w:val="lt-LT"/>
              </w:rPr>
              <w:t>Kalbant apie laiko terminus, norime atkreipti dėmesį, kad reglamento įgyvendinimui suplanuota daugiau nei 30 antrinės teisėkūros aktų. Jų parengimo terminai turi būti atidžiai įvertinti ir realūs, kad teisės aktai būtų parengti kokybiškai ir laiku, suteikiant pakankamai laiko pramonei ir nacionalinėms institucijoms.</w:t>
            </w:r>
          </w:p>
          <w:p w14:paraId="2364B538" w14:textId="77777777" w:rsidR="00645CEE" w:rsidRPr="00B43D47" w:rsidRDefault="00645CEE" w:rsidP="001B64FC">
            <w:pPr>
              <w:jc w:val="both"/>
              <w:rPr>
                <w:color w:val="000000"/>
                <w:lang w:val="lt-LT"/>
              </w:rPr>
            </w:pPr>
          </w:p>
          <w:p w14:paraId="6988E674" w14:textId="08C2380F" w:rsidR="001B64FC" w:rsidRPr="00B43D47" w:rsidRDefault="001B64FC" w:rsidP="001B64FC">
            <w:pPr>
              <w:jc w:val="both"/>
              <w:rPr>
                <w:color w:val="000000"/>
                <w:lang w:val="lt-LT"/>
              </w:rPr>
            </w:pPr>
            <w:r w:rsidRPr="00B43D47">
              <w:rPr>
                <w:color w:val="000000"/>
                <w:lang w:val="lt-LT"/>
              </w:rPr>
              <w:t>Atsakantį trečiąjį klausimą, pabrėžtina, kad būtina dėti visas pastangas renkant baterijų atliekas ir taip išsaugoti vertingas, antriniam panaudojimui tinkamas žaliavas. Todėl pritariame siūlymui laipsniškai didinti nešiojamų baterijų atliekų surinkimo tikslą. Apgailestaujame, kad į jį nepatenka lengvųjų transporto priemonių baterijos. Raginame Komisiją k</w:t>
            </w:r>
            <w:r w:rsidR="00962532">
              <w:rPr>
                <w:color w:val="000000"/>
                <w:lang w:val="lt-LT"/>
              </w:rPr>
              <w:t>iek</w:t>
            </w:r>
            <w:r w:rsidRPr="00B43D47">
              <w:rPr>
                <w:color w:val="000000"/>
                <w:lang w:val="lt-LT"/>
              </w:rPr>
              <w:t xml:space="preserve"> įmanoma greičiau pateikti pasiūlymus dėl šio atliekų srauto, kuris, tikėtina, ateityje sparčiai augs.</w:t>
            </w:r>
          </w:p>
          <w:p w14:paraId="43FDEA6C" w14:textId="77777777" w:rsidR="00645CEE" w:rsidRPr="00B43D47" w:rsidRDefault="00645CEE" w:rsidP="001B64FC">
            <w:pPr>
              <w:jc w:val="both"/>
              <w:rPr>
                <w:color w:val="000000"/>
                <w:lang w:val="lt-LT"/>
              </w:rPr>
            </w:pPr>
          </w:p>
          <w:p w14:paraId="7F171BDB" w14:textId="77777777" w:rsidR="003813A9" w:rsidRPr="005E4F95" w:rsidRDefault="001B64FC" w:rsidP="001B64FC">
            <w:pPr>
              <w:jc w:val="both"/>
              <w:rPr>
                <w:b/>
                <w:color w:val="000000"/>
                <w:lang w:val="lt-LT"/>
              </w:rPr>
            </w:pPr>
            <w:r w:rsidRPr="00B43D47">
              <w:rPr>
                <w:color w:val="000000"/>
                <w:lang w:val="lt-LT"/>
              </w:rPr>
              <w:t>Pasiūlymo nuostatos dėl išplėstinės gamintojo atsakomybės, mūsų nuomone, yra „silpnoji“ pasiūlymo dalis. Valstybėse narėse jau daug metų sėkmingai veikia atliekų surinkimo punktai, gamintojų registrai, gamintojų atsakomybės organizacijos. Turime užtikrinti, kad naujas reguliavimas neišbalansuotų nacionalinių sistemų ir derėtų su Bendrąja atliekų direktyva.</w:t>
            </w:r>
          </w:p>
        </w:tc>
      </w:tr>
    </w:tbl>
    <w:p w14:paraId="41E2ED73" w14:textId="77777777" w:rsidR="00972BD8" w:rsidRPr="002C45E5" w:rsidRDefault="00972BD8">
      <w:pPr>
        <w:rPr>
          <w:lang w:val="lt-LT"/>
        </w:rPr>
      </w:pPr>
    </w:p>
    <w:sectPr w:rsidR="00972BD8" w:rsidRPr="002C45E5" w:rsidSect="00DA0F68">
      <w:footerReference w:type="default" r:id="rId11"/>
      <w:headerReference w:type="first" r:id="rId12"/>
      <w:pgSz w:w="11905" w:h="16837"/>
      <w:pgMar w:top="1099" w:right="567" w:bottom="993" w:left="1701" w:header="284" w:footer="0"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0550B" w15:done="0"/>
  <w15:commentEx w15:paraId="725B5E6F" w15:done="0"/>
  <w15:commentEx w15:paraId="3642C78E" w15:done="0"/>
  <w15:commentEx w15:paraId="5F165F61" w15:paraIdParent="3642C78E" w15:done="0"/>
  <w15:commentEx w15:paraId="785606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8C05E" w14:textId="77777777" w:rsidR="00CD5F43" w:rsidRDefault="00CD5F43" w:rsidP="00972BD8">
      <w:r>
        <w:separator/>
      </w:r>
    </w:p>
  </w:endnote>
  <w:endnote w:type="continuationSeparator" w:id="0">
    <w:p w14:paraId="793E080E" w14:textId="77777777" w:rsidR="00CD5F43" w:rsidRDefault="00CD5F43" w:rsidP="009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51657"/>
      <w:docPartObj>
        <w:docPartGallery w:val="Page Numbers (Bottom of Page)"/>
        <w:docPartUnique/>
      </w:docPartObj>
    </w:sdtPr>
    <w:sdtEndPr>
      <w:rPr>
        <w:noProof/>
      </w:rPr>
    </w:sdtEndPr>
    <w:sdtContent>
      <w:p w14:paraId="57C05967" w14:textId="77777777" w:rsidR="008224F6" w:rsidRDefault="008224F6">
        <w:pPr>
          <w:pStyle w:val="Footer"/>
          <w:jc w:val="center"/>
        </w:pPr>
        <w:r>
          <w:fldChar w:fldCharType="begin"/>
        </w:r>
        <w:r>
          <w:instrText xml:space="preserve"> PAGE   \* MERGEFORMAT </w:instrText>
        </w:r>
        <w:r>
          <w:fldChar w:fldCharType="separate"/>
        </w:r>
        <w:r w:rsidR="00580BA1">
          <w:rPr>
            <w:noProof/>
          </w:rPr>
          <w:t>2</w:t>
        </w:r>
        <w:r>
          <w:rPr>
            <w:noProof/>
          </w:rPr>
          <w:fldChar w:fldCharType="end"/>
        </w:r>
      </w:p>
    </w:sdtContent>
  </w:sdt>
  <w:p w14:paraId="0932A741" w14:textId="77777777" w:rsidR="00972BD8" w:rsidRDefault="00972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BC8D3" w14:textId="77777777" w:rsidR="00CD5F43" w:rsidRDefault="00CD5F43" w:rsidP="00972BD8">
      <w:r>
        <w:separator/>
      </w:r>
    </w:p>
  </w:footnote>
  <w:footnote w:type="continuationSeparator" w:id="0">
    <w:p w14:paraId="0BFB4929" w14:textId="77777777" w:rsidR="00CD5F43" w:rsidRDefault="00CD5F43" w:rsidP="0097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92B92" w14:textId="77777777" w:rsidR="00972BD8" w:rsidRDefault="00972BD8" w:rsidP="00972BD8">
    <w:pPr>
      <w:pStyle w:val="BodyA"/>
      <w:tabs>
        <w:tab w:val="center" w:pos="4153"/>
        <w:tab w:val="right" w:pos="8306"/>
      </w:tabs>
      <w:jc w:val="right"/>
      <w:rPr>
        <w:i/>
        <w:iCs/>
      </w:rPr>
    </w:pPr>
    <w:proofErr w:type="spellStart"/>
    <w:r>
      <w:rPr>
        <w:i/>
        <w:iCs/>
      </w:rPr>
      <w:t>Aplinkos</w:t>
    </w:r>
    <w:proofErr w:type="spellEnd"/>
    <w:r>
      <w:rPr>
        <w:i/>
        <w:iCs/>
      </w:rPr>
      <w:t xml:space="preserve"> </w:t>
    </w:r>
    <w:proofErr w:type="spellStart"/>
    <w:r>
      <w:rPr>
        <w:i/>
        <w:iCs/>
      </w:rPr>
      <w:t>ministerija</w:t>
    </w:r>
    <w:proofErr w:type="spellEnd"/>
  </w:p>
  <w:p w14:paraId="23F97B4C" w14:textId="77777777" w:rsidR="00972BD8" w:rsidRPr="00972BD8" w:rsidRDefault="00A02006" w:rsidP="008224F6">
    <w:pPr>
      <w:pStyle w:val="BodyA"/>
      <w:tabs>
        <w:tab w:val="center" w:pos="4153"/>
        <w:tab w:val="right" w:pos="8306"/>
      </w:tabs>
      <w:jc w:val="right"/>
    </w:pPr>
    <w:r>
      <w:rPr>
        <w:i/>
        <w:iCs/>
      </w:rPr>
      <w:t>2021-03-15</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tarė Gulbinė">
    <w15:presenceInfo w15:providerId="AD" w15:userId="S-1-5-21-1547161642-1770027372-1417001333-26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77"/>
    <w:rsid w:val="000B6A22"/>
    <w:rsid w:val="00182815"/>
    <w:rsid w:val="001B64FC"/>
    <w:rsid w:val="00212FD4"/>
    <w:rsid w:val="0022708C"/>
    <w:rsid w:val="00287FE4"/>
    <w:rsid w:val="002C45E5"/>
    <w:rsid w:val="00320C48"/>
    <w:rsid w:val="003813A9"/>
    <w:rsid w:val="0039225A"/>
    <w:rsid w:val="003B32FC"/>
    <w:rsid w:val="00465F10"/>
    <w:rsid w:val="00491F02"/>
    <w:rsid w:val="004F710A"/>
    <w:rsid w:val="00502177"/>
    <w:rsid w:val="00555468"/>
    <w:rsid w:val="00574650"/>
    <w:rsid w:val="00580BA1"/>
    <w:rsid w:val="005A381E"/>
    <w:rsid w:val="005E4F95"/>
    <w:rsid w:val="005F7E15"/>
    <w:rsid w:val="006244AF"/>
    <w:rsid w:val="00645CEE"/>
    <w:rsid w:val="00666700"/>
    <w:rsid w:val="006935D7"/>
    <w:rsid w:val="006E1B6C"/>
    <w:rsid w:val="007277E1"/>
    <w:rsid w:val="007E3CEB"/>
    <w:rsid w:val="007F0DC4"/>
    <w:rsid w:val="008224F6"/>
    <w:rsid w:val="008E4261"/>
    <w:rsid w:val="00962532"/>
    <w:rsid w:val="00972BD8"/>
    <w:rsid w:val="00A0145C"/>
    <w:rsid w:val="00A02006"/>
    <w:rsid w:val="00A037F1"/>
    <w:rsid w:val="00AB62BB"/>
    <w:rsid w:val="00AC5281"/>
    <w:rsid w:val="00B43D47"/>
    <w:rsid w:val="00BC44E5"/>
    <w:rsid w:val="00BE5863"/>
    <w:rsid w:val="00C15499"/>
    <w:rsid w:val="00CD5F43"/>
    <w:rsid w:val="00CE5DC2"/>
    <w:rsid w:val="00D14960"/>
    <w:rsid w:val="00DA0F68"/>
    <w:rsid w:val="00E1038A"/>
    <w:rsid w:val="00EB5D4B"/>
    <w:rsid w:val="00ED0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2" ma:contentTypeDescription="Kurkite naują dokumentą." ma:contentTypeScope="" ma:versionID="42c92002051d2480b6719642123ddc4f">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31f432ac08a793460e054154642c0e98"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646-C3B4-4C09-B7BB-B677A7EB25F9}">
  <ds:schemaRefs>
    <ds:schemaRef ds:uri="http://schemas.openxmlformats.org/package/2006/metadata/core-properties"/>
    <ds:schemaRef ds:uri="http://schemas.microsoft.com/office/2006/documentManagement/types"/>
    <ds:schemaRef ds:uri="http://schemas.microsoft.com/office/infopath/2007/PartnerControls"/>
    <ds:schemaRef ds:uri="58c6f6df-7e1f-4a2e-8979-e3f4c92e56f2"/>
    <ds:schemaRef ds:uri="http://purl.org/dc/elements/1.1/"/>
    <ds:schemaRef ds:uri="http://schemas.microsoft.com/office/2006/metadata/properties"/>
    <ds:schemaRef ds:uri="http://purl.org/dc/terms/"/>
    <ds:schemaRef ds:uri="2ad30025-d0d5-4532-b26e-26983efa1e1c"/>
    <ds:schemaRef ds:uri="http://www.w3.org/XML/1998/namespace"/>
    <ds:schemaRef ds:uri="http://purl.org/dc/dcmitype/"/>
  </ds:schemaRefs>
</ds:datastoreItem>
</file>

<file path=customXml/itemProps2.xml><?xml version="1.0" encoding="utf-8"?>
<ds:datastoreItem xmlns:ds="http://schemas.openxmlformats.org/officeDocument/2006/customXml" ds:itemID="{60FDD821-781D-4754-BB03-BA90B3209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0509-F0B3-47B0-B0AC-F25AC5D3D2DC}">
  <ds:schemaRefs>
    <ds:schemaRef ds:uri="http://schemas.microsoft.com/sharepoint/v3/contenttype/forms"/>
  </ds:schemaRefs>
</ds:datastoreItem>
</file>

<file path=customXml/itemProps4.xml><?xml version="1.0" encoding="utf-8"?>
<ds:datastoreItem xmlns:ds="http://schemas.openxmlformats.org/officeDocument/2006/customXml" ds:itemID="{5D0FAE0A-367F-4914-887E-9651CE5A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Eimantė Lastovkaitė</dc:creator>
  <cp:lastModifiedBy>Agnė Prušinskaitė</cp:lastModifiedBy>
  <cp:revision>3</cp:revision>
  <dcterms:created xsi:type="dcterms:W3CDTF">2021-03-15T13:52:00Z</dcterms:created>
  <dcterms:modified xsi:type="dcterms:W3CDTF">2021-03-15T13:58:00Z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