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9EC0A" w14:textId="77777777" w:rsidR="00B516A7" w:rsidRPr="00B47334" w:rsidRDefault="00B516A7" w:rsidP="0012283F">
      <w:pPr>
        <w:pStyle w:val="Antrat1"/>
        <w:jc w:val="center"/>
        <w:rPr>
          <w:rFonts w:ascii="Times New Roman" w:hAnsi="Times New Roman"/>
          <w:color w:val="auto"/>
          <w:sz w:val="24"/>
          <w:szCs w:val="24"/>
        </w:rPr>
      </w:pPr>
      <w:r w:rsidRPr="00B47334">
        <w:rPr>
          <w:rFonts w:ascii="Times New Roman" w:hAnsi="Times New Roman"/>
          <w:color w:val="auto"/>
          <w:sz w:val="24"/>
          <w:szCs w:val="24"/>
        </w:rPr>
        <w:t>DERINIMO PAŽYMA</w:t>
      </w:r>
    </w:p>
    <w:p w14:paraId="6AA0FE64" w14:textId="77777777" w:rsidR="00B516A7" w:rsidRPr="00A25DEA" w:rsidRDefault="00880CF1" w:rsidP="003C03DF">
      <w:pPr>
        <w:pStyle w:val="Antrat1"/>
        <w:spacing w:before="0" w:line="240" w:lineRule="auto"/>
        <w:jc w:val="center"/>
        <w:rPr>
          <w:rFonts w:ascii="Times New Roman" w:hAnsi="Times New Roman"/>
          <w:bCs w:val="0"/>
          <w:color w:val="auto"/>
          <w:sz w:val="24"/>
          <w:szCs w:val="24"/>
        </w:rPr>
      </w:pPr>
      <w:r w:rsidRPr="00A25DEA">
        <w:rPr>
          <w:rFonts w:ascii="Times New Roman" w:hAnsi="Times New Roman"/>
          <w:bCs w:val="0"/>
          <w:color w:val="auto"/>
          <w:sz w:val="24"/>
          <w:szCs w:val="24"/>
        </w:rPr>
        <w:t>DĖL LIETUVOS RESPUBLIKOS VYRIAUSYBĖS NUTARIMO</w:t>
      </w:r>
    </w:p>
    <w:p w14:paraId="3D4C3C76" w14:textId="77777777" w:rsidR="002C5164" w:rsidRPr="00A25DEA" w:rsidRDefault="002C5164" w:rsidP="002C5164">
      <w:pPr>
        <w:jc w:val="center"/>
        <w:rPr>
          <w:szCs w:val="24"/>
          <w:lang w:eastAsia="lt-LT"/>
        </w:rPr>
      </w:pPr>
      <w:r w:rsidRPr="00A25DEA">
        <w:rPr>
          <w:b/>
          <w:bCs/>
          <w:szCs w:val="24"/>
          <w:lang w:eastAsia="lt-LT"/>
        </w:rPr>
        <w:t xml:space="preserve">DĖL </w:t>
      </w:r>
      <w:r w:rsidRPr="00A25DEA">
        <w:rPr>
          <w:b/>
        </w:rPr>
        <w:t>LIETUVOS RESPUBLIKOS VYRIAUSYBĖS 2013 M. BALANDŽIO 3 D.</w:t>
      </w:r>
      <w:r w:rsidRPr="00A25DEA">
        <w:rPr>
          <w:b/>
          <w:color w:val="000000"/>
        </w:rPr>
        <w:t xml:space="preserve"> NUTARIMO NR. 280 „DĖL </w:t>
      </w:r>
      <w:r w:rsidRPr="00A25DEA">
        <w:rPr>
          <w:b/>
          <w:szCs w:val="24"/>
          <w:lang w:eastAsia="lt-LT"/>
        </w:rPr>
        <w:t>ĮGALIOJIMŲ SUTEIKIMO ĮGYVENDINANT LIETUVOS RESPUBLIKOS PILIETYBĖS ĮSTATYMĄ IR LIETUVOS RESPUBLIKOS PILIETYBĖS DOKUMENTŲ RENGIMO TVARKOS APRAŠO PATVIRTINIMO</w:t>
      </w:r>
      <w:r w:rsidRPr="00A25DEA">
        <w:rPr>
          <w:b/>
          <w:color w:val="000000"/>
        </w:rPr>
        <w:t>“ PAKEITIMO</w:t>
      </w:r>
      <w:r w:rsidRPr="00A25DEA">
        <w:rPr>
          <w:b/>
          <w:bCs/>
          <w:szCs w:val="24"/>
          <w:lang w:eastAsia="lt-LT"/>
        </w:rPr>
        <w:t xml:space="preserve"> </w:t>
      </w:r>
    </w:p>
    <w:p w14:paraId="30B8578E" w14:textId="77777777" w:rsidR="00B516A7" w:rsidRPr="00A25DEA" w:rsidRDefault="00880CF1" w:rsidP="003C03DF">
      <w:pPr>
        <w:pStyle w:val="Antrat1"/>
        <w:spacing w:before="0" w:line="240" w:lineRule="auto"/>
        <w:jc w:val="center"/>
        <w:rPr>
          <w:rFonts w:ascii="Times New Roman" w:hAnsi="Times New Roman"/>
          <w:bCs w:val="0"/>
          <w:color w:val="auto"/>
          <w:sz w:val="24"/>
          <w:szCs w:val="24"/>
        </w:rPr>
      </w:pPr>
      <w:r w:rsidRPr="00A25DEA">
        <w:rPr>
          <w:rFonts w:ascii="Times New Roman" w:hAnsi="Times New Roman"/>
          <w:bCs w:val="0"/>
          <w:color w:val="auto"/>
          <w:sz w:val="24"/>
          <w:szCs w:val="24"/>
        </w:rPr>
        <w:t>PROJEKTO (TOLIAU – PROJEKTAS)</w:t>
      </w:r>
    </w:p>
    <w:p w14:paraId="2B03B083" w14:textId="77777777" w:rsidR="00B516A7" w:rsidRPr="00A25DEA" w:rsidRDefault="00B516A7" w:rsidP="003C03DF">
      <w:pPr>
        <w:jc w:val="center"/>
        <w:rPr>
          <w:szCs w:val="24"/>
          <w:highlight w:val="yellow"/>
        </w:rPr>
      </w:pPr>
    </w:p>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402"/>
        <w:gridCol w:w="5789"/>
        <w:gridCol w:w="5409"/>
      </w:tblGrid>
      <w:tr w:rsidR="006F0911" w:rsidRPr="00A25DEA" w14:paraId="35C3E3CB" w14:textId="77777777" w:rsidTr="009556A8">
        <w:trPr>
          <w:trHeight w:val="983"/>
        </w:trPr>
        <w:tc>
          <w:tcPr>
            <w:tcW w:w="704" w:type="dxa"/>
          </w:tcPr>
          <w:p w14:paraId="479767D5" w14:textId="77777777" w:rsidR="006F0911" w:rsidRPr="00A25DEA" w:rsidRDefault="006F0911" w:rsidP="00D46B8B">
            <w:pPr>
              <w:jc w:val="center"/>
              <w:rPr>
                <w:b/>
                <w:szCs w:val="24"/>
              </w:rPr>
            </w:pPr>
            <w:r w:rsidRPr="00A25DEA">
              <w:rPr>
                <w:b/>
                <w:szCs w:val="24"/>
              </w:rPr>
              <w:t>Eil. Nr.</w:t>
            </w:r>
          </w:p>
        </w:tc>
        <w:tc>
          <w:tcPr>
            <w:tcW w:w="3402" w:type="dxa"/>
          </w:tcPr>
          <w:p w14:paraId="167732D8" w14:textId="77777777" w:rsidR="006F0911" w:rsidRPr="00A25DEA" w:rsidRDefault="006F0911" w:rsidP="00D46B8B">
            <w:pPr>
              <w:jc w:val="center"/>
              <w:rPr>
                <w:b/>
                <w:szCs w:val="24"/>
              </w:rPr>
            </w:pPr>
            <w:r w:rsidRPr="00A25DEA">
              <w:rPr>
                <w:b/>
                <w:szCs w:val="24"/>
              </w:rPr>
              <w:t>Institucijos, su kuria derinta, pavadinimas, rašto data ir numeris</w:t>
            </w:r>
          </w:p>
        </w:tc>
        <w:tc>
          <w:tcPr>
            <w:tcW w:w="5789" w:type="dxa"/>
          </w:tcPr>
          <w:p w14:paraId="75E6417C" w14:textId="77777777" w:rsidR="006F0911" w:rsidRPr="00A25DEA" w:rsidRDefault="006F0911" w:rsidP="00D46B8B">
            <w:pPr>
              <w:jc w:val="center"/>
              <w:rPr>
                <w:b/>
                <w:szCs w:val="24"/>
              </w:rPr>
            </w:pPr>
            <w:r w:rsidRPr="00A25DEA">
              <w:rPr>
                <w:b/>
                <w:szCs w:val="24"/>
              </w:rPr>
              <w:t>Pastabos ir pasiūlymai</w:t>
            </w:r>
          </w:p>
        </w:tc>
        <w:tc>
          <w:tcPr>
            <w:tcW w:w="5409" w:type="dxa"/>
          </w:tcPr>
          <w:p w14:paraId="1D6B3B05" w14:textId="77777777" w:rsidR="006F0911" w:rsidRPr="00A25DEA" w:rsidRDefault="006F0911" w:rsidP="00D46B8B">
            <w:pPr>
              <w:jc w:val="center"/>
              <w:rPr>
                <w:b/>
                <w:szCs w:val="24"/>
              </w:rPr>
            </w:pPr>
            <w:r w:rsidRPr="00A25DEA">
              <w:rPr>
                <w:b/>
                <w:szCs w:val="24"/>
              </w:rPr>
              <w:t>Žyma apie pastabas ir pasiūlymus, į kuriuos</w:t>
            </w:r>
            <w:r w:rsidRPr="00A25DEA">
              <w:rPr>
                <w:b/>
                <w:szCs w:val="24"/>
              </w:rPr>
              <w:br/>
              <w:t>nebuvo atsižvelgta arba atsižvelgta iš dalies</w:t>
            </w:r>
          </w:p>
        </w:tc>
      </w:tr>
      <w:tr w:rsidR="00353033" w:rsidRPr="00A25DEA" w14:paraId="2D83316C" w14:textId="77777777" w:rsidTr="0041085C">
        <w:trPr>
          <w:trHeight w:val="2968"/>
        </w:trPr>
        <w:tc>
          <w:tcPr>
            <w:tcW w:w="704" w:type="dxa"/>
            <w:vMerge w:val="restart"/>
          </w:tcPr>
          <w:p w14:paraId="3706A655" w14:textId="77777777" w:rsidR="00353033" w:rsidRPr="00A25DEA" w:rsidRDefault="00353033" w:rsidP="00D46B8B">
            <w:pPr>
              <w:pStyle w:val="Sraopastraipa"/>
              <w:ind w:left="0"/>
              <w:jc w:val="both"/>
              <w:rPr>
                <w:iCs/>
                <w:szCs w:val="24"/>
              </w:rPr>
            </w:pPr>
            <w:r w:rsidRPr="00A25DEA">
              <w:rPr>
                <w:iCs/>
                <w:szCs w:val="24"/>
              </w:rPr>
              <w:t>1.</w:t>
            </w:r>
          </w:p>
        </w:tc>
        <w:tc>
          <w:tcPr>
            <w:tcW w:w="3402" w:type="dxa"/>
            <w:vMerge w:val="restart"/>
          </w:tcPr>
          <w:p w14:paraId="1527DE94" w14:textId="3283FBDE" w:rsidR="00353033" w:rsidRPr="00A25DEA" w:rsidRDefault="00353033" w:rsidP="00B47334">
            <w:pPr>
              <w:jc w:val="both"/>
              <w:rPr>
                <w:iCs/>
                <w:szCs w:val="24"/>
              </w:rPr>
            </w:pPr>
            <w:r w:rsidRPr="00A25DEA">
              <w:rPr>
                <w:iCs/>
                <w:szCs w:val="24"/>
              </w:rPr>
              <w:t xml:space="preserve">Lietuvos Respublikos teisingumo ministerijos 2021 m. gegužės 31 d. išvada Nr. </w:t>
            </w:r>
            <w:r w:rsidRPr="00A25DEA">
              <w:rPr>
                <w:color w:val="333333"/>
                <w:szCs w:val="24"/>
              </w:rPr>
              <w:t>(1.6Mr) 2T-557</w:t>
            </w:r>
          </w:p>
        </w:tc>
        <w:tc>
          <w:tcPr>
            <w:tcW w:w="5789" w:type="dxa"/>
          </w:tcPr>
          <w:p w14:paraId="3592831F" w14:textId="21EC386D" w:rsidR="00353033" w:rsidRPr="00A25DEA" w:rsidRDefault="00D97DE4" w:rsidP="00B47334">
            <w:pPr>
              <w:contextualSpacing/>
              <w:jc w:val="both"/>
              <w:rPr>
                <w:szCs w:val="24"/>
              </w:rPr>
            </w:pPr>
            <w:r w:rsidRPr="00A25DEA">
              <w:rPr>
                <w:szCs w:val="24"/>
              </w:rPr>
              <w:t xml:space="preserve">3. Projekte nauja redakcija dėstomo keičiamu nutarimu tvirtinamo Dokumentų, susijusių su Lietuvos Respublikos pilietybe, teikimo ir nagrinėjimo tvarkos apraše (toliau – Aprašas) 4 punkte nustatoma, kad jeigu asmuo dėl objektyvių priežasčių negali užpildyti prašymo per Lietuvos migracijos informacinę sistemą (toliau – MIGRIS), tuomet gali tą padaryti atvykęs į Migracijos departamentą ir padedant Migracijos departamento darbuotojui. Pastebėtina, kad tokia galimybė sudaroma tik skliausteliuose išvardintiems asmenims – „(asmenys, kuriems sukako 65 metai, asmenys, kuriems nustatytas 0–55 procentų darbingumo lygis, ir asmenys, kuriems sukako senatvės pensijos amžius ir kuriems teisės aktų nustatyta tvarka yra nustatytas didelių ir vidutinių specialiųjų poreikių lygis, taip pat asmenys, turintys sunkių lėtinių psichikos ir elgesio sutrikimų)“. Manytina, kad baigtinis išvardintų asmenų sąrašas suponuoja, kad esant kitoms objektyvioms priežastims asmenys negalėtų pateikti prašymo atvykę į Migracijos departamentą. Siūlytina palikti galimybę  šia nuostata pasinaudoti ir kitais nenumatytais atvejais. Taip pat svarstytina, ar Projekto 2.2 </w:t>
            </w:r>
            <w:r w:rsidRPr="00A25DEA">
              <w:rPr>
                <w:szCs w:val="24"/>
              </w:rPr>
              <w:lastRenderedPageBreak/>
              <w:t>punkte nurodytu pereinamuoju laikotarpiu tokia teisė neturėtų būti laiduojama visiems asmenims be išlygų.</w:t>
            </w:r>
          </w:p>
        </w:tc>
        <w:tc>
          <w:tcPr>
            <w:tcW w:w="5409" w:type="dxa"/>
          </w:tcPr>
          <w:p w14:paraId="43EDCF69" w14:textId="77777777" w:rsidR="00D97DE4" w:rsidRPr="00A25DEA" w:rsidRDefault="00D97DE4" w:rsidP="00D97DE4">
            <w:pPr>
              <w:jc w:val="both"/>
              <w:rPr>
                <w:b/>
                <w:bCs/>
              </w:rPr>
            </w:pPr>
            <w:r w:rsidRPr="00A25DEA">
              <w:rPr>
                <w:b/>
                <w:bCs/>
              </w:rPr>
              <w:lastRenderedPageBreak/>
              <w:t>Neatsižvelgta.</w:t>
            </w:r>
          </w:p>
          <w:p w14:paraId="153AC3E4" w14:textId="579DD4D4" w:rsidR="00D97DE4" w:rsidRPr="00A25DEA" w:rsidRDefault="00A25DEA" w:rsidP="00D97DE4">
            <w:pPr>
              <w:jc w:val="both"/>
              <w:rPr>
                <w:color w:val="000000"/>
                <w:lang w:eastAsia="en-GB"/>
              </w:rPr>
            </w:pPr>
            <w:r>
              <w:rPr>
                <w:color w:val="000000"/>
                <w:lang w:eastAsia="en-GB"/>
              </w:rPr>
              <w:t>A</w:t>
            </w:r>
            <w:r w:rsidR="00D97DE4" w:rsidRPr="00A25DEA">
              <w:rPr>
                <w:color w:val="000000"/>
                <w:lang w:eastAsia="en-GB"/>
              </w:rPr>
              <w:t xml:space="preserve">smenų, kurie gali atvykti į Migracijos departamentą prie Lietuvos Respublikos vidaus reikalų ministerijos (toliau – Migracijos departamentas) ir, padedami Migracijos departamento darbuotojų, užpildyti prašymą Lietuvos migracijos informacinėje sistemoje (toliau – MIGRIS), </w:t>
            </w:r>
            <w:r>
              <w:rPr>
                <w:color w:val="000000"/>
                <w:lang w:eastAsia="en-GB"/>
              </w:rPr>
              <w:t xml:space="preserve">sąrašas </w:t>
            </w:r>
            <w:r w:rsidR="00D97DE4" w:rsidRPr="00A25DEA">
              <w:rPr>
                <w:color w:val="000000"/>
                <w:lang w:eastAsia="en-GB"/>
              </w:rPr>
              <w:t>yra baigtinis ir nustatytas, atsižvelgiant į Pilietybės įstatyme įtvirtintą asmenų, kurie atleidžiami nuo reikalavimų išlaikyti valstybinės kalbos ir Lietuvos Respublikos Konstitucijos pagrindų egzaminus</w:t>
            </w:r>
            <w:r>
              <w:rPr>
                <w:color w:val="000000"/>
                <w:lang w:eastAsia="en-GB"/>
              </w:rPr>
              <w:t>, sąrašą</w:t>
            </w:r>
            <w:r w:rsidR="00D97DE4" w:rsidRPr="00A25DEA">
              <w:rPr>
                <w:color w:val="000000"/>
                <w:lang w:eastAsia="en-GB"/>
              </w:rPr>
              <w:t xml:space="preserve">. Šiame sąraše esantys asmenys turi patys užpildyti prašymą, bet jeigu jie to padaryti negali dėl objektyvių priežasčių, </w:t>
            </w:r>
            <w:r w:rsidR="006568BE" w:rsidRPr="00A25DEA">
              <w:rPr>
                <w:bCs/>
              </w:rPr>
              <w:t>Projekte dėstoma</w:t>
            </w:r>
            <w:r w:rsidR="006568BE">
              <w:rPr>
                <w:bCs/>
              </w:rPr>
              <w:t>me</w:t>
            </w:r>
            <w:r w:rsidR="006568BE" w:rsidRPr="00A25DEA">
              <w:rPr>
                <w:bCs/>
              </w:rPr>
              <w:t xml:space="preserve"> </w:t>
            </w:r>
            <w:r w:rsidR="006568BE" w:rsidRPr="00A25DEA">
              <w:rPr>
                <w:color w:val="000000"/>
                <w:lang w:eastAsia="en-GB"/>
              </w:rPr>
              <w:t>Dokumentų, susijusių su Lietuvos Respublikos pilietybe, teikimo ir nagrinėjimo tvarkos apraš</w:t>
            </w:r>
            <w:r w:rsidR="006568BE">
              <w:rPr>
                <w:color w:val="000000"/>
                <w:lang w:eastAsia="en-GB"/>
              </w:rPr>
              <w:t>e</w:t>
            </w:r>
            <w:r w:rsidR="006568BE" w:rsidRPr="00A25DEA">
              <w:rPr>
                <w:color w:val="000000"/>
                <w:lang w:eastAsia="en-GB"/>
              </w:rPr>
              <w:t xml:space="preserve"> (toliau – Aprašas)</w:t>
            </w:r>
            <w:r w:rsidR="006568BE" w:rsidRPr="00A25DEA">
              <w:rPr>
                <w:bCs/>
              </w:rPr>
              <w:t xml:space="preserve"> </w:t>
            </w:r>
            <w:r w:rsidR="00D97DE4" w:rsidRPr="00A25DEA">
              <w:rPr>
                <w:color w:val="000000"/>
                <w:lang w:eastAsia="en-GB"/>
              </w:rPr>
              <w:t xml:space="preserve">jiems suteikiama galimybė atvykti į Migracijos departamentą ir prašymą užpildyti, padedant Migracijos departamento darbuotojams. Manome, kad kitiems asmenims suteikti galimybę prašymą užpildyti Migracijos departamente yra netikslinga, ir atvejai, kai jie dėl objektyvių priežasčių negali užpildyti prašymo MIGRIS, gali būti itin reti, </w:t>
            </w:r>
            <w:r w:rsidR="00D97DE4" w:rsidRPr="00A25DEA">
              <w:rPr>
                <w:color w:val="000000"/>
                <w:lang w:eastAsia="en-GB"/>
              </w:rPr>
              <w:lastRenderedPageBreak/>
              <w:t>todėl, jeigu asmuo, atvykęs į Migracijos departamentą</w:t>
            </w:r>
            <w:r>
              <w:rPr>
                <w:color w:val="000000"/>
                <w:lang w:eastAsia="en-GB"/>
              </w:rPr>
              <w:t>,</w:t>
            </w:r>
            <w:r w:rsidR="00D97DE4" w:rsidRPr="00A25DEA">
              <w:rPr>
                <w:color w:val="000000"/>
                <w:lang w:eastAsia="en-GB"/>
              </w:rPr>
              <w:t xml:space="preserve"> pagrįs, kad jis neturi kitų galimybių užpildyti prašymo, šio asmens prašymo pildymo klausimas bus sprendžiamas individualiai, vadovaujantis gero viešojo administravimo principu.</w:t>
            </w:r>
          </w:p>
          <w:p w14:paraId="3B906519" w14:textId="7F8E4FA1" w:rsidR="00353033" w:rsidRPr="00A25DEA" w:rsidRDefault="00A25DEA" w:rsidP="00B47334">
            <w:pPr>
              <w:jc w:val="both"/>
              <w:rPr>
                <w:b/>
                <w:szCs w:val="24"/>
              </w:rPr>
            </w:pPr>
            <w:r>
              <w:rPr>
                <w:color w:val="000000"/>
                <w:lang w:eastAsia="en-GB"/>
              </w:rPr>
              <w:t>Taip pat</w:t>
            </w:r>
            <w:r w:rsidR="00D97DE4" w:rsidRPr="00A25DEA">
              <w:rPr>
                <w:color w:val="000000"/>
                <w:lang w:eastAsia="en-GB"/>
              </w:rPr>
              <w:t xml:space="preserve"> informuojame, kad Migracijos departamentas yra parengęs ir viešojoje erdvėje paskelbęs pagalbines MIGRIS pildymo instrukcijas, MIGRIS prašymo formoje taip pat yra įdiegtos prašymo pildymą lengvinančios priemonės (</w:t>
            </w:r>
            <w:r w:rsidR="00D97DE4" w:rsidRPr="00A25DEA">
              <w:t xml:space="preserve">prie kiekvieno klausimo yra pateikiami patarimai (angl. </w:t>
            </w:r>
            <w:r w:rsidR="00D97DE4" w:rsidRPr="00A25DEA">
              <w:rPr>
                <w:i/>
              </w:rPr>
              <w:t>hint</w:t>
            </w:r>
            <w:r w:rsidR="00D97DE4" w:rsidRPr="00A25DEA">
              <w:t xml:space="preserve">), paaiškinantys, kokie duomenys turi būti nurodyti konkrečioje prašymo eilutėje), todėl </w:t>
            </w:r>
            <w:r w:rsidR="00D97DE4" w:rsidRPr="00A25DEA">
              <w:rPr>
                <w:color w:val="000000"/>
                <w:lang w:eastAsia="en-GB"/>
              </w:rPr>
              <w:t>Projekte nenumatytas prašymų teikimo per MIGRIS pereinamasis laikotarpis.</w:t>
            </w:r>
          </w:p>
        </w:tc>
      </w:tr>
      <w:tr w:rsidR="00353033" w:rsidRPr="00A25DEA" w14:paraId="6917F5AB" w14:textId="77777777" w:rsidTr="0041085C">
        <w:trPr>
          <w:trHeight w:val="2968"/>
        </w:trPr>
        <w:tc>
          <w:tcPr>
            <w:tcW w:w="704" w:type="dxa"/>
            <w:vMerge/>
          </w:tcPr>
          <w:p w14:paraId="3ACBADBB" w14:textId="77777777" w:rsidR="00353033" w:rsidRPr="00A25DEA" w:rsidRDefault="00353033" w:rsidP="00D46B8B">
            <w:pPr>
              <w:pStyle w:val="Sraopastraipa"/>
              <w:ind w:left="0"/>
              <w:jc w:val="both"/>
              <w:rPr>
                <w:iCs/>
                <w:szCs w:val="24"/>
              </w:rPr>
            </w:pPr>
          </w:p>
        </w:tc>
        <w:tc>
          <w:tcPr>
            <w:tcW w:w="3402" w:type="dxa"/>
            <w:vMerge/>
          </w:tcPr>
          <w:p w14:paraId="32D4A6DE" w14:textId="77777777" w:rsidR="00353033" w:rsidRPr="00A25DEA" w:rsidRDefault="00353033" w:rsidP="00E07CAE">
            <w:pPr>
              <w:jc w:val="both"/>
              <w:rPr>
                <w:iCs/>
                <w:szCs w:val="24"/>
              </w:rPr>
            </w:pPr>
          </w:p>
        </w:tc>
        <w:tc>
          <w:tcPr>
            <w:tcW w:w="5789" w:type="dxa"/>
          </w:tcPr>
          <w:p w14:paraId="23125483" w14:textId="77777777" w:rsidR="00353033" w:rsidRPr="00A25DEA" w:rsidRDefault="00353033" w:rsidP="004132F5">
            <w:pPr>
              <w:contextualSpacing/>
              <w:jc w:val="both"/>
            </w:pPr>
            <w:r w:rsidRPr="00A25DEA">
              <w:t xml:space="preserve">4. Pažymėtina, kad </w:t>
            </w:r>
            <w:r w:rsidRPr="00A25DEA">
              <w:rPr>
                <w:color w:val="201F1E"/>
                <w:bdr w:val="none" w:sz="0" w:space="0" w:color="auto" w:frame="1"/>
              </w:rPr>
              <w:t>dokumentų legalizavimo ar patvirtinimo pažyma (</w:t>
            </w:r>
            <w:r w:rsidRPr="00A25DEA">
              <w:rPr>
                <w:i/>
                <w:color w:val="201F1E"/>
                <w:bdr w:val="none" w:sz="0" w:space="0" w:color="auto" w:frame="1"/>
              </w:rPr>
              <w:t>Apostille</w:t>
            </w:r>
            <w:r w:rsidRPr="00A25DEA">
              <w:rPr>
                <w:color w:val="201F1E"/>
                <w:bdr w:val="none" w:sz="0" w:space="0" w:color="auto" w:frame="1"/>
              </w:rPr>
              <w:t xml:space="preserve">) reikalavimas yra taikomas tik užsienio valstybių išduotų ar užsienio valstybės notarine ar jai prilyginta tvarka patvirtintų dokumentų atveju. Atsižvelgiant į tai, siūlytina Aprašo 7.2 papunkčio paskutiniame sakinyje nurodyti, jog taikomos ne tik </w:t>
            </w:r>
            <w:r w:rsidRPr="00A25DEA">
              <w:rPr>
                <w:color w:val="000000"/>
              </w:rPr>
              <w:t>Aprašo 5 punkte nurodytos išimtys</w:t>
            </w:r>
            <w:r w:rsidRPr="00A25DEA">
              <w:rPr>
                <w:color w:val="201F1E"/>
                <w:bdr w:val="none" w:sz="0" w:space="0" w:color="auto" w:frame="1"/>
              </w:rPr>
              <w:t xml:space="preserve">, bet ir tais atvejais, kai dokumentas </w:t>
            </w:r>
            <w:r w:rsidRPr="00A25DEA">
              <w:rPr>
                <w:bCs/>
                <w:color w:val="201F1E"/>
                <w:bdr w:val="none" w:sz="0" w:space="0" w:color="auto" w:frame="1"/>
              </w:rPr>
              <w:t>yra patvirtintas Lietuvos Respublikos notaro (šiuo aspektu tikslintini ir kiti Aprašo punktai).</w:t>
            </w:r>
            <w:r w:rsidRPr="00A25DEA">
              <w:rPr>
                <w:color w:val="201F1E"/>
                <w:bdr w:val="none" w:sz="0" w:space="0" w:color="auto" w:frame="1"/>
              </w:rPr>
              <w:t xml:space="preserve"> </w:t>
            </w:r>
            <w:r w:rsidRPr="00A25DEA">
              <w:t xml:space="preserve">Aprašo 7.2 papunktyje taip pat siūlytina aptarti ir atvejus, jei pareiškimas būtų pasirašomas </w:t>
            </w:r>
            <w:r w:rsidRPr="00A25DEA">
              <w:rPr>
                <w:i/>
                <w:iCs/>
              </w:rPr>
              <w:t>elektroniniu parašu</w:t>
            </w:r>
            <w:r w:rsidRPr="00A25DEA">
              <w:t>.</w:t>
            </w:r>
          </w:p>
        </w:tc>
        <w:tc>
          <w:tcPr>
            <w:tcW w:w="5409" w:type="dxa"/>
          </w:tcPr>
          <w:p w14:paraId="1140F278" w14:textId="77777777" w:rsidR="00353033" w:rsidRPr="00A25DEA" w:rsidRDefault="00353033" w:rsidP="00D46B8B">
            <w:pPr>
              <w:jc w:val="both"/>
              <w:rPr>
                <w:b/>
                <w:bCs/>
              </w:rPr>
            </w:pPr>
            <w:r w:rsidRPr="00A25DEA">
              <w:rPr>
                <w:b/>
                <w:bCs/>
              </w:rPr>
              <w:t>Atsižvelgta iš dalies.</w:t>
            </w:r>
          </w:p>
          <w:p w14:paraId="03A2A703" w14:textId="21050DC2" w:rsidR="00353033" w:rsidRPr="00A25DEA" w:rsidRDefault="006A2C51" w:rsidP="00F97385">
            <w:pPr>
              <w:jc w:val="both"/>
              <w:rPr>
                <w:bCs/>
              </w:rPr>
            </w:pPr>
            <w:r w:rsidRPr="00A25DEA">
              <w:rPr>
                <w:color w:val="000000"/>
                <w:lang w:eastAsia="en-GB"/>
              </w:rPr>
              <w:t>Aprašas</w:t>
            </w:r>
            <w:r w:rsidR="00353033" w:rsidRPr="00A25DEA">
              <w:rPr>
                <w:bCs/>
              </w:rPr>
              <w:t xml:space="preserve"> papildytas išimtimis, kai įgaliojimus arba asmens parašo tikrumą tvirtina Lietuvos Respublikos notarai.</w:t>
            </w:r>
          </w:p>
          <w:p w14:paraId="11EDC129" w14:textId="40708981" w:rsidR="00353033" w:rsidRPr="00A25DEA" w:rsidRDefault="00353033" w:rsidP="00B47334">
            <w:pPr>
              <w:jc w:val="both"/>
              <w:rPr>
                <w:bCs/>
              </w:rPr>
            </w:pPr>
            <w:r w:rsidRPr="00A25DEA">
              <w:rPr>
                <w:bCs/>
              </w:rPr>
              <w:t xml:space="preserve">Į pasiūlymą </w:t>
            </w:r>
            <w:r w:rsidRPr="00A25DEA">
              <w:t xml:space="preserve">Aprašo 7.2 papunktyje aptarti ir atvejus, jei pareiškimas būtų pasirašomas </w:t>
            </w:r>
            <w:r w:rsidRPr="00A25DEA">
              <w:rPr>
                <w:i/>
                <w:iCs/>
              </w:rPr>
              <w:t>elektroniniu parašu</w:t>
            </w:r>
            <w:r w:rsidRPr="00A25DEA">
              <w:t>, neatsižvelgta. Informuojame, kad Migracijos departamentas nurodytus pareiškimus dėl kitos valstybės pilietybės atsisakymo siunčia tos valstybės, kurios pilietybės asmuo atsisako, kompetentingoms institucijoms, kad jos galėtų pradėti kitos valstybės pilietybės netekimo procedūras. Taigi, siekiant išvengti situacijų, kai kitos valstybės kompetentingos institucijos negalėtų patikrinti asmens elektroninio parašo ir identifikuoti šį asmenį, atitinkamai, pradėti kitos valstybės pilietybės netekimo procedūrą</w:t>
            </w:r>
            <w:r w:rsidR="00A25DEA">
              <w:t xml:space="preserve"> ir</w:t>
            </w:r>
            <w:r w:rsidRPr="00A25DEA">
              <w:t xml:space="preserve"> užtikrinti, kad asmenys, kuriems buvo suteikta Lietuvos Respublikos pilietybė ir kurie neatitinka dvigubos pilietybės turėjimo sąlygų, neteisėtai nesinaudotų dvigubos pilietybės institutu, Apraše nėra </w:t>
            </w:r>
            <w:r w:rsidRPr="00A25DEA">
              <w:lastRenderedPageBreak/>
              <w:t>numatyta galimybės Migracijos departamentui teikti elektroniniu parašu pasirašytą pareiškimą dėl kitos valstybės pilietybės atsisakymo.</w:t>
            </w:r>
          </w:p>
        </w:tc>
      </w:tr>
      <w:tr w:rsidR="0070755D" w:rsidRPr="00A25DEA" w14:paraId="28398D43" w14:textId="77777777" w:rsidTr="001548BD">
        <w:trPr>
          <w:trHeight w:val="560"/>
        </w:trPr>
        <w:tc>
          <w:tcPr>
            <w:tcW w:w="704" w:type="dxa"/>
            <w:vMerge/>
          </w:tcPr>
          <w:p w14:paraId="01352F4B" w14:textId="77777777" w:rsidR="0070755D" w:rsidRPr="00A25DEA" w:rsidRDefault="0070755D" w:rsidP="00D46B8B">
            <w:pPr>
              <w:pStyle w:val="Sraopastraipa"/>
              <w:ind w:left="0"/>
              <w:jc w:val="both"/>
              <w:rPr>
                <w:iCs/>
                <w:szCs w:val="24"/>
              </w:rPr>
            </w:pPr>
          </w:p>
        </w:tc>
        <w:tc>
          <w:tcPr>
            <w:tcW w:w="3402" w:type="dxa"/>
            <w:vMerge/>
          </w:tcPr>
          <w:p w14:paraId="706412A1" w14:textId="77777777" w:rsidR="0070755D" w:rsidRPr="00A25DEA" w:rsidRDefault="0070755D" w:rsidP="00E07CAE">
            <w:pPr>
              <w:jc w:val="both"/>
              <w:rPr>
                <w:iCs/>
                <w:szCs w:val="24"/>
              </w:rPr>
            </w:pPr>
          </w:p>
        </w:tc>
        <w:tc>
          <w:tcPr>
            <w:tcW w:w="5789" w:type="dxa"/>
          </w:tcPr>
          <w:p w14:paraId="4A2BA825" w14:textId="5FF861EA" w:rsidR="002532F2" w:rsidRPr="00A25DEA" w:rsidRDefault="002532F2" w:rsidP="002532F2">
            <w:pPr>
              <w:suppressAutoHyphens/>
              <w:contextualSpacing/>
              <w:jc w:val="both"/>
            </w:pPr>
            <w:r w:rsidRPr="00A25DEA">
              <w:t xml:space="preserve">5. Aprašo 7.7 papunktyje nustatyta, kad tuo atveju, kai Pilietybės įstatymo 37 straipsnio 1 dalyje nurodytas asmuo pageidauja, kad jo prašymas būtų nagrinėjamas naudojant prie kito asmens prašymo pridėtus dokumentus, jis turi pateikti Reglamento (ES) 2016/679 reikalavimus atitinkantį kito asmens pasirašytą sutikimą, kad prie jo prašymo dėl Lietuvos Respublikos pilietybės pridėti dokumentai su juose nurodytais jo asmens duomenimis būtų naudojami nagrinėjant pateikiančio asmens prašymą dėl Lietuvos Respublikos pilietybės atkūrimo. </w:t>
            </w:r>
          </w:p>
          <w:p w14:paraId="07DE69FD" w14:textId="77777777" w:rsidR="002532F2" w:rsidRPr="00A25DEA" w:rsidRDefault="002532F2" w:rsidP="002532F2">
            <w:pPr>
              <w:pStyle w:val="Sraopastraipa"/>
              <w:ind w:left="0"/>
              <w:jc w:val="both"/>
            </w:pPr>
            <w:r w:rsidRPr="00A25DEA">
              <w:t>Aprašo 26 punkte nurodyta, kad „jeigu Migracijos departamentas, nagrinėdamas prašymą dėl Lietuvos Respublikos pilietybės atkūrimo &lt;..&gt; nustato, kad &lt;...&gt;  aprašo 7.7 papunktyje nurodytas sutikimas neatitinka Reglamento (ES) 2016/679 reikalavimų arba sutikimą pateikęs asmuo šį sutikimą atšaukė, &lt;...&gt; Migracijos departamentas šį prašymą pateikusiam asmeniui išsiunčia pranešimą per MIGRIS ir nustato pagrįstą, bet ne ilgesnį kaip 1 metų, terminą reikiamiems duomenims ir (ar) dokumentams pateikti arba patikslinti“.</w:t>
            </w:r>
          </w:p>
          <w:p w14:paraId="7A94BA84" w14:textId="77777777" w:rsidR="002532F2" w:rsidRPr="00A25DEA" w:rsidRDefault="002532F2" w:rsidP="002532F2">
            <w:pPr>
              <w:pStyle w:val="Sraopastraipa"/>
              <w:ind w:left="0"/>
              <w:jc w:val="both"/>
            </w:pPr>
            <w:r w:rsidRPr="00A25DEA">
              <w:t xml:space="preserve">Iš šių Aprašo nuostatų nėra aišku, ar tokiu atveju, jeigu duomenų subjektas, kurio asmens duomenimis pageidauja naudotis Pilietybės įstatymo 37 straipsnio 1 dalyje nurodytas asmuo, nesutiks patvirtinti sutikimo arba </w:t>
            </w:r>
            <w:r w:rsidRPr="00A25DEA">
              <w:lastRenderedPageBreak/>
              <w:t xml:space="preserve">prašymo nagrinėjimo procedūros eigoje atšauks minėtą sutikimą, kai jo asmens duomenys (dokumentai) galimai yra būtini nagrinėjant asmens prašymą, asmuo nepatirs neigiamų pasekmių prašymo nagrinėjimo procedūros eigoje. Be to, jei duomenų subjektas neduos sutikimo ar jį atšauks, kitam asmeniui gal būti sudėtinga ar apskritai neįmanoma per Migracijos departamento nustatytą terminą pateikti reikiamus duomenis ir (ar) dokumentus. Taip pat reikia įvertinti ir tą aplinkybę, kad pateiktuose dokumentuose gali būti ne tik to duomenų subjekto, kurio sutikimo būtų reikalaujama, bet ir, pavyzdžiui, jo artimųjų asmens duomenų. Be to, Reglamento (ES) 2016/679 7 straipsnio 1 dalyje įtvirtinta, kad kai asmens duomenys tvarkomi remiantis sutikimu, duomenų valdytojas turi galėti įrodyti, kad duomenų subjektas davė sutikimą, kad būtų tvarkomi jo asmens duomenys. Šiuo atveju sutikimas duodamas kitam asmeniui (ne Migracijos departamentui (duomenų valdytojui), tačiau įvertinimą, ar sutikimas atitinka Reglamento (ES) 2016/679 reikalavimus, atliks Migracijos departamentas, remiantis Aprašo 26 punktu. Taigi, jei Migracijos departamentas vertins sutikimo atitiktį Reglamento (ES) 2016/679 reikalavimams, tai jam, kaip duomenų valdytojui, ir turėtų būti teikiamas sutikimas. Priešingu atveju, kyla klausimas, kaip Migracijos departamentas galės įvertinti, ar sutikimas </w:t>
            </w:r>
            <w:r w:rsidRPr="00A25DEA">
              <w:rPr>
                <w:color w:val="000000"/>
                <w:lang w:eastAsia="lt-LT"/>
              </w:rPr>
              <w:t xml:space="preserve">yra suteiktas laisva valia, konkretus, informacija pagrįstas ir vienareikšmis nurodymas ir pan. Be to, pagal </w:t>
            </w:r>
            <w:r w:rsidRPr="00A25DEA">
              <w:t>Reglamento (ES) 2016/679 7 straipsnio 3 dalį atšaukti sutikimą turi būti taip pat lengva kaip jį duoti. Kyla klausimas, kaip Migracijos departamentas įsitikins, ar sutikimas nėra atšauktas, jei prašymas atšaukti sutikimą pateikiamas prašymą pateikusiam asmeniui, taip pat nėra nustatyta, kaip duomenų subjektas galės sutikimą atšaukti</w:t>
            </w:r>
            <w:r w:rsidRPr="00A25DEA">
              <w:rPr>
                <w:color w:val="000000"/>
              </w:rPr>
              <w:t xml:space="preserve">. </w:t>
            </w:r>
          </w:p>
          <w:p w14:paraId="36C44F37" w14:textId="77777777" w:rsidR="002532F2" w:rsidRPr="00A25DEA" w:rsidRDefault="002532F2" w:rsidP="002532F2">
            <w:pPr>
              <w:pStyle w:val="Sraopastraipa"/>
              <w:ind w:left="0"/>
              <w:jc w:val="both"/>
            </w:pPr>
            <w:r w:rsidRPr="00A25DEA">
              <w:lastRenderedPageBreak/>
              <w:t>Taigi, siūlome įvertinti, ar kito subjekto asmens duomenų naudojimas gali būti grindžiamas jo sutikimu, ar dėl to nekiltų asmenims neigiamų pasekmių prašymo nagrinėjimo procedūros eigoje. Atsižvelgiant į Reglamento (ES) 2016/679 nuostatas ir į tai, kad duomenų valdytojas – valstybės institucija, siūlome įvertinti galimybę nustatyti, kad asmens duomenų tvarkymas būtų grindžiamas kita teisėto asmens duomenų tvarkymo sąlyga, nustatyta Reglamento (ES) 2016/679 6 straipsnio 1 dalies c punktu ar e punktu.</w:t>
            </w:r>
          </w:p>
          <w:p w14:paraId="241FD529" w14:textId="77777777" w:rsidR="0070755D" w:rsidRPr="00A25DEA" w:rsidRDefault="002532F2" w:rsidP="002532F2">
            <w:pPr>
              <w:contextualSpacing/>
              <w:jc w:val="both"/>
            </w:pPr>
            <w:r w:rsidRPr="00A25DEA">
              <w:t>Pastebėtina, kad dėl šių Aprašo nuostatų buvo teikta pastaba ir Valstybinės duomenų apsaugos inspekcijos 2020 m. rugsėjo 11 d. išvadoje Nr. 2R-4560 – (3.2E), tai pat ir Lietuvos Respublikos Vyriausybės kanceliarijos Teisės grupės 2021 m. sausio 11 d. išvadoje Nr. NV-62.</w:t>
            </w:r>
          </w:p>
          <w:p w14:paraId="74415A1C" w14:textId="77777777" w:rsidR="002532F2" w:rsidRPr="00A25DEA" w:rsidRDefault="002532F2" w:rsidP="002532F2">
            <w:pPr>
              <w:contextualSpacing/>
              <w:jc w:val="both"/>
            </w:pPr>
          </w:p>
        </w:tc>
        <w:tc>
          <w:tcPr>
            <w:tcW w:w="5409" w:type="dxa"/>
          </w:tcPr>
          <w:p w14:paraId="0A2AEAAC" w14:textId="59D6F485" w:rsidR="0070755D" w:rsidRPr="00A25DEA" w:rsidRDefault="00826934" w:rsidP="00D46B8B">
            <w:pPr>
              <w:jc w:val="both"/>
              <w:rPr>
                <w:b/>
                <w:bCs/>
              </w:rPr>
            </w:pPr>
            <w:r>
              <w:rPr>
                <w:b/>
                <w:bCs/>
              </w:rPr>
              <w:lastRenderedPageBreak/>
              <w:t>Atsižvelgta iš dalies</w:t>
            </w:r>
            <w:r w:rsidR="002532F2" w:rsidRPr="00A25DEA">
              <w:rPr>
                <w:b/>
                <w:bCs/>
              </w:rPr>
              <w:t>.</w:t>
            </w:r>
          </w:p>
          <w:p w14:paraId="3B196C51" w14:textId="7F02B0AC" w:rsidR="00204B0A" w:rsidRPr="00204B0A" w:rsidRDefault="00716B53" w:rsidP="00204B0A">
            <w:pPr>
              <w:jc w:val="both"/>
              <w:rPr>
                <w:color w:val="000000"/>
              </w:rPr>
            </w:pPr>
            <w:r w:rsidRPr="00A25DEA">
              <w:rPr>
                <w:bCs/>
                <w:szCs w:val="24"/>
              </w:rPr>
              <w:t>Pagal Pilietybės įstatymo 38 straipsnio 2 dalies 2 punktą</w:t>
            </w:r>
            <w:r w:rsidR="00A25DEA">
              <w:rPr>
                <w:bCs/>
                <w:szCs w:val="24"/>
              </w:rPr>
              <w:t>,</w:t>
            </w:r>
            <w:r w:rsidRPr="00A25DEA">
              <w:rPr>
                <w:bCs/>
                <w:szCs w:val="24"/>
              </w:rPr>
              <w:t xml:space="preserve"> kiekvienas asmuo, kuris teikia prašymą dėl Lietuvos Respublikos pilietybės atkūrimo, prie šio prašymo privalo pateikti </w:t>
            </w:r>
            <w:r w:rsidRPr="00A25DEA">
              <w:rPr>
                <w:color w:val="000000"/>
              </w:rPr>
              <w:t xml:space="preserve">prašymą pagrindžiančius dokumentus. Pažymėtina, kad prašymus dėl Lietuvos Respublikos pilietybės atkūrimo teikiantys asmenys šią prievolę turi įvykdyti net ir tais atvejais, kai dokumentai, kuriais jie nori grįsti savo prašymą, jau yra Migracijos departamente, </w:t>
            </w:r>
            <w:r w:rsidR="00A25DEA">
              <w:rPr>
                <w:color w:val="000000"/>
              </w:rPr>
              <w:t>nes</w:t>
            </w:r>
            <w:r w:rsidRPr="00A25DEA">
              <w:rPr>
                <w:color w:val="000000"/>
              </w:rPr>
              <w:t xml:space="preserve"> Migracijos departamentas nėra įgaliotas už šiuos asmenis nuspręsti, kokiais dokumentais jie nori grįsti savo prašymą. Atsižvelgiant į tai, kad prašymus dėl Lietuvos Respublikos pilietybės atkūrimo paprastai pateikia ne vienas, o keletas tos pačios šeimos narių, ir į tai, kad</w:t>
            </w:r>
            <w:r w:rsidR="00826934">
              <w:rPr>
                <w:color w:val="000000"/>
              </w:rPr>
              <w:t xml:space="preserve"> jie savo prašymus gali grįsti taip pačiais dokumentais</w:t>
            </w:r>
            <w:r w:rsidR="00411D3B">
              <w:rPr>
                <w:color w:val="000000"/>
              </w:rPr>
              <w:t>, kurie jau buvo nagrinėjami Migracijos departamente</w:t>
            </w:r>
            <w:r w:rsidR="00826934">
              <w:rPr>
                <w:color w:val="000000"/>
              </w:rPr>
              <w:t>,</w:t>
            </w:r>
            <w:r w:rsidRPr="00A25DEA">
              <w:rPr>
                <w:color w:val="000000"/>
              </w:rPr>
              <w:t xml:space="preserve"> </w:t>
            </w:r>
            <w:r w:rsidR="001D5D3F" w:rsidRPr="00A25DEA">
              <w:rPr>
                <w:color w:val="000000"/>
              </w:rPr>
              <w:t>Aprašo</w:t>
            </w:r>
            <w:r w:rsidRPr="00A25DEA">
              <w:rPr>
                <w:color w:val="000000"/>
              </w:rPr>
              <w:t xml:space="preserve"> 7.</w:t>
            </w:r>
            <w:r w:rsidR="001D5D3F" w:rsidRPr="00A25DEA">
              <w:rPr>
                <w:color w:val="000000"/>
              </w:rPr>
              <w:t>7</w:t>
            </w:r>
            <w:r w:rsidRPr="00A25DEA">
              <w:rPr>
                <w:color w:val="000000"/>
              </w:rPr>
              <w:t xml:space="preserve"> p</w:t>
            </w:r>
            <w:r w:rsidR="00D1777E" w:rsidRPr="00A25DEA">
              <w:rPr>
                <w:color w:val="000000"/>
              </w:rPr>
              <w:t>apunktyje</w:t>
            </w:r>
            <w:r w:rsidR="00826934">
              <w:rPr>
                <w:color w:val="000000"/>
              </w:rPr>
              <w:t xml:space="preserve"> </w:t>
            </w:r>
            <w:r w:rsidR="00411D3B">
              <w:rPr>
                <w:color w:val="000000"/>
              </w:rPr>
              <w:t>numatyta, kad prašymą teikiantis asmuo</w:t>
            </w:r>
            <w:r w:rsidR="006F19B9">
              <w:rPr>
                <w:color w:val="000000"/>
              </w:rPr>
              <w:t xml:space="preserve"> gali prašyti</w:t>
            </w:r>
            <w:r w:rsidR="00411D3B">
              <w:rPr>
                <w:color w:val="000000"/>
              </w:rPr>
              <w:t>, kad jo prašymas būtų nagrinėjamas pagal kito asmens byloje esančius dokumentus</w:t>
            </w:r>
            <w:r w:rsidR="006F19B9">
              <w:rPr>
                <w:color w:val="000000"/>
              </w:rPr>
              <w:t>.</w:t>
            </w:r>
            <w:r w:rsidR="00411D3B">
              <w:rPr>
                <w:color w:val="000000"/>
              </w:rPr>
              <w:t xml:space="preserve"> Tokiu atveju</w:t>
            </w:r>
            <w:r w:rsidR="006752BB">
              <w:rPr>
                <w:color w:val="000000"/>
              </w:rPr>
              <w:t xml:space="preserve"> </w:t>
            </w:r>
            <w:r w:rsidR="00964AD2">
              <w:rPr>
                <w:color w:val="000000"/>
              </w:rPr>
              <w:t xml:space="preserve">nereikės </w:t>
            </w:r>
            <w:r w:rsidR="006752BB">
              <w:rPr>
                <w:color w:val="000000"/>
              </w:rPr>
              <w:t xml:space="preserve">pateikti kito asmens sutikimo, tačiau </w:t>
            </w:r>
            <w:r w:rsidR="00411D3B">
              <w:rPr>
                <w:color w:val="000000"/>
              </w:rPr>
              <w:t>Migracijos departamentas</w:t>
            </w:r>
            <w:r w:rsidR="006F19B9">
              <w:rPr>
                <w:color w:val="000000"/>
              </w:rPr>
              <w:t xml:space="preserve"> apie </w:t>
            </w:r>
            <w:r w:rsidR="006752BB">
              <w:rPr>
                <w:color w:val="000000"/>
              </w:rPr>
              <w:t xml:space="preserve">tai, kad </w:t>
            </w:r>
            <w:r w:rsidR="006752BB" w:rsidRPr="006752BB">
              <w:rPr>
                <w:color w:val="000000"/>
              </w:rPr>
              <w:t xml:space="preserve">prie jo prašymo dėl Lietuvos Respublikos pilietybės pridėti dokumentai bus naudojami </w:t>
            </w:r>
            <w:r w:rsidR="006752BB" w:rsidRPr="006752BB">
              <w:rPr>
                <w:color w:val="000000"/>
              </w:rPr>
              <w:lastRenderedPageBreak/>
              <w:t>nagrinėjant kito asmens prašymą dėl Lietuvos Respublikos pilietybės atkūrimo</w:t>
            </w:r>
            <w:r w:rsidR="00964AD2">
              <w:rPr>
                <w:color w:val="000000"/>
              </w:rPr>
              <w:t>,</w:t>
            </w:r>
            <w:r w:rsidR="006752BB" w:rsidRPr="006752BB">
              <w:rPr>
                <w:color w:val="000000"/>
              </w:rPr>
              <w:t xml:space="preserve"> </w:t>
            </w:r>
            <w:r w:rsidR="00411D3B">
              <w:rPr>
                <w:color w:val="000000"/>
              </w:rPr>
              <w:t>informuoja asmenį, kurio pateiktais dokumentais prašymą teikiantis asmuo nori grįsti savo prašymą</w:t>
            </w:r>
            <w:r w:rsidR="00964AD2">
              <w:rPr>
                <w:color w:val="000000"/>
              </w:rPr>
              <w:t>,</w:t>
            </w:r>
            <w:r w:rsidR="00204B0A" w:rsidRPr="00204B0A">
              <w:rPr>
                <w:lang w:eastAsia="lt-LT"/>
              </w:rPr>
              <w:t xml:space="preserve"> </w:t>
            </w:r>
            <w:r w:rsidR="00204B0A" w:rsidRPr="00204B0A">
              <w:rPr>
                <w:color w:val="000000"/>
              </w:rPr>
              <w:t>ir kad jis turi teisę nesutikti, kad jo dokumentai būtų naudojami</w:t>
            </w:r>
            <w:r w:rsidR="00964AD2">
              <w:rPr>
                <w:color w:val="000000"/>
              </w:rPr>
              <w:t>,</w:t>
            </w:r>
            <w:r w:rsidR="00204B0A" w:rsidRPr="00204B0A">
              <w:rPr>
                <w:color w:val="000000"/>
              </w:rPr>
              <w:t xml:space="preserve"> ir per 30 dienų apie tai raštu informuoti Migracijos departamentą</w:t>
            </w:r>
            <w:r w:rsidR="00411D3B">
              <w:rPr>
                <w:color w:val="000000"/>
              </w:rPr>
              <w:t xml:space="preserve">. </w:t>
            </w:r>
            <w:r w:rsidR="00204B0A">
              <w:t xml:space="preserve">Taip </w:t>
            </w:r>
            <w:r w:rsidR="00204B0A" w:rsidRPr="00204B0A">
              <w:rPr>
                <w:color w:val="000000"/>
              </w:rPr>
              <w:t>siekiama užtikrinti, kad duomenų subjektas neliktų ne</w:t>
            </w:r>
            <w:r w:rsidR="00204B0A">
              <w:rPr>
                <w:color w:val="000000"/>
              </w:rPr>
              <w:t xml:space="preserve">informuotas apie jo pateiktų dokumentų naudojimą kito asmens prašymui nagrinėti </w:t>
            </w:r>
            <w:r w:rsidR="00204B0A" w:rsidRPr="00204B0A">
              <w:rPr>
                <w:color w:val="000000"/>
              </w:rPr>
              <w:t xml:space="preserve">ir turėtų pakankamai laiko įvertinti </w:t>
            </w:r>
            <w:r w:rsidR="00204B0A">
              <w:rPr>
                <w:color w:val="000000"/>
              </w:rPr>
              <w:t xml:space="preserve">galimą jų naudojimo </w:t>
            </w:r>
            <w:r w:rsidR="00204B0A" w:rsidRPr="00204B0A">
              <w:rPr>
                <w:color w:val="000000"/>
              </w:rPr>
              <w:t xml:space="preserve">poveikį ir pasinaudoti </w:t>
            </w:r>
            <w:r w:rsidR="00204B0A">
              <w:rPr>
                <w:color w:val="000000"/>
              </w:rPr>
              <w:t>teis</w:t>
            </w:r>
            <w:r w:rsidR="00964AD2">
              <w:rPr>
                <w:color w:val="000000"/>
              </w:rPr>
              <w:t>e</w:t>
            </w:r>
            <w:r w:rsidR="00204B0A">
              <w:rPr>
                <w:color w:val="000000"/>
              </w:rPr>
              <w:t xml:space="preserve"> </w:t>
            </w:r>
            <w:r w:rsidR="00204B0A" w:rsidRPr="00204B0A">
              <w:rPr>
                <w:color w:val="000000"/>
              </w:rPr>
              <w:t xml:space="preserve">nesutikti, kad </w:t>
            </w:r>
            <w:r w:rsidR="00204B0A">
              <w:rPr>
                <w:color w:val="000000"/>
              </w:rPr>
              <w:t xml:space="preserve">šie dokumentai </w:t>
            </w:r>
            <w:r w:rsidR="00204B0A" w:rsidRPr="00204B0A">
              <w:rPr>
                <w:color w:val="000000"/>
              </w:rPr>
              <w:t xml:space="preserve">būtų </w:t>
            </w:r>
            <w:r w:rsidR="00204B0A">
              <w:rPr>
                <w:color w:val="000000"/>
              </w:rPr>
              <w:t>naudojami</w:t>
            </w:r>
            <w:r w:rsidR="00204B0A" w:rsidRPr="00204B0A">
              <w:rPr>
                <w:color w:val="000000"/>
              </w:rPr>
              <w:t>.</w:t>
            </w:r>
          </w:p>
          <w:p w14:paraId="2FC8C5B0" w14:textId="02D6E617" w:rsidR="00927593" w:rsidRDefault="00411D3B" w:rsidP="006F19B9">
            <w:pPr>
              <w:jc w:val="both"/>
              <w:rPr>
                <w:color w:val="000000"/>
              </w:rPr>
            </w:pPr>
            <w:r>
              <w:rPr>
                <w:color w:val="000000"/>
              </w:rPr>
              <w:t xml:space="preserve">Jeigu Migracijos departamentas gaus kito asmens nesutikimą, kad prie jo prašymo pridėti dokumentai būtų vertinami, nagrinėjant kito asmens prašymą, </w:t>
            </w:r>
            <w:r w:rsidR="00927593">
              <w:rPr>
                <w:color w:val="000000"/>
              </w:rPr>
              <w:t>prašymo nagrinėjimas bus stabdomas ir Migracijos departamentas kreipsis į prašymą dėl Lietuvos Respublikos pilietybės atkūrimo pateikusį asmenį dėl papildomų dokumentų pateikimo pagal Aprašo 26 punktą.</w:t>
            </w:r>
          </w:p>
          <w:p w14:paraId="49DF6C66" w14:textId="02FA5BC6" w:rsidR="002532F2" w:rsidRPr="00A25DEA" w:rsidRDefault="00927593" w:rsidP="006F19B9">
            <w:pPr>
              <w:jc w:val="both"/>
              <w:rPr>
                <w:color w:val="000000"/>
              </w:rPr>
            </w:pPr>
            <w:r>
              <w:rPr>
                <w:color w:val="000000"/>
              </w:rPr>
              <w:t>Taip pat</w:t>
            </w:r>
            <w:r w:rsidRPr="00A25DEA">
              <w:rPr>
                <w:color w:val="000000"/>
              </w:rPr>
              <w:t xml:space="preserve"> pažymime, kad teisę prašyti asmens pateikti papildomus dokumentus Migracijos departamentui suteikia Pilietybės įstatymo 37 straipsnio 6 dalis, pagal kurią šio straipsnio 2 dalyje nurodytos įstaigos turi teisę pareikalauti asmens pateikti papildomus dokumentus, patvirtinančius šiame įstatyme nurodytas aplinkybes dėl Lietuvos Respublikos pilietybės įgijimo ar atkūrimo.</w:t>
            </w:r>
            <w:r>
              <w:rPr>
                <w:color w:val="000000"/>
              </w:rPr>
              <w:t xml:space="preserve"> </w:t>
            </w:r>
          </w:p>
          <w:p w14:paraId="1B4E5C59" w14:textId="57B2C829" w:rsidR="00716B53" w:rsidRPr="00A25DEA" w:rsidRDefault="005F631B" w:rsidP="00C64767">
            <w:pPr>
              <w:jc w:val="both"/>
              <w:rPr>
                <w:bCs/>
              </w:rPr>
            </w:pPr>
            <w:r w:rsidRPr="00A25DEA">
              <w:rPr>
                <w:color w:val="000000"/>
              </w:rPr>
              <w:t>Atsižvelgdami</w:t>
            </w:r>
            <w:r w:rsidR="00716B53" w:rsidRPr="00A25DEA">
              <w:rPr>
                <w:color w:val="000000"/>
              </w:rPr>
              <w:t xml:space="preserve"> į tai, kad prašymą teikiantis asmuo privalo pateikti visus jo prašymą pagrindžiančius dokumentus</w:t>
            </w:r>
            <w:r w:rsidR="00A25DEA">
              <w:rPr>
                <w:color w:val="000000"/>
              </w:rPr>
              <w:t>,</w:t>
            </w:r>
            <w:r w:rsidR="00716B53" w:rsidRPr="00A25DEA">
              <w:rPr>
                <w:color w:val="000000"/>
              </w:rPr>
              <w:t xml:space="preserve"> taip pat </w:t>
            </w:r>
            <w:r w:rsidR="00A25DEA">
              <w:rPr>
                <w:color w:val="000000"/>
              </w:rPr>
              <w:t xml:space="preserve">į </w:t>
            </w:r>
            <w:r w:rsidR="00716B53" w:rsidRPr="00A25DEA">
              <w:rPr>
                <w:color w:val="000000"/>
              </w:rPr>
              <w:t xml:space="preserve">tai, kad Apraše nustatytas </w:t>
            </w:r>
            <w:r w:rsidR="00A25DEA">
              <w:rPr>
                <w:color w:val="000000"/>
              </w:rPr>
              <w:t>gana</w:t>
            </w:r>
            <w:r w:rsidR="00716B53" w:rsidRPr="00A25DEA">
              <w:rPr>
                <w:color w:val="000000"/>
              </w:rPr>
              <w:t xml:space="preserve"> ilgas terminas papildomiems dokumentams pateikti, </w:t>
            </w:r>
            <w:r w:rsidR="00927593">
              <w:rPr>
                <w:color w:val="000000"/>
              </w:rPr>
              <w:t>jeigu</w:t>
            </w:r>
            <w:r w:rsidR="00927593" w:rsidRPr="00A25DEA">
              <w:rPr>
                <w:color w:val="000000"/>
              </w:rPr>
              <w:t xml:space="preserve"> </w:t>
            </w:r>
            <w:r w:rsidR="00927593">
              <w:rPr>
                <w:color w:val="000000"/>
              </w:rPr>
              <w:t>asmuo prieštaraus, kad jo dokumentais būtų naudojamasi, nagrinėjant kito asmens prašymą</w:t>
            </w:r>
            <w:r w:rsidRPr="00A25DEA">
              <w:rPr>
                <w:color w:val="000000"/>
              </w:rPr>
              <w:t xml:space="preserve"> </w:t>
            </w:r>
            <w:r w:rsidR="00716B53" w:rsidRPr="00A25DEA">
              <w:rPr>
                <w:color w:val="000000"/>
              </w:rPr>
              <w:t xml:space="preserve">(iki </w:t>
            </w:r>
            <w:r w:rsidR="00A25DEA">
              <w:rPr>
                <w:color w:val="000000"/>
              </w:rPr>
              <w:lastRenderedPageBreak/>
              <w:t>vienų</w:t>
            </w:r>
            <w:r w:rsidR="00716B53" w:rsidRPr="00A25DEA">
              <w:rPr>
                <w:color w:val="000000"/>
              </w:rPr>
              <w:t xml:space="preserve"> metų), manome, kad </w:t>
            </w:r>
            <w:r w:rsidR="00927593">
              <w:rPr>
                <w:color w:val="000000"/>
              </w:rPr>
              <w:t>šios aplinkybės</w:t>
            </w:r>
            <w:r w:rsidR="00716B53" w:rsidRPr="00A25DEA">
              <w:rPr>
                <w:color w:val="000000"/>
              </w:rPr>
              <w:t xml:space="preserve"> nesukels neigiamų padarinių prašymą teikiančiam asmeniui.</w:t>
            </w:r>
          </w:p>
        </w:tc>
      </w:tr>
      <w:tr w:rsidR="0070755D" w:rsidRPr="00A25DEA" w14:paraId="05263A26" w14:textId="77777777" w:rsidTr="001548BD">
        <w:trPr>
          <w:trHeight w:val="560"/>
        </w:trPr>
        <w:tc>
          <w:tcPr>
            <w:tcW w:w="704" w:type="dxa"/>
            <w:vMerge/>
          </w:tcPr>
          <w:p w14:paraId="42ED0F64" w14:textId="77777777" w:rsidR="0070755D" w:rsidRPr="00A25DEA" w:rsidRDefault="0070755D" w:rsidP="00D46B8B">
            <w:pPr>
              <w:pStyle w:val="Sraopastraipa"/>
              <w:ind w:left="0"/>
              <w:jc w:val="both"/>
              <w:rPr>
                <w:iCs/>
                <w:szCs w:val="24"/>
              </w:rPr>
            </w:pPr>
          </w:p>
        </w:tc>
        <w:tc>
          <w:tcPr>
            <w:tcW w:w="3402" w:type="dxa"/>
            <w:vMerge/>
          </w:tcPr>
          <w:p w14:paraId="1B74572E" w14:textId="77777777" w:rsidR="0070755D" w:rsidRPr="00A25DEA" w:rsidRDefault="0070755D" w:rsidP="00E07CAE">
            <w:pPr>
              <w:jc w:val="both"/>
              <w:rPr>
                <w:iCs/>
                <w:szCs w:val="24"/>
              </w:rPr>
            </w:pPr>
          </w:p>
        </w:tc>
        <w:tc>
          <w:tcPr>
            <w:tcW w:w="5789" w:type="dxa"/>
          </w:tcPr>
          <w:p w14:paraId="5941501C" w14:textId="1CA53969" w:rsidR="003F63DE" w:rsidRPr="00A25DEA" w:rsidRDefault="003F63DE" w:rsidP="003F63DE">
            <w:pPr>
              <w:suppressAutoHyphens/>
              <w:contextualSpacing/>
              <w:jc w:val="both"/>
            </w:pPr>
            <w:r w:rsidRPr="00A25DEA">
              <w:t xml:space="preserve">9. </w:t>
            </w:r>
            <w:r w:rsidRPr="00A25DEA">
              <w:rPr>
                <w:color w:val="000000"/>
                <w:lang w:eastAsia="lt-LT"/>
              </w:rPr>
              <w:t xml:space="preserve">Aprašo 9 punkto trečiojoje pastraipoje nurodytinas </w:t>
            </w:r>
            <w:r w:rsidRPr="00A25DEA">
              <w:rPr>
                <w:i/>
                <w:iCs/>
                <w:color w:val="000000"/>
                <w:lang w:eastAsia="lt-LT"/>
              </w:rPr>
              <w:t>terminas</w:t>
            </w:r>
            <w:r w:rsidRPr="00A25DEA">
              <w:rPr>
                <w:color w:val="000000"/>
                <w:lang w:eastAsia="lt-LT"/>
              </w:rPr>
              <w:t xml:space="preserve">, per kiek laiko nuo vertinimo atlikimo išsiunčiamas pranešimas. </w:t>
            </w:r>
          </w:p>
          <w:p w14:paraId="39AB1831" w14:textId="77777777" w:rsidR="0070755D" w:rsidRPr="00A25DEA" w:rsidRDefault="0070755D" w:rsidP="00E07CAE">
            <w:pPr>
              <w:contextualSpacing/>
              <w:jc w:val="both"/>
            </w:pPr>
          </w:p>
        </w:tc>
        <w:tc>
          <w:tcPr>
            <w:tcW w:w="5409" w:type="dxa"/>
          </w:tcPr>
          <w:p w14:paraId="73CBD75B" w14:textId="77777777" w:rsidR="003F63DE" w:rsidRPr="00A25DEA" w:rsidRDefault="003F63DE" w:rsidP="003F63DE">
            <w:pPr>
              <w:jc w:val="both"/>
              <w:rPr>
                <w:b/>
                <w:bCs/>
              </w:rPr>
            </w:pPr>
            <w:r w:rsidRPr="00A25DEA">
              <w:rPr>
                <w:b/>
                <w:bCs/>
              </w:rPr>
              <w:t>Neatsižvelgta.</w:t>
            </w:r>
          </w:p>
          <w:p w14:paraId="6E11A9CE" w14:textId="1D129FCF" w:rsidR="003F63DE" w:rsidRPr="00A25DEA" w:rsidRDefault="003F63DE" w:rsidP="003F63DE">
            <w:pPr>
              <w:jc w:val="both"/>
              <w:rPr>
                <w:bCs/>
              </w:rPr>
            </w:pPr>
            <w:r w:rsidRPr="00A25DEA">
              <w:rPr>
                <w:bCs/>
              </w:rPr>
              <w:t>Pranešimo išsiuntimas patenka į bendrą Aprašo 9 punkto pirmojoje pastraipoje nurodytą 1 mėnesio terminą.</w:t>
            </w:r>
          </w:p>
          <w:p w14:paraId="36AC2578" w14:textId="77777777" w:rsidR="0070755D" w:rsidRPr="00A25DEA" w:rsidRDefault="0070755D" w:rsidP="00D46B8B">
            <w:pPr>
              <w:jc w:val="both"/>
              <w:rPr>
                <w:b/>
                <w:bCs/>
              </w:rPr>
            </w:pPr>
          </w:p>
        </w:tc>
      </w:tr>
      <w:tr w:rsidR="000E40DB" w:rsidRPr="00A25DEA" w14:paraId="52BAB09C" w14:textId="77777777" w:rsidTr="001548BD">
        <w:trPr>
          <w:trHeight w:val="560"/>
        </w:trPr>
        <w:tc>
          <w:tcPr>
            <w:tcW w:w="704" w:type="dxa"/>
            <w:vMerge/>
          </w:tcPr>
          <w:p w14:paraId="26917735" w14:textId="77777777" w:rsidR="000E40DB" w:rsidRPr="00A25DEA" w:rsidRDefault="000E40DB" w:rsidP="00D46B8B">
            <w:pPr>
              <w:pStyle w:val="Sraopastraipa"/>
              <w:ind w:left="0"/>
              <w:jc w:val="both"/>
              <w:rPr>
                <w:iCs/>
                <w:szCs w:val="24"/>
              </w:rPr>
            </w:pPr>
          </w:p>
        </w:tc>
        <w:tc>
          <w:tcPr>
            <w:tcW w:w="3402" w:type="dxa"/>
            <w:vMerge/>
          </w:tcPr>
          <w:p w14:paraId="3596F6F5" w14:textId="77777777" w:rsidR="000E40DB" w:rsidRPr="00A25DEA" w:rsidRDefault="000E40DB" w:rsidP="00E07CAE">
            <w:pPr>
              <w:jc w:val="both"/>
              <w:rPr>
                <w:iCs/>
                <w:szCs w:val="24"/>
              </w:rPr>
            </w:pPr>
          </w:p>
        </w:tc>
        <w:tc>
          <w:tcPr>
            <w:tcW w:w="5789" w:type="dxa"/>
          </w:tcPr>
          <w:p w14:paraId="7B8CF283" w14:textId="173D2125" w:rsidR="000E40DB" w:rsidRPr="00A25DEA" w:rsidRDefault="003F63DE" w:rsidP="00B47334">
            <w:pPr>
              <w:suppressAutoHyphens/>
              <w:contextualSpacing/>
              <w:jc w:val="both"/>
            </w:pPr>
            <w:r w:rsidRPr="00A25DEA">
              <w:t>12.</w:t>
            </w:r>
            <w:r w:rsidRPr="00A25DEA">
              <w:rPr>
                <w:lang w:eastAsia="lt-LT"/>
              </w:rPr>
              <w:t xml:space="preserve"> Aprašo 15 punkte nustatomi prašymo </w:t>
            </w:r>
            <w:r w:rsidRPr="00A25DEA">
              <w:rPr>
                <w:i/>
                <w:iCs/>
                <w:lang w:eastAsia="lt-LT"/>
              </w:rPr>
              <w:t>nepriėmimo</w:t>
            </w:r>
            <w:r w:rsidRPr="00A25DEA">
              <w:rPr>
                <w:lang w:eastAsia="lt-LT"/>
              </w:rPr>
              <w:t xml:space="preserve"> atvejai. Visgi pastebėtina, kad lydraštyje kaip vienas iš projekto tikslų nurodomas reguliavimas, jog konsulinis pareigūnas „priimdamas prašymus nevertina šių prašymų ir prie jų pridedamų dokumentų atitikimo Pilietybės įstatyme nustatytiems reikalavimams“. Taip pat priėmus prašymą, manytina, turėtų būti skiriama laiko jiems įvertinti ir tuomet priimamas sprendimas jį grąžinti arba atsisakyti tenkinti. Tuo pačiu pažymėtina, kad Viešojo administravimo įstatymas iš viso nenumato prašymų nepriėmimo instituto.</w:t>
            </w:r>
          </w:p>
        </w:tc>
        <w:tc>
          <w:tcPr>
            <w:tcW w:w="5409" w:type="dxa"/>
          </w:tcPr>
          <w:p w14:paraId="69407FCD" w14:textId="77777777" w:rsidR="003F63DE" w:rsidRPr="00A25DEA" w:rsidRDefault="003F63DE" w:rsidP="003F63DE">
            <w:pPr>
              <w:rPr>
                <w:b/>
              </w:rPr>
            </w:pPr>
            <w:r w:rsidRPr="00A25DEA">
              <w:rPr>
                <w:b/>
              </w:rPr>
              <w:t>Neatsižvelgta.</w:t>
            </w:r>
          </w:p>
          <w:p w14:paraId="6A73D12F" w14:textId="0E7B9E65" w:rsidR="003F63DE" w:rsidRPr="00A25DEA" w:rsidRDefault="003F63DE" w:rsidP="003F63DE">
            <w:pPr>
              <w:jc w:val="both"/>
              <w:rPr>
                <w:rFonts w:eastAsiaTheme="minorHAnsi"/>
                <w:color w:val="000000"/>
                <w:szCs w:val="24"/>
              </w:rPr>
            </w:pPr>
            <w:r w:rsidRPr="00A25DEA">
              <w:t xml:space="preserve">Lietuvos Respublikos viešojo administravimo įstatymo 1 straipsnio 2 dalyje nustatyta, kad </w:t>
            </w:r>
            <w:r w:rsidR="005F0A2B" w:rsidRPr="00A25DEA">
              <w:t>š</w:t>
            </w:r>
            <w:r w:rsidRPr="00A25DEA">
              <w:t>io įstatymo antrojo ir trečiojo skyrių nuostatos viešojo administravimo subjektams, atliekantiems funkcijas pagal kituose įstatymuose, Europos Sąjungos teisės aktuose ar Lietuvos Respublikos tarptautinėse sutartyse nustatytą tvarką, taikomos tiek, kiek jų veiklos priimant administracinius sprendimus, teikiant administracines paslaugas, priimant ir nagrinėja</w:t>
            </w:r>
            <w:r w:rsidR="00A25DEA">
              <w:t>n</w:t>
            </w:r>
            <w:r w:rsidRPr="00A25DEA">
              <w:t xml:space="preserve">t prašymus ar skundus nenustato kiti tokią veiklą reglamentuojantys įstatymai, Europos Sąjungos teisės aktai ar Lietuvos Respublikos tarptautinės sutartys. </w:t>
            </w:r>
            <w:r w:rsidRPr="00A25DEA">
              <w:lastRenderedPageBreak/>
              <w:t xml:space="preserve">Pažymime, kad </w:t>
            </w:r>
            <w:r w:rsidRPr="00A25DEA">
              <w:rPr>
                <w:rFonts w:eastAsiaTheme="minorHAnsi"/>
                <w:color w:val="000000"/>
                <w:szCs w:val="24"/>
              </w:rPr>
              <w:t>Lietuvos Respublikos Vyriausybės įgaliojimai nustatyti dokumentų dėl Lietuvos Respublikos pilietybės pateikimo ir nagrinėjimo tvarką yra įtvirtinti Pilietybės įstatyme. Taigi, Apraše nustatyta prašymų pateikimo ir nagrinėjimo tvarka (apimant ir atvejus, kai atitinkami prašymai nėra priimami), yra reguliuojama ne Viešojo administravimo įstatymo, o Pilietybės įstatymo ir Aprašo, kurie yra laikytini specialiaisiais teisės aktais, reglamentuojančiais būtent prašymų dėl Lietuvos Respublikos pilietybės pateikimą ir nagrinėjimą, nuostatomis.</w:t>
            </w:r>
          </w:p>
          <w:p w14:paraId="782CDF9F" w14:textId="77777777" w:rsidR="003F63DE" w:rsidRPr="00A25DEA" w:rsidRDefault="003F63DE" w:rsidP="003F63DE">
            <w:pPr>
              <w:jc w:val="both"/>
              <w:rPr>
                <w:rFonts w:eastAsiaTheme="minorHAnsi"/>
                <w:color w:val="000000"/>
                <w:szCs w:val="24"/>
              </w:rPr>
            </w:pPr>
          </w:p>
          <w:p w14:paraId="6C8BD803" w14:textId="5CBE3EF8" w:rsidR="003F63DE" w:rsidRPr="00A25DEA" w:rsidRDefault="003F63DE" w:rsidP="003F63DE">
            <w:pPr>
              <w:jc w:val="both"/>
            </w:pPr>
            <w:r w:rsidRPr="00A25DEA">
              <w:rPr>
                <w:rFonts w:eastAsiaTheme="minorHAnsi"/>
                <w:color w:val="000000"/>
                <w:szCs w:val="24"/>
              </w:rPr>
              <w:t xml:space="preserve">Informuojame, kad Apraše nustatyti prašymų nepriėmimo atvejai nėra susiję su teikiamų dokumentų turinio vertinimu, kas yra atliekama prašymo nagrinėjimo metu, o su teisės aktuose tokiems prašymams nustatytais formos reikalavimais, kurių neatitinkant prašymas negali būti nagrinėjamas (pavyzdžiui, asmuo nepridėjo visų Pilietybės įstatyme nurodytų dokumentų, kuriuos jis privalo pateikti kartu su prašymu, nesumokėjo valstybės rinkliavos už prašymo nagrinėjimą (žr. </w:t>
            </w:r>
            <w:r w:rsidR="00A25DEA">
              <w:rPr>
                <w:rFonts w:eastAsiaTheme="minorHAnsi"/>
                <w:color w:val="000000"/>
                <w:szCs w:val="24"/>
              </w:rPr>
              <w:t>išsamiau</w:t>
            </w:r>
            <w:r w:rsidRPr="00A25DEA">
              <w:rPr>
                <w:rFonts w:eastAsiaTheme="minorHAnsi"/>
                <w:color w:val="000000"/>
                <w:szCs w:val="24"/>
              </w:rPr>
              <w:t xml:space="preserve"> prie 13 pastabos)), o tam tikrais atvejais toks prašymų nepriėmimas tiesiogiai išplaukia iš Pilietybės įstatymo nuostatų (pavyzdžiui, pagal Pilietybės įstatymo 37 straipsnio 3 dalį</w:t>
            </w:r>
            <w:r w:rsidR="00A25DEA">
              <w:rPr>
                <w:rFonts w:eastAsiaTheme="minorHAnsi"/>
                <w:color w:val="000000"/>
                <w:szCs w:val="24"/>
              </w:rPr>
              <w:t>,</w:t>
            </w:r>
            <w:r w:rsidRPr="00A25DEA">
              <w:rPr>
                <w:rFonts w:eastAsiaTheme="minorHAnsi"/>
                <w:color w:val="000000"/>
                <w:szCs w:val="24"/>
              </w:rPr>
              <w:t xml:space="preserve"> </w:t>
            </w:r>
            <w:r w:rsidRPr="00A25DEA">
              <w:t xml:space="preserve">asmenų prašymai dėl Lietuvos Respublikos pilietybės pakartotinai </w:t>
            </w:r>
            <w:r w:rsidRPr="00A25DEA">
              <w:rPr>
                <w:b/>
              </w:rPr>
              <w:t>priimami</w:t>
            </w:r>
            <w:r w:rsidRPr="00A25DEA">
              <w:t xml:space="preserve"> </w:t>
            </w:r>
            <w:r w:rsidRPr="00A25DEA">
              <w:rPr>
                <w:b/>
              </w:rPr>
              <w:t>ne anksčiau kaip po vienų metų nuo atsisakymo patenkinti ankstesnį prašymą</w:t>
            </w:r>
            <w:r w:rsidRPr="00A25DEA">
              <w:t>, išskyrus atvejus, kai prašymas paduodamas kitu šiame įstatyme nustatytu Lietuvos Respublikos pilietybės įgijimo pagrindu arba pateikiami nauji dokumentai, patvirtinantys ankstesnio prašymo pagrįstumą).</w:t>
            </w:r>
          </w:p>
          <w:p w14:paraId="4BEAD1AB" w14:textId="7A13CBA4" w:rsidR="003F63DE" w:rsidRPr="00A25DEA" w:rsidRDefault="003F63DE" w:rsidP="003F63DE">
            <w:pPr>
              <w:jc w:val="both"/>
            </w:pPr>
          </w:p>
          <w:p w14:paraId="0A7A5A3A" w14:textId="4BD5BB05" w:rsidR="000E40DB" w:rsidRPr="00A25DEA" w:rsidRDefault="002F4184" w:rsidP="003F63DE">
            <w:pPr>
              <w:jc w:val="both"/>
              <w:rPr>
                <w:szCs w:val="24"/>
              </w:rPr>
            </w:pPr>
            <w:r>
              <w:t xml:space="preserve">Taip pat </w:t>
            </w:r>
            <w:r w:rsidR="003F63DE" w:rsidRPr="00A25DEA">
              <w:t>informuojame, kad asmuo, kurio prašymas nebus priimtas,</w:t>
            </w:r>
            <w:r w:rsidR="003A0F5C">
              <w:t xml:space="preserve"> šio prašymo priėmimo (nepriėmimo) metu</w:t>
            </w:r>
            <w:r w:rsidR="003F63DE" w:rsidRPr="00A25DEA">
              <w:t xml:space="preserve"> bus informuojamas</w:t>
            </w:r>
            <w:r w:rsidR="003A0F5C">
              <w:t xml:space="preserve"> raštu ir (arba) žodžiu</w:t>
            </w:r>
            <w:r w:rsidR="003F63DE" w:rsidRPr="00A25DEA">
              <w:t xml:space="preserve"> apie jo prašymo nepriėmimo priežastis ir turės </w:t>
            </w:r>
            <w:r w:rsidR="003F63DE" w:rsidRPr="00A25DEA">
              <w:rPr>
                <w:szCs w:val="24"/>
              </w:rPr>
              <w:t>dvi galimybes – arba ištaisyti trūkumus ir pateikti prašymą iš naujo</w:t>
            </w:r>
            <w:r w:rsidR="00A25DEA">
              <w:rPr>
                <w:szCs w:val="24"/>
              </w:rPr>
              <w:t>,</w:t>
            </w:r>
            <w:r w:rsidR="003F63DE" w:rsidRPr="00A25DEA">
              <w:rPr>
                <w:szCs w:val="24"/>
              </w:rPr>
              <w:t xml:space="preserve"> arba teikti skundą teismui (pagal Lietuvos Respublikos administracinių bylų teisenos įstatymą</w:t>
            </w:r>
            <w:r w:rsidR="00A25DEA">
              <w:rPr>
                <w:szCs w:val="24"/>
              </w:rPr>
              <w:t>,</w:t>
            </w:r>
            <w:r w:rsidR="003F63DE" w:rsidRPr="00A25DEA">
              <w:rPr>
                <w:szCs w:val="24"/>
              </w:rPr>
              <w:t xml:space="preserve"> gali būti skundžiami valstybinio administravimo subjektų veiksmai (neveikimas)).</w:t>
            </w:r>
          </w:p>
          <w:p w14:paraId="12E41307" w14:textId="77777777" w:rsidR="003F63DE" w:rsidRPr="00A25DEA" w:rsidRDefault="003F63DE" w:rsidP="003F63DE">
            <w:pPr>
              <w:jc w:val="both"/>
              <w:rPr>
                <w:bCs/>
              </w:rPr>
            </w:pPr>
          </w:p>
        </w:tc>
      </w:tr>
      <w:tr w:rsidR="00353033" w:rsidRPr="00A25DEA" w14:paraId="68E2B760" w14:textId="77777777" w:rsidTr="00D97DE4">
        <w:trPr>
          <w:trHeight w:val="1125"/>
        </w:trPr>
        <w:tc>
          <w:tcPr>
            <w:tcW w:w="704" w:type="dxa"/>
            <w:vMerge/>
          </w:tcPr>
          <w:p w14:paraId="5F162BEF" w14:textId="77777777" w:rsidR="00353033" w:rsidRPr="00A25DEA" w:rsidRDefault="00353033" w:rsidP="00D46B8B">
            <w:pPr>
              <w:pStyle w:val="Sraopastraipa"/>
              <w:ind w:left="0"/>
              <w:jc w:val="both"/>
              <w:rPr>
                <w:iCs/>
                <w:szCs w:val="24"/>
              </w:rPr>
            </w:pPr>
          </w:p>
        </w:tc>
        <w:tc>
          <w:tcPr>
            <w:tcW w:w="3402" w:type="dxa"/>
            <w:vMerge/>
          </w:tcPr>
          <w:p w14:paraId="70A052CD" w14:textId="77777777" w:rsidR="00353033" w:rsidRPr="00A25DEA" w:rsidRDefault="00353033" w:rsidP="00E07CAE">
            <w:pPr>
              <w:jc w:val="both"/>
              <w:rPr>
                <w:iCs/>
                <w:szCs w:val="24"/>
              </w:rPr>
            </w:pPr>
          </w:p>
        </w:tc>
        <w:tc>
          <w:tcPr>
            <w:tcW w:w="5789" w:type="dxa"/>
          </w:tcPr>
          <w:p w14:paraId="519580A7" w14:textId="0B7FBA00" w:rsidR="003F63DE" w:rsidRPr="00A25DEA" w:rsidRDefault="003F63DE" w:rsidP="003F63DE">
            <w:pPr>
              <w:contextualSpacing/>
              <w:jc w:val="both"/>
              <w:rPr>
                <w:color w:val="000000"/>
                <w:shd w:val="clear" w:color="auto" w:fill="FFFFFF"/>
              </w:rPr>
            </w:pPr>
            <w:r w:rsidRPr="00A25DEA">
              <w:t xml:space="preserve">13. </w:t>
            </w:r>
            <w:r w:rsidRPr="00A25DEA">
              <w:rPr>
                <w:color w:val="000000"/>
                <w:lang w:eastAsia="en-GB"/>
              </w:rPr>
              <w:t xml:space="preserve">Vadovaujantis Valstybės rinkliavų mokėjimo ir grąžinimo taisyklių, patvirtintų Lietuvos Respublikos Vyriausybės </w:t>
            </w:r>
            <w:r w:rsidRPr="00A25DEA">
              <w:rPr>
                <w:color w:val="000000"/>
                <w:shd w:val="clear" w:color="auto" w:fill="FFFFFF"/>
              </w:rPr>
              <w:t>2000 m. gruodžio 15 d. nutarimu Nr. 1458, 1 punktu valstybės rinkliava sumokama į Valstybinės mokesčių inspekcijos biudžeto pajamų surenkamąją sąskaitą. Atsižvelgiant į tai, kad kitokių rinkliavos mokėjimo būdų nėra įtvirtinta, tikslintina Aprašo 13.1 papunkčio nuostata „</w:t>
            </w:r>
            <w:r w:rsidRPr="00A25DEA">
              <w:rPr>
                <w:i/>
                <w:iCs/>
                <w:color w:val="000000"/>
                <w:shd w:val="clear" w:color="auto" w:fill="FFFFFF"/>
              </w:rPr>
              <w:t>priima Vyriausybės nustatyto dydžio rinkliavą</w:t>
            </w:r>
            <w:r w:rsidRPr="00A25DEA">
              <w:rPr>
                <w:color w:val="000000"/>
                <w:shd w:val="clear" w:color="auto" w:fill="FFFFFF"/>
              </w:rPr>
              <w:t xml:space="preserve">“. Šiuo aspektu peržiūrėtinos ir kitos Aprašo nuostatos, pavyzdžiui, 15.2, papunkčiai. Šiame kontekste pažymėtina, kad nei Viešojo administravimo įstatymo 11 straipsnio 3 dalis, nei Rinkliavų įstatymo 9 straipsnio 1 dalis nenumato, kad rinkliavos nesumokėjimas gali būti pagrindas net </w:t>
            </w:r>
            <w:r w:rsidRPr="00A25DEA">
              <w:rPr>
                <w:i/>
                <w:iCs/>
                <w:color w:val="000000"/>
                <w:shd w:val="clear" w:color="auto" w:fill="FFFFFF"/>
              </w:rPr>
              <w:t>nepriimti</w:t>
            </w:r>
            <w:r w:rsidRPr="00A25DEA">
              <w:rPr>
                <w:color w:val="000000"/>
                <w:shd w:val="clear" w:color="auto" w:fill="FFFFFF"/>
              </w:rPr>
              <w:t xml:space="preserve"> prašymo ir teikiamų dokumentų. Manytina, kad tokiu atveju turėtų būti priimamas prašymas, nagrinėjamas ir nustačius, kad rinkliava nesumokėta, prašoma ištaisyti šį trūkumą. Tik atlikus šiuos veiksmus galėtų būti priimamas neigiamas sprendimas dėl pateikto prašymo.</w:t>
            </w:r>
          </w:p>
          <w:p w14:paraId="6F755C02" w14:textId="77777777" w:rsidR="00353033" w:rsidRPr="00A25DEA" w:rsidRDefault="00353033" w:rsidP="00E07CAE">
            <w:pPr>
              <w:contextualSpacing/>
              <w:jc w:val="both"/>
            </w:pPr>
          </w:p>
        </w:tc>
        <w:tc>
          <w:tcPr>
            <w:tcW w:w="5409" w:type="dxa"/>
          </w:tcPr>
          <w:p w14:paraId="0457B4A9" w14:textId="77777777" w:rsidR="003F63DE" w:rsidRPr="00A25DEA" w:rsidRDefault="003F63DE" w:rsidP="003F63DE">
            <w:pPr>
              <w:jc w:val="both"/>
              <w:rPr>
                <w:b/>
                <w:bCs/>
              </w:rPr>
            </w:pPr>
            <w:r w:rsidRPr="00A25DEA">
              <w:rPr>
                <w:b/>
                <w:bCs/>
              </w:rPr>
              <w:t>Neatsižvelgta.</w:t>
            </w:r>
          </w:p>
          <w:p w14:paraId="33BA7BA8" w14:textId="3AC366F6" w:rsidR="003F63DE" w:rsidRPr="00A25DEA" w:rsidRDefault="003F63DE" w:rsidP="003F63DE">
            <w:pPr>
              <w:jc w:val="both"/>
              <w:rPr>
                <w:szCs w:val="24"/>
              </w:rPr>
            </w:pPr>
            <w:r w:rsidRPr="00A25DEA">
              <w:rPr>
                <w:bCs/>
              </w:rPr>
              <w:t xml:space="preserve">Pilietybės įstatymo 37 straipsnio 7 dalyje nustatyta, kad </w:t>
            </w:r>
            <w:r w:rsidRPr="00A25DEA">
              <w:rPr>
                <w:b/>
              </w:rPr>
              <w:t>už prašymų</w:t>
            </w:r>
            <w:r w:rsidRPr="00A25DEA">
              <w:t xml:space="preserve"> dėl Lietuvos Respublikos pilietybės </w:t>
            </w:r>
            <w:r w:rsidRPr="00A25DEA">
              <w:rPr>
                <w:b/>
              </w:rPr>
              <w:t>nagrinėjimą</w:t>
            </w:r>
            <w:r w:rsidRPr="00A25DEA">
              <w:t xml:space="preserve"> imama Lietuvos Respublikos Vyriausybės nustatyto dydžio valstybės rinkliava. Atitinkama nuostata yra ir Konkrečių valstybės rinkliavos dydžių sąrašo, patvirtinto Lietuvos Respublikos Vyriausybės 2000 m. gruodžio 15 d. nutarimo Nr. 1458 „Dėl Konkrečių valstybės rinkliavos dydžių sąrašo ir Valstybės rinkliavos mokėjimo ir grąžinimo taisyklių patvirtinimo“, 2.25 papunktyje. Vadovaujantis Lietuvos Respublikos rinkliavų įstatymo 9 straipsnio 1 </w:t>
            </w:r>
            <w:r w:rsidRPr="00A25DEA">
              <w:rPr>
                <w:szCs w:val="24"/>
              </w:rPr>
              <w:t xml:space="preserve">dalimi, valstybės rinkliava yra mokėjimo dieną galiojančio dydžio ir </w:t>
            </w:r>
            <w:r w:rsidRPr="00A25DEA">
              <w:rPr>
                <w:b/>
                <w:szCs w:val="24"/>
              </w:rPr>
              <w:t>mokama iki institucijų teikiamų paslaugų suteikimo momento</w:t>
            </w:r>
            <w:r w:rsidRPr="00A25DEA">
              <w:rPr>
                <w:szCs w:val="24"/>
              </w:rPr>
              <w:t>, išskyrus šio straipsnio 2 ir 3 dalyse nurodytus atvejus. Atsižvelgdami į tai, kad valstybės rinkliava yra imama už prašymų dėl Lietuvos Respublikos pilietybės nagrinėjimą, kuris prasideda nuo prašymo priėmimo momento, ir nei Rinkliavų įstatyme, nei</w:t>
            </w:r>
            <w:r w:rsidRPr="00A25DEA">
              <w:t xml:space="preserve"> Valstybės rinkliavos mokėjimo ir grąžinimo taisyklėse, patvirtintose  Lietuvos Respublikos Vyriausybės 2000 m. gruodžio </w:t>
            </w:r>
            <w:r w:rsidRPr="00A25DEA">
              <w:lastRenderedPageBreak/>
              <w:t>15 d. nutarimu Nr. 1458</w:t>
            </w:r>
            <w:r w:rsidR="00040E12">
              <w:t>,</w:t>
            </w:r>
            <w:r w:rsidRPr="00A25DEA">
              <w:t xml:space="preserve"> nėra nustatyta galimybės šią rinkliavą sumokėti vėliau</w:t>
            </w:r>
            <w:r w:rsidRPr="00A25DEA">
              <w:rPr>
                <w:szCs w:val="24"/>
              </w:rPr>
              <w:t>, Apraše pagrįstai nustatyta, kad, jeigu asmuo valstybės rinkliavos nesumokėjo iki atvykimo į Migracijos departamentą, jis ją privalo sumokėti Migracijos departamente, o to nepadarius – jo prašymas nebus priimtas. Pažymime, kad tuo atveju, kai asmens prašymas nebus priimtas dėl to, kad jis nesumokėjo valstybės rinkliavos, jis turi teisę ir galimybę tą patį prašymą teikti iš naujo, sumokėjęs valstybės rinkliavą.</w:t>
            </w:r>
          </w:p>
          <w:p w14:paraId="1426A1B8" w14:textId="000841E5" w:rsidR="006A7C18" w:rsidRPr="00A25DEA" w:rsidRDefault="002F4184" w:rsidP="003F63DE">
            <w:pPr>
              <w:jc w:val="both"/>
              <w:rPr>
                <w:szCs w:val="24"/>
              </w:rPr>
            </w:pPr>
            <w:r>
              <w:rPr>
                <w:szCs w:val="24"/>
              </w:rPr>
              <w:t xml:space="preserve">Taip pat </w:t>
            </w:r>
            <w:r w:rsidR="003F63DE" w:rsidRPr="00A25DEA">
              <w:rPr>
                <w:szCs w:val="24"/>
              </w:rPr>
              <w:t>informuojame, kad visos Migracijos departamente priimamos valstybės rinkliavos yra prašymą teikiančio asmens tiesiogiai sumokamos į Valstybinės mokesčių inspekcijos prie Lietuvos Respublikos finansų ministerijos surenkamąsias sąskaitas pagal nustatytus įmokų kodus, todėl tikslinti Aprašą šiuo aspektu nėra tikslinga.</w:t>
            </w:r>
          </w:p>
          <w:p w14:paraId="2916C079" w14:textId="77777777" w:rsidR="00321C98" w:rsidRPr="00A25DEA" w:rsidRDefault="00321C98" w:rsidP="00C01A29">
            <w:pPr>
              <w:jc w:val="both"/>
            </w:pPr>
          </w:p>
        </w:tc>
      </w:tr>
      <w:tr w:rsidR="00353033" w:rsidRPr="00A25DEA" w14:paraId="01E0738B" w14:textId="77777777" w:rsidTr="0041085C">
        <w:trPr>
          <w:trHeight w:val="2968"/>
        </w:trPr>
        <w:tc>
          <w:tcPr>
            <w:tcW w:w="704" w:type="dxa"/>
            <w:vMerge/>
          </w:tcPr>
          <w:p w14:paraId="5CA1BA69" w14:textId="77777777" w:rsidR="00353033" w:rsidRPr="00A25DEA" w:rsidRDefault="00353033" w:rsidP="00D46B8B">
            <w:pPr>
              <w:pStyle w:val="Sraopastraipa"/>
              <w:ind w:left="0"/>
              <w:jc w:val="both"/>
              <w:rPr>
                <w:iCs/>
                <w:szCs w:val="24"/>
              </w:rPr>
            </w:pPr>
          </w:p>
        </w:tc>
        <w:tc>
          <w:tcPr>
            <w:tcW w:w="3402" w:type="dxa"/>
            <w:vMerge/>
          </w:tcPr>
          <w:p w14:paraId="4379347F" w14:textId="77777777" w:rsidR="00353033" w:rsidRPr="00A25DEA" w:rsidRDefault="00353033" w:rsidP="00E07CAE">
            <w:pPr>
              <w:jc w:val="both"/>
              <w:rPr>
                <w:iCs/>
                <w:szCs w:val="24"/>
              </w:rPr>
            </w:pPr>
          </w:p>
        </w:tc>
        <w:tc>
          <w:tcPr>
            <w:tcW w:w="5789" w:type="dxa"/>
          </w:tcPr>
          <w:p w14:paraId="1BDFCAA0" w14:textId="77777777" w:rsidR="003F63DE" w:rsidRPr="00A25DEA" w:rsidRDefault="003F63DE" w:rsidP="003F63DE">
            <w:pPr>
              <w:suppressAutoHyphens/>
              <w:contextualSpacing/>
              <w:jc w:val="both"/>
            </w:pPr>
            <w:r w:rsidRPr="00A25DEA">
              <w:t xml:space="preserve">16.  Siūlytina Apraše aptarti atvejus, jei 19.1, 19.3, 20.3 ar kituose papunkčiuose nurodytos institucijos per nustatytą terminą nepateikia išvados. </w:t>
            </w:r>
          </w:p>
          <w:p w14:paraId="736D1179" w14:textId="77777777" w:rsidR="00353033" w:rsidRPr="00A25DEA" w:rsidRDefault="00353033" w:rsidP="003F63DE">
            <w:pPr>
              <w:contextualSpacing/>
              <w:jc w:val="both"/>
            </w:pPr>
          </w:p>
        </w:tc>
        <w:tc>
          <w:tcPr>
            <w:tcW w:w="5409" w:type="dxa"/>
          </w:tcPr>
          <w:p w14:paraId="3A443562" w14:textId="77777777" w:rsidR="003F63DE" w:rsidRPr="00A25DEA" w:rsidRDefault="003F63DE" w:rsidP="003F63DE">
            <w:pPr>
              <w:jc w:val="both"/>
              <w:rPr>
                <w:b/>
                <w:bCs/>
              </w:rPr>
            </w:pPr>
            <w:r w:rsidRPr="00A25DEA">
              <w:rPr>
                <w:b/>
                <w:bCs/>
              </w:rPr>
              <w:t>Neatsižvelgta.</w:t>
            </w:r>
          </w:p>
          <w:p w14:paraId="65C0D621" w14:textId="4EFEA8B3" w:rsidR="00B27B52" w:rsidRPr="00A25DEA" w:rsidRDefault="00D20AFF" w:rsidP="00B27B52">
            <w:pPr>
              <w:jc w:val="both"/>
              <w:rPr>
                <w:szCs w:val="24"/>
                <w:lang w:eastAsia="lt-LT"/>
              </w:rPr>
            </w:pPr>
            <w:r w:rsidRPr="00A25DEA">
              <w:rPr>
                <w:szCs w:val="24"/>
              </w:rPr>
              <w:t xml:space="preserve">Apraše institucijoms nustatytas </w:t>
            </w:r>
            <w:r w:rsidR="00040E12">
              <w:rPr>
                <w:szCs w:val="24"/>
              </w:rPr>
              <w:t>gana</w:t>
            </w:r>
            <w:r w:rsidRPr="00A25DEA">
              <w:rPr>
                <w:szCs w:val="24"/>
              </w:rPr>
              <w:t xml:space="preserve"> ilgas terminas išvadoms pateikti (10 darbo dienų). P</w:t>
            </w:r>
            <w:r w:rsidR="00B27B52" w:rsidRPr="00A25DEA">
              <w:rPr>
                <w:szCs w:val="24"/>
              </w:rPr>
              <w:t>agal Aprašo 27 punktą</w:t>
            </w:r>
            <w:r w:rsidR="00040E12">
              <w:rPr>
                <w:szCs w:val="24"/>
              </w:rPr>
              <w:t>,</w:t>
            </w:r>
            <w:r w:rsidR="00B27B52" w:rsidRPr="00A25DEA">
              <w:rPr>
                <w:szCs w:val="24"/>
              </w:rPr>
              <w:t xml:space="preserve"> Migracijos departamentas prašymus dėl Lietuvos Respublikos pilietybės atkūrimo turi išnagrinėti ne vėliau kaip </w:t>
            </w:r>
            <w:r w:rsidRPr="00A25DEA">
              <w:rPr>
                <w:szCs w:val="24"/>
              </w:rPr>
              <w:t>per 5 mėnesius, o</w:t>
            </w:r>
            <w:r w:rsidR="00B27B52" w:rsidRPr="00A25DEA">
              <w:rPr>
                <w:szCs w:val="24"/>
                <w:lang w:eastAsia="lt-LT"/>
              </w:rPr>
              <w:t xml:space="preserve"> prašymus dėl Lietuvos Respublikos pilietybės suteikimo supaprastinta, išimties ar natūralizacijos tvarka, prašymus dėl Lietuvos Respublikos pilietybės išsaugojimo ar dėl Lietuvos Respublikos pilietybės grąžinimo ir prie jų pridėtus dokumentus, taip pat Aprašo </w:t>
            </w:r>
            <w:r w:rsidR="00B27B52" w:rsidRPr="00B47334">
              <w:rPr>
                <w:szCs w:val="24"/>
                <w:lang w:eastAsia="lt-LT"/>
              </w:rPr>
              <w:fldChar w:fldCharType="begin"/>
            </w:r>
            <w:r w:rsidR="00B27B52" w:rsidRPr="00A25DEA">
              <w:rPr>
                <w:szCs w:val="24"/>
                <w:lang w:eastAsia="lt-LT"/>
              </w:rPr>
              <w:instrText xml:space="preserve"> REF _Ref44934591 \r \h </w:instrText>
            </w:r>
            <w:r w:rsidR="00B27B52" w:rsidRPr="00B47334">
              <w:rPr>
                <w:szCs w:val="24"/>
                <w:lang w:eastAsia="lt-LT"/>
              </w:rPr>
            </w:r>
            <w:r w:rsidR="00B27B52" w:rsidRPr="00B47334">
              <w:rPr>
                <w:szCs w:val="24"/>
                <w:lang w:eastAsia="lt-LT"/>
              </w:rPr>
              <w:fldChar w:fldCharType="separate"/>
            </w:r>
            <w:r w:rsidR="00B27B52" w:rsidRPr="00A25DEA">
              <w:rPr>
                <w:szCs w:val="24"/>
                <w:lang w:eastAsia="lt-LT"/>
              </w:rPr>
              <w:t>19</w:t>
            </w:r>
            <w:r w:rsidR="00B27B52" w:rsidRPr="00B47334">
              <w:rPr>
                <w:szCs w:val="24"/>
                <w:lang w:eastAsia="lt-LT"/>
              </w:rPr>
              <w:fldChar w:fldCharType="end"/>
            </w:r>
            <w:r w:rsidR="00B27B52" w:rsidRPr="00A25DEA">
              <w:rPr>
                <w:szCs w:val="24"/>
                <w:lang w:eastAsia="lt-LT"/>
              </w:rPr>
              <w:t xml:space="preserve"> punkte nurodyto patikrinimo rezultatus turi pateikti svarstyti Pilietybės reikalų komisijai ne vėliau kaip per 3 mėnesius nuo atitinkamo prašymo priėmimo konsulinėje įstaigoje ar Migracijos departamente dienos. Atsižvelg</w:t>
            </w:r>
            <w:r w:rsidR="00040E12">
              <w:rPr>
                <w:szCs w:val="24"/>
                <w:lang w:eastAsia="lt-LT"/>
              </w:rPr>
              <w:t>dami</w:t>
            </w:r>
            <w:r w:rsidR="00B27B52" w:rsidRPr="00A25DEA">
              <w:rPr>
                <w:szCs w:val="24"/>
                <w:lang w:eastAsia="lt-LT"/>
              </w:rPr>
              <w:t xml:space="preserve"> į tai, kas </w:t>
            </w:r>
            <w:r w:rsidR="00B27B52" w:rsidRPr="00A25DEA">
              <w:rPr>
                <w:szCs w:val="24"/>
                <w:lang w:eastAsia="lt-LT"/>
              </w:rPr>
              <w:lastRenderedPageBreak/>
              <w:t>išdėstyta,</w:t>
            </w:r>
            <w:r w:rsidRPr="00A25DEA">
              <w:rPr>
                <w:szCs w:val="24"/>
                <w:lang w:eastAsia="lt-LT"/>
              </w:rPr>
              <w:t xml:space="preserve"> ir į tai, kad praktikoje institucijos spėja pateikti savo išvadas per nustatytą terminą,</w:t>
            </w:r>
            <w:r w:rsidR="00B27B52" w:rsidRPr="00A25DEA">
              <w:rPr>
                <w:szCs w:val="24"/>
                <w:lang w:eastAsia="lt-LT"/>
              </w:rPr>
              <w:t xml:space="preserve"> manome, kad itin reti, išimtiniai atvejai</w:t>
            </w:r>
            <w:r w:rsidRPr="00A25DEA">
              <w:rPr>
                <w:szCs w:val="24"/>
                <w:lang w:eastAsia="lt-LT"/>
              </w:rPr>
              <w:t>, kai institucijos negalės pateikti išvados per nustatytą terminą, o pateiks ją vėliau, nesukels neigiamų padarinių ir neturės įtakos prašymų nagrinėjimui, taigi, šių atvejų reglamentavimas Apraše yra perteklinis.</w:t>
            </w:r>
          </w:p>
          <w:p w14:paraId="31E38E8D" w14:textId="77777777" w:rsidR="00D20AFF" w:rsidRPr="00A25DEA" w:rsidRDefault="00D20AFF" w:rsidP="00D20AFF">
            <w:pPr>
              <w:jc w:val="both"/>
              <w:rPr>
                <w:szCs w:val="24"/>
              </w:rPr>
            </w:pPr>
          </w:p>
        </w:tc>
      </w:tr>
      <w:tr w:rsidR="00902619" w:rsidRPr="00A25DEA" w14:paraId="62C90E17" w14:textId="77777777" w:rsidTr="001F6056">
        <w:trPr>
          <w:trHeight w:val="1774"/>
        </w:trPr>
        <w:tc>
          <w:tcPr>
            <w:tcW w:w="704" w:type="dxa"/>
            <w:vMerge/>
          </w:tcPr>
          <w:p w14:paraId="1ABD5771" w14:textId="77777777" w:rsidR="00902619" w:rsidRPr="00A25DEA" w:rsidRDefault="00902619" w:rsidP="00D46B8B">
            <w:pPr>
              <w:pStyle w:val="Sraopastraipa"/>
              <w:ind w:left="0"/>
              <w:jc w:val="both"/>
              <w:rPr>
                <w:iCs/>
                <w:szCs w:val="24"/>
              </w:rPr>
            </w:pPr>
          </w:p>
        </w:tc>
        <w:tc>
          <w:tcPr>
            <w:tcW w:w="3402" w:type="dxa"/>
            <w:vMerge/>
          </w:tcPr>
          <w:p w14:paraId="6CD04984" w14:textId="77777777" w:rsidR="00902619" w:rsidRPr="00A25DEA" w:rsidRDefault="00902619" w:rsidP="00E07CAE">
            <w:pPr>
              <w:jc w:val="both"/>
              <w:rPr>
                <w:iCs/>
                <w:szCs w:val="24"/>
              </w:rPr>
            </w:pPr>
          </w:p>
        </w:tc>
        <w:tc>
          <w:tcPr>
            <w:tcW w:w="5789" w:type="dxa"/>
          </w:tcPr>
          <w:p w14:paraId="0DA13807" w14:textId="77777777" w:rsidR="00902619" w:rsidRPr="00A25DEA" w:rsidRDefault="006C54E3" w:rsidP="003F63DE">
            <w:pPr>
              <w:suppressAutoHyphens/>
              <w:contextualSpacing/>
              <w:jc w:val="both"/>
            </w:pPr>
            <w:r w:rsidRPr="00A25DEA">
              <w:t xml:space="preserve">18. </w:t>
            </w:r>
            <w:r w:rsidRPr="00A25DEA">
              <w:rPr>
                <w:color w:val="000000"/>
              </w:rPr>
              <w:t>Manytina, kad Aprašo 26 punkte nurodomu atveju, kai „dokumentuose yra klastojimo požymių“ turėtų būti informuojamos ikiteisminį tyrimą atliekančios institucijos.</w:t>
            </w:r>
          </w:p>
        </w:tc>
        <w:tc>
          <w:tcPr>
            <w:tcW w:w="5409" w:type="dxa"/>
          </w:tcPr>
          <w:p w14:paraId="7CEF2DBF" w14:textId="77777777" w:rsidR="00321C98" w:rsidRPr="00A25DEA" w:rsidRDefault="006C54E3" w:rsidP="003F63DE">
            <w:pPr>
              <w:jc w:val="both"/>
              <w:rPr>
                <w:b/>
                <w:bCs/>
              </w:rPr>
            </w:pPr>
            <w:r w:rsidRPr="00A25DEA">
              <w:rPr>
                <w:b/>
                <w:bCs/>
              </w:rPr>
              <w:t>Neatsižvelgta.</w:t>
            </w:r>
          </w:p>
          <w:p w14:paraId="7EBAE3FB" w14:textId="77777777" w:rsidR="006C54E3" w:rsidRPr="00A25DEA" w:rsidRDefault="006C54E3" w:rsidP="001F6056">
            <w:pPr>
              <w:jc w:val="both"/>
              <w:rPr>
                <w:bCs/>
              </w:rPr>
            </w:pPr>
            <w:r w:rsidRPr="00A25DEA">
              <w:rPr>
                <w:bCs/>
              </w:rPr>
              <w:t xml:space="preserve">Pasiūlymas nepatenka į Aprašo reguliavimo sritį. </w:t>
            </w:r>
            <w:r w:rsidR="001F6056" w:rsidRPr="00A25DEA">
              <w:rPr>
                <w:bCs/>
              </w:rPr>
              <w:t>Nustatęs, kad pateiktuose dokumentuose yra klastojimo požymių, Migracijos departamentas į teisėsaugos institucijas kreipsis bendra tvarka.</w:t>
            </w:r>
          </w:p>
        </w:tc>
      </w:tr>
      <w:tr w:rsidR="00353033" w:rsidRPr="00A25DEA" w14:paraId="130CABD9" w14:textId="77777777" w:rsidTr="00321C98">
        <w:trPr>
          <w:trHeight w:val="986"/>
        </w:trPr>
        <w:tc>
          <w:tcPr>
            <w:tcW w:w="704" w:type="dxa"/>
            <w:vMerge/>
          </w:tcPr>
          <w:p w14:paraId="562E7693" w14:textId="77777777" w:rsidR="00353033" w:rsidRPr="00A25DEA" w:rsidRDefault="00353033" w:rsidP="00D46B8B">
            <w:pPr>
              <w:pStyle w:val="Sraopastraipa"/>
              <w:ind w:left="0"/>
              <w:jc w:val="both"/>
              <w:rPr>
                <w:iCs/>
                <w:szCs w:val="24"/>
              </w:rPr>
            </w:pPr>
          </w:p>
        </w:tc>
        <w:tc>
          <w:tcPr>
            <w:tcW w:w="3402" w:type="dxa"/>
            <w:vMerge/>
          </w:tcPr>
          <w:p w14:paraId="4F87C6A9" w14:textId="77777777" w:rsidR="00353033" w:rsidRPr="00A25DEA" w:rsidRDefault="00353033" w:rsidP="00E07CAE">
            <w:pPr>
              <w:jc w:val="both"/>
              <w:rPr>
                <w:iCs/>
                <w:szCs w:val="24"/>
              </w:rPr>
            </w:pPr>
          </w:p>
        </w:tc>
        <w:tc>
          <w:tcPr>
            <w:tcW w:w="5789" w:type="dxa"/>
          </w:tcPr>
          <w:p w14:paraId="26DD1265" w14:textId="77777777" w:rsidR="00353033" w:rsidRPr="00A25DEA" w:rsidRDefault="00CF37AC" w:rsidP="00CF37AC">
            <w:pPr>
              <w:contextualSpacing/>
              <w:jc w:val="both"/>
            </w:pPr>
            <w:r w:rsidRPr="00A25DEA">
              <w:t xml:space="preserve">19. </w:t>
            </w:r>
            <w:r w:rsidRPr="00A25DEA">
              <w:rPr>
                <w:color w:val="000000"/>
              </w:rPr>
              <w:t xml:space="preserve">Aprašo 27 punkte ir kituose punktuose nustatyti sprendimų priėmimo terminai neatitinka Viešojo administravimo įstatymo 10 straipsnio 4 dalyje įtvirtinto reguliavimo. Pagal Viešojo administravimo įstatymo 1 straipsnio 2 dalį kitokie nei šiame įstatyme nustatyti terminai galėtų būti įtvirtinami tik </w:t>
            </w:r>
            <w:r w:rsidRPr="00A25DEA">
              <w:rPr>
                <w:i/>
                <w:iCs/>
                <w:color w:val="000000"/>
              </w:rPr>
              <w:t>įstatymu</w:t>
            </w:r>
            <w:r w:rsidRPr="00A25DEA">
              <w:rPr>
                <w:color w:val="000000"/>
              </w:rPr>
              <w:t>. Šiuo aspektu turėtų būti peržiūrėtinas ir, įvertinant Viešojo administravimo įstatyme įtvirtintą reguliavimą, keičiamas Pilietybės įstatymas (jame, esant poreikiui, įtvirtinant kitokias nei Viešojo administravimo įstatyme, nuostatas).</w:t>
            </w:r>
          </w:p>
        </w:tc>
        <w:tc>
          <w:tcPr>
            <w:tcW w:w="5409" w:type="dxa"/>
          </w:tcPr>
          <w:p w14:paraId="0A176DBC" w14:textId="77777777" w:rsidR="00353033" w:rsidRPr="00A25DEA" w:rsidRDefault="005F0A2B" w:rsidP="00D46B8B">
            <w:pPr>
              <w:jc w:val="both"/>
              <w:rPr>
                <w:b/>
                <w:bCs/>
              </w:rPr>
            </w:pPr>
            <w:r w:rsidRPr="00A25DEA">
              <w:rPr>
                <w:b/>
                <w:bCs/>
              </w:rPr>
              <w:t>Neatsižvelgta.</w:t>
            </w:r>
          </w:p>
          <w:p w14:paraId="3FD96BE3" w14:textId="5F106955" w:rsidR="005F0A2B" w:rsidRPr="00A25DEA" w:rsidRDefault="005F0A2B" w:rsidP="00B47334">
            <w:pPr>
              <w:jc w:val="both"/>
              <w:rPr>
                <w:bCs/>
              </w:rPr>
            </w:pPr>
            <w:r w:rsidRPr="00A25DEA">
              <w:rPr>
                <w:rFonts w:eastAsiaTheme="minorHAnsi"/>
                <w:color w:val="000000"/>
                <w:szCs w:val="24"/>
              </w:rPr>
              <w:t>Pilietybės įstatyme yra įtvirtinti įgaliojimai Lietuvos Respublikos Vyriausybei nustatyti dokumentų dėl Lietuvos Respublikos pilietybės pateikimo ir nagrinėjimo tvarką (</w:t>
            </w:r>
            <w:r w:rsidR="000C35AB" w:rsidRPr="00A25DEA">
              <w:rPr>
                <w:rFonts w:eastAsiaTheme="minorHAnsi"/>
                <w:color w:val="000000"/>
                <w:szCs w:val="24"/>
              </w:rPr>
              <w:t>taigi,</w:t>
            </w:r>
            <w:r w:rsidRPr="00A25DEA">
              <w:rPr>
                <w:rFonts w:eastAsiaTheme="minorHAnsi"/>
                <w:color w:val="000000"/>
                <w:szCs w:val="24"/>
              </w:rPr>
              <w:t xml:space="preserve"> ir prašymų nagrinėjimo ir sprendimų priėmimo terminus).</w:t>
            </w:r>
            <w:r w:rsidR="000C35AB" w:rsidRPr="00A25DEA">
              <w:rPr>
                <w:rFonts w:eastAsiaTheme="minorHAnsi"/>
                <w:color w:val="000000"/>
                <w:szCs w:val="24"/>
              </w:rPr>
              <w:t xml:space="preserve"> Atsižvelg</w:t>
            </w:r>
            <w:r w:rsidR="00040E12">
              <w:rPr>
                <w:rFonts w:eastAsiaTheme="minorHAnsi"/>
                <w:color w:val="000000"/>
                <w:szCs w:val="24"/>
              </w:rPr>
              <w:t>dami</w:t>
            </w:r>
            <w:r w:rsidR="000C35AB" w:rsidRPr="00A25DEA">
              <w:rPr>
                <w:rFonts w:eastAsiaTheme="minorHAnsi"/>
                <w:color w:val="000000"/>
                <w:szCs w:val="24"/>
              </w:rPr>
              <w:t xml:space="preserve"> į tai, manome, kad prašymų nagrinėjimo terminų nustatymas Apraše neprieštarauja nei Viešojo administravimo, nei Pilietybės įstatymo nuostatoms. </w:t>
            </w:r>
            <w:r w:rsidR="002F4184">
              <w:rPr>
                <w:rFonts w:eastAsiaTheme="minorHAnsi"/>
                <w:color w:val="000000"/>
                <w:szCs w:val="24"/>
              </w:rPr>
              <w:t xml:space="preserve">Taip pat </w:t>
            </w:r>
            <w:r w:rsidR="000C35AB" w:rsidRPr="00A25DEA">
              <w:rPr>
                <w:rFonts w:eastAsiaTheme="minorHAnsi"/>
                <w:color w:val="000000"/>
                <w:szCs w:val="24"/>
              </w:rPr>
              <w:t xml:space="preserve">pažymime, kad </w:t>
            </w:r>
            <w:r w:rsidR="004859D2" w:rsidRPr="00A25DEA">
              <w:rPr>
                <w:rFonts w:eastAsiaTheme="minorHAnsi"/>
                <w:color w:val="000000"/>
                <w:szCs w:val="24"/>
              </w:rPr>
              <w:t xml:space="preserve">Viešojo administravimo įstatymo 10 straipsnio 4 dalyje nustatytas prašymų nagrinėjimo terminas neatitinka teisingumo, protingumo ir proporcingumo principų, nagrinėjant prašymus dėl Lietuvos Respublikos pilietybės, </w:t>
            </w:r>
            <w:r w:rsidR="00040E12">
              <w:rPr>
                <w:rFonts w:eastAsiaTheme="minorHAnsi"/>
                <w:color w:val="000000"/>
                <w:szCs w:val="24"/>
              </w:rPr>
              <w:t>nes</w:t>
            </w:r>
            <w:r w:rsidR="004859D2" w:rsidRPr="00A25DEA">
              <w:rPr>
                <w:rFonts w:eastAsiaTheme="minorHAnsi"/>
                <w:color w:val="000000"/>
                <w:szCs w:val="24"/>
              </w:rPr>
              <w:t xml:space="preserve"> šie prašymai, atsižvelgiant į jų ypatingą svarbą tiek prašymą pateikusiam asmeniui, tiek ir valstybei, turi būti nagrinėjami ypač atidžiai, o jų nagrinėjimo metu </w:t>
            </w:r>
            <w:r w:rsidR="004859D2" w:rsidRPr="00A25DEA">
              <w:rPr>
                <w:rFonts w:eastAsiaTheme="minorHAnsi"/>
                <w:color w:val="000000"/>
                <w:szCs w:val="24"/>
              </w:rPr>
              <w:lastRenderedPageBreak/>
              <w:t>t</w:t>
            </w:r>
            <w:r w:rsidR="00BE06FE" w:rsidRPr="00A25DEA">
              <w:rPr>
                <w:rFonts w:eastAsiaTheme="minorHAnsi"/>
                <w:color w:val="000000"/>
                <w:szCs w:val="24"/>
              </w:rPr>
              <w:t xml:space="preserve">uri būti tiek </w:t>
            </w:r>
            <w:r w:rsidR="004859D2" w:rsidRPr="00A25DEA">
              <w:rPr>
                <w:rFonts w:eastAsiaTheme="minorHAnsi"/>
                <w:color w:val="000000"/>
                <w:szCs w:val="24"/>
              </w:rPr>
              <w:t xml:space="preserve">kreipiamasi į kitas institucijas dėl informacijos ar dokumentų pateikimo, </w:t>
            </w:r>
            <w:r w:rsidR="00BE06FE" w:rsidRPr="00A25DEA">
              <w:rPr>
                <w:rFonts w:eastAsiaTheme="minorHAnsi"/>
                <w:color w:val="000000"/>
                <w:szCs w:val="24"/>
              </w:rPr>
              <w:t>tiek</w:t>
            </w:r>
            <w:r w:rsidR="004859D2" w:rsidRPr="00A25DEA">
              <w:rPr>
                <w:rFonts w:eastAsiaTheme="minorHAnsi"/>
                <w:color w:val="000000"/>
                <w:szCs w:val="24"/>
              </w:rPr>
              <w:t xml:space="preserve"> turi būti įvertint</w:t>
            </w:r>
            <w:r w:rsidR="00BE06FE" w:rsidRPr="00A25DEA">
              <w:rPr>
                <w:rFonts w:eastAsiaTheme="minorHAnsi"/>
                <w:color w:val="000000"/>
                <w:szCs w:val="24"/>
              </w:rPr>
              <w:t>a dažniausiai tarpukario metu sudarytų dokumentų atitiktis Pilietybės įstatyme įtvirtintiems reikalavimams</w:t>
            </w:r>
            <w:r w:rsidR="00E95CF4" w:rsidRPr="00A25DEA">
              <w:rPr>
                <w:rFonts w:eastAsiaTheme="minorHAnsi"/>
                <w:color w:val="000000"/>
                <w:szCs w:val="24"/>
              </w:rPr>
              <w:t>. Vadovaujantis naujausiais Lietuvos teismų išaiškinimais, šių dokumentų atitiktis Pilietybės įstatymo reikalavimams turi būti įvertinta,</w:t>
            </w:r>
            <w:r w:rsidR="00BE06FE" w:rsidRPr="00A25DEA">
              <w:rPr>
                <w:rFonts w:eastAsiaTheme="minorHAnsi"/>
                <w:color w:val="000000"/>
                <w:szCs w:val="24"/>
              </w:rPr>
              <w:t xml:space="preserve"> atsižvelgiant</w:t>
            </w:r>
            <w:r w:rsidR="00E95CF4" w:rsidRPr="00A25DEA">
              <w:rPr>
                <w:rFonts w:eastAsiaTheme="minorHAnsi"/>
                <w:color w:val="000000"/>
                <w:szCs w:val="24"/>
              </w:rPr>
              <w:t xml:space="preserve"> ir</w:t>
            </w:r>
            <w:r w:rsidR="00BE06FE" w:rsidRPr="00A25DEA">
              <w:rPr>
                <w:rFonts w:eastAsiaTheme="minorHAnsi"/>
                <w:color w:val="000000"/>
                <w:szCs w:val="24"/>
              </w:rPr>
              <w:t xml:space="preserve"> į šių </w:t>
            </w:r>
            <w:r w:rsidR="00E95CF4" w:rsidRPr="00A25DEA">
              <w:rPr>
                <w:rFonts w:eastAsiaTheme="minorHAnsi"/>
                <w:color w:val="000000"/>
                <w:szCs w:val="24"/>
              </w:rPr>
              <w:t>dokumentų</w:t>
            </w:r>
            <w:r w:rsidR="00BE06FE" w:rsidRPr="00A25DEA">
              <w:rPr>
                <w:rFonts w:eastAsiaTheme="minorHAnsi"/>
                <w:color w:val="000000"/>
                <w:szCs w:val="24"/>
              </w:rPr>
              <w:t xml:space="preserve"> išdavimo </w:t>
            </w:r>
            <w:r w:rsidR="00E95CF4" w:rsidRPr="00A25DEA">
              <w:rPr>
                <w:rFonts w:eastAsiaTheme="minorHAnsi"/>
                <w:color w:val="000000"/>
                <w:szCs w:val="24"/>
              </w:rPr>
              <w:t>a</w:t>
            </w:r>
            <w:r w:rsidR="00BE06FE" w:rsidRPr="00A25DEA">
              <w:rPr>
                <w:rFonts w:eastAsiaTheme="minorHAnsi"/>
                <w:color w:val="000000"/>
                <w:szCs w:val="24"/>
              </w:rPr>
              <w:t xml:space="preserve">r kitų </w:t>
            </w:r>
            <w:r w:rsidR="00E95CF4" w:rsidRPr="00A25DEA">
              <w:rPr>
                <w:rFonts w:eastAsiaTheme="minorHAnsi"/>
                <w:color w:val="000000"/>
                <w:szCs w:val="24"/>
              </w:rPr>
              <w:t>nagrinėjimui</w:t>
            </w:r>
            <w:r w:rsidR="00BE06FE" w:rsidRPr="00A25DEA">
              <w:rPr>
                <w:rFonts w:eastAsiaTheme="minorHAnsi"/>
                <w:color w:val="000000"/>
                <w:szCs w:val="24"/>
              </w:rPr>
              <w:t xml:space="preserve"> aktualių individualių aplinkybių metų galiojusių Lietuvos Respublikos pilietybės ir kitus klausimus reglamentavusių teisės aktų nuostatas</w:t>
            </w:r>
            <w:r w:rsidR="00E95CF4" w:rsidRPr="00A25DEA">
              <w:rPr>
                <w:rFonts w:eastAsiaTheme="minorHAnsi"/>
                <w:color w:val="000000"/>
                <w:szCs w:val="24"/>
              </w:rPr>
              <w:t>.</w:t>
            </w:r>
          </w:p>
        </w:tc>
      </w:tr>
      <w:tr w:rsidR="00CF37AC" w:rsidRPr="00A25DEA" w14:paraId="3E587B96" w14:textId="77777777" w:rsidTr="00321C98">
        <w:trPr>
          <w:trHeight w:val="986"/>
        </w:trPr>
        <w:tc>
          <w:tcPr>
            <w:tcW w:w="704" w:type="dxa"/>
            <w:vMerge/>
          </w:tcPr>
          <w:p w14:paraId="68296923" w14:textId="77777777" w:rsidR="00CF37AC" w:rsidRPr="00A25DEA" w:rsidRDefault="00CF37AC" w:rsidP="00D46B8B">
            <w:pPr>
              <w:pStyle w:val="Sraopastraipa"/>
              <w:ind w:left="0"/>
              <w:jc w:val="both"/>
              <w:rPr>
                <w:iCs/>
                <w:szCs w:val="24"/>
              </w:rPr>
            </w:pPr>
          </w:p>
        </w:tc>
        <w:tc>
          <w:tcPr>
            <w:tcW w:w="3402" w:type="dxa"/>
            <w:vMerge/>
          </w:tcPr>
          <w:p w14:paraId="17B36498" w14:textId="77777777" w:rsidR="00CF37AC" w:rsidRPr="00A25DEA" w:rsidRDefault="00CF37AC" w:rsidP="00E07CAE">
            <w:pPr>
              <w:jc w:val="both"/>
              <w:rPr>
                <w:iCs/>
                <w:szCs w:val="24"/>
              </w:rPr>
            </w:pPr>
          </w:p>
        </w:tc>
        <w:tc>
          <w:tcPr>
            <w:tcW w:w="5789" w:type="dxa"/>
          </w:tcPr>
          <w:p w14:paraId="5826DEE1" w14:textId="77777777" w:rsidR="00CF37AC" w:rsidRPr="00A25DEA" w:rsidRDefault="00625186" w:rsidP="00E07CAE">
            <w:pPr>
              <w:contextualSpacing/>
              <w:jc w:val="both"/>
            </w:pPr>
            <w:r w:rsidRPr="00A25DEA">
              <w:t>20.</w:t>
            </w:r>
            <w:r w:rsidRPr="00A25DEA">
              <w:rPr>
                <w:color w:val="000000"/>
              </w:rPr>
              <w:t xml:space="preserve"> Aprašo 27 punkto trečiojoje pastraipoje (ir kitur Apraše) minimas atvejis, kai „</w:t>
            </w:r>
            <w:r w:rsidRPr="00A25DEA">
              <w:rPr>
                <w:lang w:eastAsia="lt-LT"/>
              </w:rPr>
              <w:t xml:space="preserve">kitos valstybės teisėje nenustatyta pilietybės atsisakymo ar netekimo įgijus kitos valstybės pilietybę procedūrų arba šios procedūros </w:t>
            </w:r>
            <w:r w:rsidRPr="00A25DEA">
              <w:rPr>
                <w:i/>
                <w:iCs/>
                <w:lang w:eastAsia="lt-LT"/>
              </w:rPr>
              <w:t>neatitinka protingumo kriterijų</w:t>
            </w:r>
            <w:r w:rsidRPr="00A25DEA">
              <w:rPr>
                <w:lang w:eastAsia="lt-LT"/>
              </w:rPr>
              <w:t xml:space="preserve">“. Pažymėtina, kad nėra nustatoma, kokie konkretūs </w:t>
            </w:r>
            <w:r w:rsidRPr="00A25DEA">
              <w:rPr>
                <w:i/>
                <w:iCs/>
                <w:lang w:eastAsia="lt-LT"/>
              </w:rPr>
              <w:t>kriterijai</w:t>
            </w:r>
            <w:r w:rsidRPr="00A25DEA">
              <w:rPr>
                <w:lang w:eastAsia="lt-LT"/>
              </w:rPr>
              <w:t xml:space="preserve"> turimi omenyje, kur jie nustatyti, kas turės kompetenciją vertinti kitos valstybės teisinėje sistemoje nustatytų kriterijų atitiktį „protingumo kriterijams“.</w:t>
            </w:r>
          </w:p>
        </w:tc>
        <w:tc>
          <w:tcPr>
            <w:tcW w:w="5409" w:type="dxa"/>
          </w:tcPr>
          <w:p w14:paraId="66413866" w14:textId="77777777" w:rsidR="00CF37AC" w:rsidRPr="00A25DEA" w:rsidRDefault="00446FC8" w:rsidP="00D46B8B">
            <w:pPr>
              <w:jc w:val="both"/>
              <w:rPr>
                <w:b/>
                <w:bCs/>
              </w:rPr>
            </w:pPr>
            <w:r w:rsidRPr="00A25DEA">
              <w:rPr>
                <w:b/>
                <w:bCs/>
              </w:rPr>
              <w:t>Neatsižvelgta.</w:t>
            </w:r>
          </w:p>
          <w:p w14:paraId="6F1D9903" w14:textId="66BCD7D4" w:rsidR="00446FC8" w:rsidRPr="00A25DEA" w:rsidRDefault="00040E12" w:rsidP="00446FC8">
            <w:pPr>
              <w:jc w:val="both"/>
              <w:rPr>
                <w:color w:val="000000"/>
              </w:rPr>
            </w:pPr>
            <w:r>
              <w:rPr>
                <w:color w:val="000000"/>
              </w:rPr>
              <w:t>K</w:t>
            </w:r>
            <w:r w:rsidR="00446FC8" w:rsidRPr="00A25DEA">
              <w:rPr>
                <w:color w:val="000000"/>
              </w:rPr>
              <w:t>itos valstybės teisėje nustatytų šios valstybės pilietybės atsisakymo ar netekimo įgijus kitos valstybės pilietybę procedūrų atitiktis protingumo kriterijams bus vertinama kiekvienu konkrečiu atveju, atsižvelgiant į individualias aplinkybes</w:t>
            </w:r>
            <w:r w:rsidR="00D665EA" w:rsidRPr="00A25DEA">
              <w:rPr>
                <w:color w:val="000000"/>
              </w:rPr>
              <w:t xml:space="preserve"> ir į toje valstybėje nustatytas pilietybės atsisakymo ar netekimo </w:t>
            </w:r>
            <w:r w:rsidR="00DB6F86" w:rsidRPr="00A25DEA">
              <w:rPr>
                <w:color w:val="000000"/>
              </w:rPr>
              <w:t>į</w:t>
            </w:r>
            <w:r w:rsidR="00D665EA" w:rsidRPr="00A25DEA">
              <w:rPr>
                <w:color w:val="000000"/>
              </w:rPr>
              <w:t>gijus kitos valstybės pilietybę procedūras</w:t>
            </w:r>
            <w:r w:rsidR="00F520D3" w:rsidRPr="00A25DEA">
              <w:rPr>
                <w:color w:val="000000"/>
              </w:rPr>
              <w:t>.</w:t>
            </w:r>
            <w:r w:rsidR="00AF3CC5" w:rsidRPr="00A25DEA">
              <w:rPr>
                <w:color w:val="000000"/>
              </w:rPr>
              <w:t xml:space="preserve"> </w:t>
            </w:r>
            <w:r w:rsidR="00F520D3" w:rsidRPr="00A25DEA">
              <w:rPr>
                <w:color w:val="000000"/>
              </w:rPr>
              <w:t>P</w:t>
            </w:r>
            <w:r w:rsidR="00AF3CC5" w:rsidRPr="00A25DEA">
              <w:rPr>
                <w:color w:val="000000"/>
              </w:rPr>
              <w:t xml:space="preserve">avyzdžiui, </w:t>
            </w:r>
            <w:r w:rsidR="00F520D3" w:rsidRPr="00A25DEA">
              <w:rPr>
                <w:color w:val="000000"/>
              </w:rPr>
              <w:t>asmeniui Lietuvos Respublikos pilietybė</w:t>
            </w:r>
            <w:r>
              <w:rPr>
                <w:color w:val="000000"/>
              </w:rPr>
              <w:t xml:space="preserve"> suteikta</w:t>
            </w:r>
            <w:r w:rsidR="00F520D3" w:rsidRPr="00A25DEA">
              <w:rPr>
                <w:color w:val="000000"/>
              </w:rPr>
              <w:t xml:space="preserve"> Respublikos Prezidento dekretu, tačiau piliečio teises ir pareigas jis įgis tik po to, kai prisieks Lietuvos Respublikai. Pilietybės įstatyme nustatytas priesaikos terminas – 2 metai nuo dekreto įsigaliojimo. Likus 8 mėnesiams iki 2 metų termino pabaigos, asmuo teikia Migracijos departamentui prašymą leisti prisiekti Lietuvos Respublikai, neatsisakius turimos kitos valstybės pilietybės, ir nurodo, kad jo valstybės teisėje nustatytos</w:t>
            </w:r>
            <w:r w:rsidR="00F520D3" w:rsidRPr="00A25DEA">
              <w:rPr>
                <w:color w:val="000000"/>
                <w:szCs w:val="24"/>
                <w:lang w:eastAsia="lt-LT"/>
              </w:rPr>
              <w:t xml:space="preserve"> pilietybės atsisakymo ar netekimo, įgijus kitos valstybės pilietybę, procedūros neatitinka protingumo kriterijų, </w:t>
            </w:r>
            <w:r>
              <w:rPr>
                <w:color w:val="000000"/>
                <w:szCs w:val="24"/>
                <w:lang w:eastAsia="lt-LT"/>
              </w:rPr>
              <w:t>nes</w:t>
            </w:r>
            <w:r w:rsidR="00F520D3" w:rsidRPr="00A25DEA">
              <w:rPr>
                <w:color w:val="000000"/>
                <w:szCs w:val="24"/>
                <w:lang w:eastAsia="lt-LT"/>
              </w:rPr>
              <w:t xml:space="preserve"> trunka ne mažiau </w:t>
            </w:r>
            <w:r>
              <w:rPr>
                <w:color w:val="000000"/>
                <w:szCs w:val="24"/>
                <w:lang w:eastAsia="lt-LT"/>
              </w:rPr>
              <w:t>nei vienus metus</w:t>
            </w:r>
            <w:r w:rsidR="00F520D3" w:rsidRPr="00A25DEA">
              <w:rPr>
                <w:color w:val="000000"/>
                <w:szCs w:val="24"/>
                <w:lang w:eastAsia="lt-LT"/>
              </w:rPr>
              <w:t xml:space="preserve"> ir asmuo nespės prisiekti Lietuvos Respublikai</w:t>
            </w:r>
            <w:r w:rsidR="00F520D3" w:rsidRPr="00A25DEA">
              <w:rPr>
                <w:color w:val="000000"/>
              </w:rPr>
              <w:t xml:space="preserve">. Tokiu atveju Migracijos departamentas vertins tiek prašymą pateikusio asmens pilietybės valstybės teisės </w:t>
            </w:r>
            <w:r w:rsidR="00F520D3" w:rsidRPr="00A25DEA">
              <w:rPr>
                <w:color w:val="000000"/>
              </w:rPr>
              <w:lastRenderedPageBreak/>
              <w:t>aktų, reglamentuojančių pilietybės atsisakymo ar netekimo procedūrų</w:t>
            </w:r>
            <w:r w:rsidR="00FD54B3" w:rsidRPr="00A25DEA">
              <w:rPr>
                <w:color w:val="000000"/>
              </w:rPr>
              <w:t xml:space="preserve"> taikymą, reikalavimus, tiek prašymą pateikusio asmens aplinkybes, dėl kurių jis prašo leisti jam prisiekti, neatsisakius turimos kitos valstybės pilietybės. </w:t>
            </w:r>
          </w:p>
          <w:p w14:paraId="5D8400DF" w14:textId="58AE104A" w:rsidR="00AF3CC5" w:rsidRPr="00A25DEA" w:rsidRDefault="00AF3CC5" w:rsidP="00AF3CC5">
            <w:pPr>
              <w:jc w:val="both"/>
              <w:rPr>
                <w:color w:val="000000"/>
                <w:szCs w:val="24"/>
                <w:lang w:eastAsia="lt-LT"/>
              </w:rPr>
            </w:pPr>
            <w:r w:rsidRPr="00A25DEA">
              <w:rPr>
                <w:color w:val="000000"/>
              </w:rPr>
              <w:t>Aprašo 27, 28, 48, 50 ir 51 p</w:t>
            </w:r>
            <w:r w:rsidR="00DB6F86" w:rsidRPr="00A25DEA">
              <w:rPr>
                <w:color w:val="000000"/>
              </w:rPr>
              <w:t>unktuose</w:t>
            </w:r>
            <w:r w:rsidRPr="00A25DEA">
              <w:rPr>
                <w:color w:val="000000"/>
              </w:rPr>
              <w:t xml:space="preserve"> nustatyta, kad sprendimą dėl to, </w:t>
            </w:r>
            <w:r w:rsidRPr="00A25DEA">
              <w:rPr>
                <w:color w:val="000000"/>
                <w:szCs w:val="24"/>
                <w:lang w:eastAsia="lt-LT"/>
              </w:rPr>
              <w:t>ar kitos valstybės teisėje nustatytos pilietybės atsisakymo ar netekimo, įgijus kitos valstybės pilietybę, procedūros ir ar jos atitinka protingumo kriterijus, priima Migracijos departamentas.</w:t>
            </w:r>
            <w:r w:rsidR="00FD54B3" w:rsidRPr="00A25DEA">
              <w:rPr>
                <w:color w:val="000000"/>
                <w:szCs w:val="24"/>
                <w:lang w:eastAsia="lt-LT"/>
              </w:rPr>
              <w:t xml:space="preserve"> </w:t>
            </w:r>
            <w:r w:rsidR="00DB6F86" w:rsidRPr="00A25DEA">
              <w:rPr>
                <w:color w:val="000000"/>
                <w:szCs w:val="24"/>
                <w:lang w:eastAsia="lt-LT"/>
              </w:rPr>
              <w:t>P</w:t>
            </w:r>
            <w:r w:rsidR="00FD54B3" w:rsidRPr="00A25DEA">
              <w:rPr>
                <w:color w:val="000000"/>
                <w:szCs w:val="24"/>
                <w:lang w:eastAsia="lt-LT"/>
              </w:rPr>
              <w:t xml:space="preserve">riėmus sprendimą, kad šios procedūros neatitinka protingumo kriterijų, asmuo šį sprendimą galės skųsti teismui. </w:t>
            </w:r>
          </w:p>
          <w:p w14:paraId="2C2263B9" w14:textId="31DA8D68" w:rsidR="00FD54B3" w:rsidRPr="00A25DEA" w:rsidRDefault="00FD54B3" w:rsidP="00B47334">
            <w:pPr>
              <w:jc w:val="both"/>
              <w:rPr>
                <w:bCs/>
              </w:rPr>
            </w:pPr>
            <w:r w:rsidRPr="00A25DEA">
              <w:rPr>
                <w:color w:val="000000"/>
                <w:szCs w:val="24"/>
                <w:lang w:eastAsia="lt-LT"/>
              </w:rPr>
              <w:t>Atsižvelgdami į tai, kas išdėstyta,</w:t>
            </w:r>
            <w:r w:rsidR="00D665EA" w:rsidRPr="00A25DEA">
              <w:rPr>
                <w:color w:val="000000"/>
                <w:szCs w:val="24"/>
                <w:lang w:eastAsia="lt-LT"/>
              </w:rPr>
              <w:t xml:space="preserve"> ir į tai, kad kiekvienoje pasaulio valstybėje yra nustatytos skirtingos pilietybės atsisakymo ar netekimo, įgijus kitos valstybės pilietybę, procedūros, </w:t>
            </w:r>
            <w:r w:rsidR="00DB6F86" w:rsidRPr="00A25DEA">
              <w:rPr>
                <w:color w:val="000000"/>
                <w:szCs w:val="24"/>
                <w:lang w:eastAsia="lt-LT"/>
              </w:rPr>
              <w:t xml:space="preserve">manome, kad </w:t>
            </w:r>
            <w:r w:rsidR="00DB6F86" w:rsidRPr="00A25DEA">
              <w:rPr>
                <w:color w:val="000000"/>
              </w:rPr>
              <w:t xml:space="preserve"> protingumo kriterijų, kuriuos atitinka arba neatitinka kitos valstybės teisėje nustatytos pilietybės atsisakymo ar netekimo, įgijus kitos valstybės pilietybę, procedūros, apibrėžti ar aprašyti</w:t>
            </w:r>
            <w:r w:rsidR="00DB6F86" w:rsidRPr="00A25DEA">
              <w:rPr>
                <w:color w:val="000000"/>
                <w:szCs w:val="24"/>
                <w:lang w:eastAsia="lt-LT"/>
              </w:rPr>
              <w:t xml:space="preserve"> teisės akte</w:t>
            </w:r>
            <w:r w:rsidR="00D665EA" w:rsidRPr="00A25DEA">
              <w:rPr>
                <w:color w:val="000000"/>
                <w:szCs w:val="24"/>
                <w:lang w:eastAsia="lt-LT"/>
              </w:rPr>
              <w:t xml:space="preserve"> neįmanoma</w:t>
            </w:r>
            <w:r w:rsidR="00DB6F86" w:rsidRPr="00A25DEA">
              <w:rPr>
                <w:color w:val="000000"/>
                <w:szCs w:val="24"/>
                <w:lang w:eastAsia="lt-LT"/>
              </w:rPr>
              <w:t xml:space="preserve"> ir netikslinga.</w:t>
            </w:r>
          </w:p>
        </w:tc>
      </w:tr>
      <w:tr w:rsidR="00353033" w:rsidRPr="00A25DEA" w14:paraId="3039659C" w14:textId="77777777" w:rsidTr="00B426B5">
        <w:trPr>
          <w:trHeight w:val="1366"/>
        </w:trPr>
        <w:tc>
          <w:tcPr>
            <w:tcW w:w="704" w:type="dxa"/>
            <w:vMerge/>
          </w:tcPr>
          <w:p w14:paraId="6389F8FD" w14:textId="77777777" w:rsidR="00353033" w:rsidRPr="00A25DEA" w:rsidRDefault="00353033" w:rsidP="00D46B8B">
            <w:pPr>
              <w:pStyle w:val="Sraopastraipa"/>
              <w:ind w:left="0"/>
              <w:jc w:val="both"/>
              <w:rPr>
                <w:iCs/>
                <w:szCs w:val="24"/>
              </w:rPr>
            </w:pPr>
          </w:p>
        </w:tc>
        <w:tc>
          <w:tcPr>
            <w:tcW w:w="3402" w:type="dxa"/>
            <w:vMerge/>
          </w:tcPr>
          <w:p w14:paraId="3F21F766" w14:textId="77777777" w:rsidR="00353033" w:rsidRPr="00A25DEA" w:rsidRDefault="00353033" w:rsidP="00E07CAE">
            <w:pPr>
              <w:jc w:val="both"/>
              <w:rPr>
                <w:iCs/>
                <w:szCs w:val="24"/>
              </w:rPr>
            </w:pPr>
          </w:p>
        </w:tc>
        <w:tc>
          <w:tcPr>
            <w:tcW w:w="5789" w:type="dxa"/>
          </w:tcPr>
          <w:p w14:paraId="151CD6B4" w14:textId="77777777" w:rsidR="00353033" w:rsidRPr="00A25DEA" w:rsidRDefault="00B426B5" w:rsidP="00E07CAE">
            <w:pPr>
              <w:contextualSpacing/>
              <w:jc w:val="both"/>
            </w:pPr>
            <w:r w:rsidRPr="00A25DEA">
              <w:t>21.</w:t>
            </w:r>
            <w:r w:rsidRPr="00A25DEA">
              <w:rPr>
                <w:lang w:eastAsia="lt-LT"/>
              </w:rPr>
              <w:t xml:space="preserve"> Aprašo 82 punkto ketvirtojoje pastraipoje nustatyti informavimo apie priimtą sprendimą terminai viršytų Viešojo administravimo įstatyme nustatytą 3 dienų terminą.</w:t>
            </w:r>
          </w:p>
        </w:tc>
        <w:tc>
          <w:tcPr>
            <w:tcW w:w="5409" w:type="dxa"/>
          </w:tcPr>
          <w:p w14:paraId="0E657848" w14:textId="77777777" w:rsidR="00353033" w:rsidRPr="00A25DEA" w:rsidRDefault="00B426B5" w:rsidP="00D46B8B">
            <w:pPr>
              <w:jc w:val="both"/>
              <w:rPr>
                <w:b/>
                <w:bCs/>
              </w:rPr>
            </w:pPr>
            <w:r w:rsidRPr="00A25DEA">
              <w:rPr>
                <w:b/>
                <w:bCs/>
              </w:rPr>
              <w:t>Neatsižvelgta.</w:t>
            </w:r>
          </w:p>
          <w:p w14:paraId="65C4212B" w14:textId="70F576F9" w:rsidR="00B426B5" w:rsidRPr="00A25DEA" w:rsidRDefault="000E7422" w:rsidP="00B47334">
            <w:pPr>
              <w:jc w:val="both"/>
              <w:rPr>
                <w:bCs/>
              </w:rPr>
            </w:pPr>
            <w:r w:rsidRPr="00A25DEA">
              <w:rPr>
                <w:bCs/>
              </w:rPr>
              <w:t>Informuojame, kad</w:t>
            </w:r>
            <w:r w:rsidRPr="00A25DEA">
              <w:t xml:space="preserve"> teisės atkurti pilietybę pažymėjimas arba lietuvių kilmės pažymėjimas turi būti išrašytas per 10 darbo dienų nuo sprendimo išduoti šį pažymėjimą dienos (Aprašo 82 p</w:t>
            </w:r>
            <w:r w:rsidR="00DB6F86" w:rsidRPr="00A25DEA">
              <w:t>unktas</w:t>
            </w:r>
            <w:r w:rsidRPr="00A25DEA">
              <w:t>)</w:t>
            </w:r>
            <w:r w:rsidR="00055740" w:rsidRPr="00A25DEA">
              <w:t>.</w:t>
            </w:r>
            <w:r w:rsidR="00F04EF2" w:rsidRPr="00A25DEA">
              <w:t xml:space="preserve"> </w:t>
            </w:r>
            <w:r w:rsidR="00040E12">
              <w:t>A</w:t>
            </w:r>
            <w:r w:rsidR="00F04EF2" w:rsidRPr="00A25DEA">
              <w:t>smuo</w:t>
            </w:r>
            <w:r w:rsidR="00040E12">
              <w:t>,</w:t>
            </w:r>
            <w:r w:rsidR="00F04EF2" w:rsidRPr="00A25DEA">
              <w:t xml:space="preserve"> pageidauja</w:t>
            </w:r>
            <w:r w:rsidR="00040E12">
              <w:t>ntis</w:t>
            </w:r>
            <w:r w:rsidR="00F04EF2" w:rsidRPr="00A25DEA">
              <w:t xml:space="preserve"> atsiimti pažymėjimą konsulinėje įstaigoje</w:t>
            </w:r>
            <w:r w:rsidR="00040E12">
              <w:t>,</w:t>
            </w:r>
            <w:r w:rsidR="00F04EF2" w:rsidRPr="00A25DEA">
              <w:t xml:space="preserve"> dar turi būti siunčiamas į šią konsulinę įstaigą</w:t>
            </w:r>
            <w:r w:rsidR="00055740" w:rsidRPr="00A25DEA">
              <w:t xml:space="preserve"> ir po to, kai pažymėjimas gautas konsulinėje įstaigoje, asmuo gali atsiimti išrašytą pažymėjimą</w:t>
            </w:r>
            <w:r w:rsidRPr="00A25DEA">
              <w:t>. Taigi</w:t>
            </w:r>
            <w:r w:rsidR="00F04EF2" w:rsidRPr="00A25DEA">
              <w:t>, Aprašo 82 p</w:t>
            </w:r>
            <w:r w:rsidR="00DB6F86" w:rsidRPr="00A25DEA">
              <w:t>unkto</w:t>
            </w:r>
            <w:r w:rsidR="00F04EF2" w:rsidRPr="00A25DEA">
              <w:t xml:space="preserve"> ketvirtojoje pastraipoje nurodytas 3 darbo dienų terminas, per kurį </w:t>
            </w:r>
            <w:r w:rsidR="00055740" w:rsidRPr="00A25DEA">
              <w:t xml:space="preserve">konsulinė įstaiga informuoja asmenį apie išrašytą </w:t>
            </w:r>
            <w:r w:rsidR="00055740" w:rsidRPr="00A25DEA">
              <w:lastRenderedPageBreak/>
              <w:t>pažymėjimą, nustatyt</w:t>
            </w:r>
            <w:r w:rsidR="0041143B" w:rsidRPr="00A25DEA">
              <w:t xml:space="preserve">as siekiant užtikrinti, kad asmenys dėl pažymėjimo atsiėmimo į konsulinę įstaigą kreiptųsi tik po to, kai šis pažymėjimas jau yra konsulinės įstaigos žinioje. </w:t>
            </w:r>
            <w:r w:rsidR="002F4184">
              <w:t xml:space="preserve">Taip pat </w:t>
            </w:r>
            <w:r w:rsidR="0041143B" w:rsidRPr="00A25DEA">
              <w:t>pažymime, kad tais atvejais, kai Migracijos departamentas priima neigiamą sprendimą (nutraukia prašymo nagrinėjimą arba atsisako išduoti ar pakeisti pažymėjimą), asmuo apie tokį sprendimą informuojamas per 3 darbo dienas nuo sprendimo priėmimo. Atsižvelgdami į tai, kas išdėstyta, manome, kad kitokių terminų nustatymas aprašo 82 p</w:t>
            </w:r>
            <w:r w:rsidR="00DB6F86" w:rsidRPr="00A25DEA">
              <w:t>unkte</w:t>
            </w:r>
            <w:r w:rsidR="0041143B" w:rsidRPr="00A25DEA">
              <w:t xml:space="preserve"> </w:t>
            </w:r>
            <w:r w:rsidR="00DB6F86" w:rsidRPr="00A25DEA">
              <w:t>ne</w:t>
            </w:r>
            <w:r w:rsidR="0041143B" w:rsidRPr="00A25DEA">
              <w:t>tikslingas.</w:t>
            </w:r>
          </w:p>
        </w:tc>
      </w:tr>
      <w:tr w:rsidR="00492FBC" w:rsidRPr="00A25DEA" w14:paraId="0E6761BF" w14:textId="77777777" w:rsidTr="0041085C">
        <w:trPr>
          <w:trHeight w:val="1404"/>
        </w:trPr>
        <w:tc>
          <w:tcPr>
            <w:tcW w:w="704" w:type="dxa"/>
            <w:vMerge w:val="restart"/>
          </w:tcPr>
          <w:p w14:paraId="24FBD63C" w14:textId="77777777" w:rsidR="00492FBC" w:rsidRPr="00A25DEA" w:rsidRDefault="00492FBC" w:rsidP="00D46B8B">
            <w:pPr>
              <w:jc w:val="both"/>
              <w:rPr>
                <w:iCs/>
                <w:szCs w:val="24"/>
              </w:rPr>
            </w:pPr>
            <w:r w:rsidRPr="00A25DEA">
              <w:rPr>
                <w:iCs/>
                <w:szCs w:val="24"/>
              </w:rPr>
              <w:lastRenderedPageBreak/>
              <w:t xml:space="preserve">2. </w:t>
            </w:r>
          </w:p>
        </w:tc>
        <w:tc>
          <w:tcPr>
            <w:tcW w:w="3402" w:type="dxa"/>
            <w:vMerge w:val="restart"/>
          </w:tcPr>
          <w:p w14:paraId="6C5676FD" w14:textId="77777777" w:rsidR="00492FBC" w:rsidRPr="00A25DEA" w:rsidRDefault="00492FBC" w:rsidP="002D4817">
            <w:pPr>
              <w:jc w:val="both"/>
              <w:rPr>
                <w:szCs w:val="24"/>
              </w:rPr>
            </w:pPr>
            <w:r w:rsidRPr="00A25DEA">
              <w:rPr>
                <w:szCs w:val="24"/>
              </w:rPr>
              <w:t>Valstybinės duomenų apsaugos inspekcijos 2021 m. gegužės 21 d. išvada Nr.</w:t>
            </w:r>
            <w:r w:rsidRPr="00A25DEA">
              <w:t xml:space="preserve"> 2R-2626 (3.2.Mr)</w:t>
            </w:r>
          </w:p>
        </w:tc>
        <w:tc>
          <w:tcPr>
            <w:tcW w:w="5789" w:type="dxa"/>
          </w:tcPr>
          <w:p w14:paraId="4C1FB4C8" w14:textId="215FC8E9" w:rsidR="00492FBC" w:rsidRPr="00A25DEA" w:rsidRDefault="00492FBC" w:rsidP="00D46B8B">
            <w:pPr>
              <w:jc w:val="both"/>
              <w:rPr>
                <w:szCs w:val="24"/>
              </w:rPr>
            </w:pPr>
            <w:r w:rsidRPr="00A25DEA">
              <w:rPr>
                <w:szCs w:val="24"/>
              </w:rPr>
              <w:t>1.</w:t>
            </w:r>
            <w:r w:rsidRPr="00A25DEA">
              <w:t xml:space="preserve"> Inspekcija 2020-09-11 raštu Nr.</w:t>
            </w:r>
            <w:r w:rsidR="00D7034F" w:rsidRPr="00A25DEA">
              <w:t xml:space="preserve"> </w:t>
            </w:r>
            <w:r w:rsidRPr="00A25DEA">
              <w:t>2R-4560 (3.2.E) „Dėl nutarimo projekto“ (toliau –</w:t>
            </w:r>
            <w:r w:rsidR="00CB0B64" w:rsidRPr="00A25DEA">
              <w:t xml:space="preserve"> </w:t>
            </w:r>
            <w:r w:rsidRPr="00A25DEA">
              <w:t>Raštas)  pateikė pastabą ir pasiūlymą dėl Tvarkos aprašo 7.9 papunktyje (šiuo metu 7.7 papunktis) numatytos nuostatos susijusios su kito asmens sutikimu atsižvelgiant į 2016 m. balandžio 27 d. Europos Parlamento ir Tarybos reglamento (ES) 2016/679 dėl fizinių asmenų apsaugos tvarkant asmens duomenis ir dėl laisvo tokių duomenų judėjimo ir kuriuo panaikinama Direktyva 95/46/EB (</w:t>
            </w:r>
            <w:hyperlink r:id="rId8" w:history="1">
              <w:r w:rsidRPr="00A25DEA">
                <w:rPr>
                  <w:rStyle w:val="Hipersaitas"/>
                  <w:color w:val="000000"/>
                </w:rPr>
                <w:t>Bendrasis duomenų apsaugos reglamentas</w:t>
              </w:r>
            </w:hyperlink>
            <w:r w:rsidRPr="00A25DEA">
              <w:t>) (toliau – Reglamentas) 7 straipsnį ir gerojo viešojo administravimo (atsakingo) valdymo principą. Pažymėtina, kad</w:t>
            </w:r>
            <w:r w:rsidRPr="00A25DEA">
              <w:rPr>
                <w:color w:val="000000"/>
              </w:rPr>
              <w:t xml:space="preserve"> Lietuvos Respublikos Vyriausybės kanceliarijos Teisės grupė išvadoje dėl Tvarkos aprašo projekto 13 punkte nurodė, kad </w:t>
            </w:r>
            <w:r w:rsidRPr="00A25DEA">
              <w:rPr>
                <w:rFonts w:eastAsiaTheme="minorHAnsi"/>
              </w:rPr>
              <w:t xml:space="preserve">„pritardami Valstybinės duomenų apsaugos inspekcijos 2020 m. rugsėjo 11 d. išvados Nr. 2R-4560 – (3.2E) pirmojoje pastaboje pateiktiems argumentams, kad Aprašo 6.8 papunktyje nustatytas reikalavimas pateikti kito asmens pasirašytą sutikimą neatitinka ne tik 2016 m. balandžio 27 d. reglamento (ES) 2016/679 dėl fizinių asmenų apsaugos tvarkant asmens duomenis ir dėl laisvo tokių duomenų judėjimo ir kuriuo panaikinama Direktyva 95/46/EB (Bendrasis duomenų apsaugos reglamentas) nuostatų, bet </w:t>
            </w:r>
            <w:r w:rsidRPr="00A25DEA">
              <w:rPr>
                <w:rFonts w:eastAsiaTheme="minorHAnsi"/>
              </w:rPr>
              <w:lastRenderedPageBreak/>
              <w:t xml:space="preserve">ir gerojo viešojo administravimo (atsakingo) valdymo principo, todėl siūlome pakartotinai įvertinti šių nuostatų pagrįstumą”. Taigi </w:t>
            </w:r>
            <w:r w:rsidRPr="00A25DEA">
              <w:rPr>
                <w:color w:val="000000"/>
              </w:rPr>
              <w:t>siūlome pakartotinai įvertinti Tvarkos aprašo 7.7 papunktyje ir 26 punkte numatytų nuostatų pagrįstumą.</w:t>
            </w:r>
          </w:p>
        </w:tc>
        <w:tc>
          <w:tcPr>
            <w:tcW w:w="5409" w:type="dxa"/>
          </w:tcPr>
          <w:p w14:paraId="776733A5" w14:textId="3074E0EA" w:rsidR="00492FBC" w:rsidRPr="00A25DEA" w:rsidRDefault="00927593" w:rsidP="00D46B8B">
            <w:pPr>
              <w:pStyle w:val="Komentarotekstas"/>
              <w:jc w:val="both"/>
              <w:rPr>
                <w:b/>
                <w:bCs/>
                <w:sz w:val="24"/>
                <w:szCs w:val="24"/>
              </w:rPr>
            </w:pPr>
            <w:r>
              <w:rPr>
                <w:b/>
                <w:bCs/>
                <w:sz w:val="24"/>
                <w:szCs w:val="24"/>
              </w:rPr>
              <w:lastRenderedPageBreak/>
              <w:t>Atsižvelgta iš dalies</w:t>
            </w:r>
            <w:r w:rsidR="00492FBC" w:rsidRPr="00A25DEA">
              <w:rPr>
                <w:b/>
                <w:bCs/>
                <w:sz w:val="24"/>
                <w:szCs w:val="24"/>
              </w:rPr>
              <w:t xml:space="preserve">. </w:t>
            </w:r>
          </w:p>
          <w:p w14:paraId="4D353CB9" w14:textId="77777777" w:rsidR="00492FBC" w:rsidRPr="00A25DEA" w:rsidRDefault="00492FBC" w:rsidP="002F61C0">
            <w:pPr>
              <w:pStyle w:val="Komentarotekstas"/>
              <w:jc w:val="both"/>
              <w:rPr>
                <w:sz w:val="24"/>
                <w:szCs w:val="24"/>
              </w:rPr>
            </w:pPr>
            <w:r w:rsidRPr="00A25DEA">
              <w:rPr>
                <w:bCs/>
                <w:sz w:val="24"/>
                <w:szCs w:val="24"/>
              </w:rPr>
              <w:t>Žr. argumentus prie Lietuvos Respublikos teisingumo ministerijos 5 pastabos.</w:t>
            </w:r>
          </w:p>
        </w:tc>
      </w:tr>
      <w:tr w:rsidR="00492FBC" w:rsidRPr="00A25DEA" w14:paraId="7B2DEDBC" w14:textId="77777777" w:rsidTr="0041085C">
        <w:trPr>
          <w:trHeight w:val="1404"/>
        </w:trPr>
        <w:tc>
          <w:tcPr>
            <w:tcW w:w="704" w:type="dxa"/>
            <w:vMerge/>
          </w:tcPr>
          <w:p w14:paraId="2F1D9C60" w14:textId="77777777" w:rsidR="00492FBC" w:rsidRPr="00A25DEA" w:rsidRDefault="00492FBC" w:rsidP="00D46B8B">
            <w:pPr>
              <w:jc w:val="both"/>
              <w:rPr>
                <w:iCs/>
                <w:szCs w:val="24"/>
              </w:rPr>
            </w:pPr>
          </w:p>
        </w:tc>
        <w:tc>
          <w:tcPr>
            <w:tcW w:w="3402" w:type="dxa"/>
            <w:vMerge/>
          </w:tcPr>
          <w:p w14:paraId="1E04ED5D" w14:textId="77777777" w:rsidR="00492FBC" w:rsidRPr="00A25DEA" w:rsidRDefault="00492FBC" w:rsidP="002D4817">
            <w:pPr>
              <w:jc w:val="both"/>
              <w:rPr>
                <w:szCs w:val="24"/>
              </w:rPr>
            </w:pPr>
          </w:p>
        </w:tc>
        <w:tc>
          <w:tcPr>
            <w:tcW w:w="5789" w:type="dxa"/>
          </w:tcPr>
          <w:p w14:paraId="3E12BE22" w14:textId="77777777" w:rsidR="00492FBC" w:rsidRPr="00A25DEA" w:rsidRDefault="00492FBC" w:rsidP="00492FBC">
            <w:pPr>
              <w:jc w:val="both"/>
              <w:rPr>
                <w:szCs w:val="24"/>
              </w:rPr>
            </w:pPr>
            <w:r w:rsidRPr="00A25DEA">
              <w:rPr>
                <w:szCs w:val="24"/>
              </w:rPr>
              <w:t xml:space="preserve">2. </w:t>
            </w:r>
            <w:r w:rsidRPr="00A25DEA">
              <w:rPr>
                <w:color w:val="000000"/>
              </w:rPr>
              <w:t xml:space="preserve"> </w:t>
            </w:r>
            <w:r w:rsidRPr="00A25DEA">
              <w:rPr>
                <w:color w:val="000000"/>
                <w:szCs w:val="24"/>
              </w:rPr>
              <w:t>Tvarkos aprašo 31 punkte nustatyta, kad „vidaus reikalų ministerija, gavusi iš Lietuvos Respublikos Prezidento kanceliarijos</w:t>
            </w:r>
            <w:r w:rsidRPr="00A25DEA">
              <w:rPr>
                <w:color w:val="FF0000"/>
                <w:szCs w:val="24"/>
              </w:rPr>
              <w:t> </w:t>
            </w:r>
            <w:r w:rsidRPr="00A25DEA">
              <w:rPr>
                <w:color w:val="000000"/>
                <w:szCs w:val="24"/>
              </w:rPr>
              <w:t xml:space="preserve">dekreto projektą </w:t>
            </w:r>
            <w:r w:rsidRPr="00A25DEA">
              <w:rPr>
                <w:i/>
                <w:iCs/>
                <w:color w:val="000000"/>
                <w:szCs w:val="24"/>
              </w:rPr>
              <w:t>ir su juo susijusius dokumentus</w:t>
            </w:r>
            <w:r w:rsidRPr="00A25DEA">
              <w:rPr>
                <w:color w:val="000000"/>
                <w:szCs w:val="24"/>
              </w:rPr>
              <w:t xml:space="preserve">, ne vėliau kaip kitą darbo dieną persiunčia juos Migracijos departamentui </w:t>
            </w:r>
            <w:r w:rsidRPr="00A25DEA">
              <w:rPr>
                <w:i/>
                <w:iCs/>
                <w:color w:val="000000"/>
                <w:szCs w:val="24"/>
              </w:rPr>
              <w:t>patikrinti,</w:t>
            </w:r>
            <w:r w:rsidRPr="00A25DEA">
              <w:rPr>
                <w:color w:val="000000"/>
                <w:szCs w:val="24"/>
              </w:rPr>
              <w:t xml:space="preserve"> ar dekreto projekte tiksliai nurodyti asmenų, padavusių prašymus dėl Lietuvos Respublikos pilietybės suteikimo supaprastinta, natūralizacijos ar išimties tvarka arba Lietuvos Respublikos pilietybės grąžinimo ar išsaugojimo, duomenys (vardas, pavardė, gimimo data ir vieta, gyvenamoji vieta)“. Tvarkos aprašo 32 punkte nustatyta, kad „Migracijos departamentas, ne vėliau kaip per 10 darbo dienų nuo dekreto projekto gavimo dienos atlikęs patikrinimą,</w:t>
            </w:r>
            <w:r w:rsidRPr="00A25DEA">
              <w:rPr>
                <w:color w:val="FF0000"/>
                <w:szCs w:val="24"/>
              </w:rPr>
              <w:t> </w:t>
            </w:r>
            <w:r w:rsidRPr="00A25DEA">
              <w:rPr>
                <w:color w:val="000000"/>
                <w:szCs w:val="24"/>
              </w:rPr>
              <w:t xml:space="preserve">raštu pareiškia vidaus reikalų ministrui savo nuomonę, ar dekreto projekte nurodyti duomenys </w:t>
            </w:r>
            <w:r w:rsidRPr="00A25DEA">
              <w:rPr>
                <w:i/>
                <w:iCs/>
                <w:color w:val="000000"/>
                <w:szCs w:val="24"/>
              </w:rPr>
              <w:t>sutampa su Gyventojų registro duomenimis ir ar dekreto projektas atitinka Pilietybės įstatymą ir gali būti pateiktas pasirašyti</w:t>
            </w:r>
            <w:r w:rsidRPr="00A25DEA">
              <w:rPr>
                <w:color w:val="000000"/>
                <w:szCs w:val="24"/>
              </w:rPr>
              <w:t xml:space="preserve">”. </w:t>
            </w:r>
          </w:p>
          <w:p w14:paraId="701504C7" w14:textId="40477562" w:rsidR="00492FBC" w:rsidRPr="00A25DEA" w:rsidRDefault="00492FBC" w:rsidP="00492FBC">
            <w:pPr>
              <w:jc w:val="both"/>
              <w:rPr>
                <w:szCs w:val="24"/>
              </w:rPr>
            </w:pPr>
            <w:r w:rsidRPr="00A25DEA">
              <w:rPr>
                <w:color w:val="000000"/>
                <w:szCs w:val="24"/>
              </w:rPr>
              <w:t>Siūlome tikslinti Tvarkos aprašo 31 punktą, įvardinant Lietuvos Respublikos Prezidento kanceliarijos teikiamus dokumentus Lietuvos Respublikos vidaus reikalų ministerijai arba pateikti nuorodą į teisės aktus, reglamentuojančius, kokie dokumentai yra teikiami kartu su Lietuvos Respublikos Prezidento kanceliarijos</w:t>
            </w:r>
            <w:r w:rsidR="00964AD2">
              <w:rPr>
                <w:color w:val="FF0000"/>
                <w:szCs w:val="24"/>
              </w:rPr>
              <w:t xml:space="preserve"> </w:t>
            </w:r>
            <w:r w:rsidRPr="00A25DEA">
              <w:rPr>
                <w:color w:val="000000"/>
                <w:szCs w:val="24"/>
              </w:rPr>
              <w:t>dekreto projektu. Taip pat jeigu bus teikiamos dokumentų kopijos, tuomet siūlome tikslinti Tvarkos aprašo 31 punktą šiuo aspektu.</w:t>
            </w:r>
          </w:p>
          <w:p w14:paraId="71652BBE" w14:textId="77777777" w:rsidR="00492FBC" w:rsidRPr="00A25DEA" w:rsidRDefault="00492FBC" w:rsidP="00492FBC">
            <w:pPr>
              <w:jc w:val="both"/>
              <w:rPr>
                <w:szCs w:val="24"/>
              </w:rPr>
            </w:pPr>
            <w:r w:rsidRPr="00A25DEA">
              <w:rPr>
                <w:color w:val="000000"/>
                <w:szCs w:val="24"/>
              </w:rPr>
              <w:t xml:space="preserve">Iš Tvarkos aprašo 32 punkto nuostatos nėra aišku, ar ši nuostata: </w:t>
            </w:r>
            <w:r w:rsidRPr="00A25DEA">
              <w:rPr>
                <w:i/>
                <w:iCs/>
                <w:color w:val="000000"/>
                <w:szCs w:val="24"/>
              </w:rPr>
              <w:t xml:space="preserve">„ar dekreto projektas atitinka Pilietybės </w:t>
            </w:r>
            <w:r w:rsidRPr="00A25DEA">
              <w:rPr>
                <w:i/>
                <w:iCs/>
                <w:color w:val="000000"/>
                <w:szCs w:val="24"/>
              </w:rPr>
              <w:lastRenderedPageBreak/>
              <w:t>įstatymą“,</w:t>
            </w:r>
            <w:r w:rsidRPr="00A25DEA">
              <w:rPr>
                <w:color w:val="000000"/>
                <w:szCs w:val="24"/>
              </w:rPr>
              <w:t xml:space="preserve"> reiškia, kad galimai siekiant įsitikinti, ar Lietuvos Respublikos Prezidento dekretų projektai atitinka Lietuvos Respublikos pilietybės įstatyme nustatytus konkrečius reikalavimus (pavyzdžiui, dėl informacijos apie nusikaltimus ir kt.) bus tikrinami ir kiti valstybės registrai, jeigu toks patikrinimas bus vykdomas, tuomet siūlome pakartotinai įvertinti Tvarkos aprašo 31 ir 32 punktus, t. y. Tvarkos aprašo 31 ir 32 punktuose numatytas nuostatas tarpusavyje suderinti ir aiškiai įvardinti asmens patikrinimo dėl pilietybės procesą (šaltinius) atsižvelgiant į Lietuvos Respublikos Prezidento pateiktus dekretų projektus.</w:t>
            </w:r>
          </w:p>
          <w:p w14:paraId="514C1621" w14:textId="77777777" w:rsidR="00492FBC" w:rsidRPr="00A25DEA" w:rsidRDefault="00492FBC" w:rsidP="00D46B8B">
            <w:pPr>
              <w:jc w:val="both"/>
              <w:rPr>
                <w:szCs w:val="24"/>
              </w:rPr>
            </w:pPr>
          </w:p>
        </w:tc>
        <w:tc>
          <w:tcPr>
            <w:tcW w:w="5409" w:type="dxa"/>
          </w:tcPr>
          <w:p w14:paraId="6EF9BE70" w14:textId="77777777" w:rsidR="00492FBC" w:rsidRPr="00A25DEA" w:rsidRDefault="00492FBC" w:rsidP="00D46B8B">
            <w:pPr>
              <w:pStyle w:val="Komentarotekstas"/>
              <w:jc w:val="both"/>
              <w:rPr>
                <w:b/>
                <w:bCs/>
                <w:sz w:val="24"/>
                <w:szCs w:val="24"/>
              </w:rPr>
            </w:pPr>
            <w:r w:rsidRPr="00A25DEA">
              <w:rPr>
                <w:b/>
                <w:bCs/>
                <w:sz w:val="24"/>
                <w:szCs w:val="24"/>
              </w:rPr>
              <w:lastRenderedPageBreak/>
              <w:t>Atsižvelgta iš dalies.</w:t>
            </w:r>
          </w:p>
          <w:p w14:paraId="7E0BAF57" w14:textId="30F87610" w:rsidR="00492FBC" w:rsidRPr="00A25DEA" w:rsidRDefault="00492FBC" w:rsidP="00D46B8B">
            <w:pPr>
              <w:pStyle w:val="Komentarotekstas"/>
              <w:jc w:val="both"/>
              <w:rPr>
                <w:bCs/>
                <w:sz w:val="24"/>
                <w:szCs w:val="24"/>
              </w:rPr>
            </w:pPr>
            <w:r w:rsidRPr="00A25DEA">
              <w:rPr>
                <w:bCs/>
                <w:sz w:val="24"/>
                <w:szCs w:val="24"/>
              </w:rPr>
              <w:t>Patikslintas Aprašo 31 p</w:t>
            </w:r>
            <w:r w:rsidR="00CB0B64" w:rsidRPr="00A25DEA">
              <w:rPr>
                <w:bCs/>
                <w:sz w:val="24"/>
                <w:szCs w:val="24"/>
              </w:rPr>
              <w:t>unktas</w:t>
            </w:r>
            <w:r w:rsidRPr="00A25DEA">
              <w:rPr>
                <w:bCs/>
                <w:sz w:val="24"/>
                <w:szCs w:val="24"/>
              </w:rPr>
              <w:t>.</w:t>
            </w:r>
          </w:p>
          <w:p w14:paraId="2152A919" w14:textId="7134F741" w:rsidR="00492FBC" w:rsidRPr="00A25DEA" w:rsidRDefault="00492FBC" w:rsidP="00CB0B64">
            <w:pPr>
              <w:pStyle w:val="Komentarotekstas"/>
              <w:jc w:val="both"/>
              <w:rPr>
                <w:bCs/>
                <w:sz w:val="24"/>
                <w:szCs w:val="24"/>
              </w:rPr>
            </w:pPr>
            <w:r w:rsidRPr="00A25DEA">
              <w:rPr>
                <w:bCs/>
                <w:sz w:val="24"/>
                <w:szCs w:val="24"/>
              </w:rPr>
              <w:t>Atsižvelgiant į tai, kad Aprašo 31 p</w:t>
            </w:r>
            <w:r w:rsidR="00CB0B64" w:rsidRPr="00A25DEA">
              <w:rPr>
                <w:bCs/>
                <w:sz w:val="24"/>
                <w:szCs w:val="24"/>
              </w:rPr>
              <w:t>unkte</w:t>
            </w:r>
            <w:r w:rsidRPr="00A25DEA">
              <w:rPr>
                <w:bCs/>
                <w:sz w:val="24"/>
                <w:szCs w:val="24"/>
              </w:rPr>
              <w:t xml:space="preserve"> yra nurodytas baigtinis sąrašas duomenų, kuriuos tikrins Migracijos departamentas</w:t>
            </w:r>
            <w:r w:rsidR="000B6C31" w:rsidRPr="00A25DEA">
              <w:rPr>
                <w:bCs/>
                <w:sz w:val="24"/>
                <w:szCs w:val="24"/>
              </w:rPr>
              <w:t xml:space="preserve"> ir kurie yra aktualūs sprendžiant, ar dekreto projektas atitinka Pilietybės įstatymo reikalavimus</w:t>
            </w:r>
            <w:r w:rsidRPr="00A25DEA">
              <w:rPr>
                <w:bCs/>
                <w:sz w:val="24"/>
                <w:szCs w:val="24"/>
              </w:rPr>
              <w:t xml:space="preserve"> </w:t>
            </w:r>
            <w:r w:rsidRPr="00A25DEA">
              <w:rPr>
                <w:color w:val="000000"/>
                <w:sz w:val="24"/>
                <w:szCs w:val="24"/>
              </w:rPr>
              <w:t>(</w:t>
            </w:r>
            <w:r w:rsidR="000B6C31" w:rsidRPr="00A25DEA">
              <w:rPr>
                <w:color w:val="000000"/>
                <w:sz w:val="24"/>
                <w:szCs w:val="24"/>
              </w:rPr>
              <w:t>pavyzdžiui, vertinama, ar nepas</w:t>
            </w:r>
            <w:r w:rsidR="00D7034F" w:rsidRPr="00A25DEA">
              <w:rPr>
                <w:color w:val="000000"/>
                <w:sz w:val="24"/>
                <w:szCs w:val="24"/>
              </w:rPr>
              <w:t xml:space="preserve">ikeitė asmens gyvenamoji vieta ir </w:t>
            </w:r>
            <w:r w:rsidR="000B6C31" w:rsidRPr="00A25DEA">
              <w:rPr>
                <w:color w:val="000000"/>
                <w:sz w:val="24"/>
                <w:szCs w:val="24"/>
              </w:rPr>
              <w:t>šeiminė padėtis</w:t>
            </w:r>
            <w:r w:rsidRPr="00A25DEA">
              <w:rPr>
                <w:color w:val="000000"/>
                <w:sz w:val="24"/>
                <w:szCs w:val="24"/>
              </w:rPr>
              <w:t>), o šie duomenys yra kaupiami Gyventojų registre, Migracijos departamentas netikrins kitų valstybės informacinių sistemų ar registrų duomenų, todėl Aprašo 32 p</w:t>
            </w:r>
            <w:r w:rsidR="00CB0B64" w:rsidRPr="00A25DEA">
              <w:rPr>
                <w:color w:val="000000"/>
                <w:sz w:val="24"/>
                <w:szCs w:val="24"/>
              </w:rPr>
              <w:t>unkto</w:t>
            </w:r>
            <w:r w:rsidRPr="00A25DEA">
              <w:rPr>
                <w:color w:val="000000"/>
                <w:sz w:val="24"/>
                <w:szCs w:val="24"/>
              </w:rPr>
              <w:t xml:space="preserve"> tikslinimas netikslingas.</w:t>
            </w:r>
          </w:p>
        </w:tc>
      </w:tr>
      <w:tr w:rsidR="00775D93" w:rsidRPr="00A25DEA" w14:paraId="038BFEB3" w14:textId="77777777" w:rsidTr="00021F77">
        <w:trPr>
          <w:trHeight w:val="416"/>
        </w:trPr>
        <w:tc>
          <w:tcPr>
            <w:tcW w:w="704" w:type="dxa"/>
            <w:vMerge w:val="restart"/>
          </w:tcPr>
          <w:p w14:paraId="469BE5C3" w14:textId="77777777" w:rsidR="00775D93" w:rsidRPr="00A25DEA" w:rsidRDefault="00775D93" w:rsidP="001F15F3">
            <w:pPr>
              <w:jc w:val="both"/>
              <w:rPr>
                <w:iCs/>
                <w:szCs w:val="24"/>
              </w:rPr>
            </w:pPr>
            <w:r w:rsidRPr="00A25DEA">
              <w:rPr>
                <w:iCs/>
                <w:szCs w:val="24"/>
              </w:rPr>
              <w:t>4.</w:t>
            </w:r>
          </w:p>
        </w:tc>
        <w:tc>
          <w:tcPr>
            <w:tcW w:w="3402" w:type="dxa"/>
            <w:vMerge w:val="restart"/>
          </w:tcPr>
          <w:p w14:paraId="65CA44BA" w14:textId="77777777" w:rsidR="00775D93" w:rsidRPr="00A25DEA" w:rsidRDefault="00775D93" w:rsidP="002050E9">
            <w:pPr>
              <w:jc w:val="both"/>
              <w:rPr>
                <w:szCs w:val="24"/>
              </w:rPr>
            </w:pPr>
            <w:r w:rsidRPr="00A25DEA">
              <w:rPr>
                <w:szCs w:val="24"/>
              </w:rPr>
              <w:t>Valstybinės lietuvių kalbos komisijos 2021 m. gegužės 18 d. išvada Nr.</w:t>
            </w:r>
            <w:r w:rsidRPr="00A25DEA">
              <w:rPr>
                <w:color w:val="000000" w:themeColor="text1"/>
              </w:rPr>
              <w:t xml:space="preserve"> S1-237 (1.7)</w:t>
            </w:r>
          </w:p>
        </w:tc>
        <w:tc>
          <w:tcPr>
            <w:tcW w:w="5789" w:type="dxa"/>
          </w:tcPr>
          <w:p w14:paraId="1BBB7A13" w14:textId="77777777" w:rsidR="00775D93" w:rsidRPr="00A25DEA" w:rsidRDefault="00775D93" w:rsidP="00775D93">
            <w:pPr>
              <w:jc w:val="both"/>
              <w:rPr>
                <w:bCs/>
                <w:noProof/>
              </w:rPr>
            </w:pPr>
            <w:r w:rsidRPr="00A25DEA">
              <w:rPr>
                <w:bCs/>
                <w:noProof/>
              </w:rPr>
              <w:t>Aprašo 3 punkte pasakyta: „Lotyniškuose rašmenyse esantys šalutiniai (diakritiniai) ženklai, ligatūros ir kitos lotyniškosios abėcėlės raidžių modifikacijos neįrašomi.“ Patartina papildyti reglamentavimą ir teikti informaciją, kaip tokiais atvejais elgtis: minimus ženklus praleisti, pakeisti? Jei pakeisti, kuo pakeisti? Tas pats pasakytina apie papildomus ženklus, be minimų taško, apostrofo ir skliaustų, pavyzdžiui, pasvirąjį brūkšnį (taip pat apie lotyniškas raides w, x, q, jeigu jos keičiamos prašymų ar jų nagrinėjimo etape). Tikriausiai yra nusistovėjusios praktikos – gal būtų galima apie ją užsiminti (kokia atskira instrukcija, gal ICAO) ar kaip nors abstrakčiai įvardyti.</w:t>
            </w:r>
          </w:p>
          <w:p w14:paraId="0246F0F7" w14:textId="77777777" w:rsidR="00775D93" w:rsidRPr="00A25DEA" w:rsidRDefault="00775D93" w:rsidP="00506821">
            <w:pPr>
              <w:jc w:val="both"/>
              <w:rPr>
                <w:szCs w:val="24"/>
              </w:rPr>
            </w:pPr>
          </w:p>
        </w:tc>
        <w:tc>
          <w:tcPr>
            <w:tcW w:w="5409" w:type="dxa"/>
          </w:tcPr>
          <w:p w14:paraId="7696E0D6" w14:textId="77777777" w:rsidR="00775D93" w:rsidRPr="00A25DEA" w:rsidRDefault="00775D93" w:rsidP="00E573AC">
            <w:pPr>
              <w:pStyle w:val="Komentarotekstas"/>
              <w:jc w:val="both"/>
              <w:rPr>
                <w:b/>
                <w:bCs/>
                <w:sz w:val="24"/>
                <w:szCs w:val="24"/>
              </w:rPr>
            </w:pPr>
            <w:r w:rsidRPr="00A25DEA">
              <w:rPr>
                <w:b/>
                <w:bCs/>
                <w:sz w:val="24"/>
                <w:szCs w:val="24"/>
              </w:rPr>
              <w:t>Neatsižvelgta.</w:t>
            </w:r>
          </w:p>
          <w:p w14:paraId="153C58EC" w14:textId="5FCCD5EE" w:rsidR="00775D93" w:rsidRPr="00A25DEA" w:rsidRDefault="00610066" w:rsidP="00E94490">
            <w:pPr>
              <w:pStyle w:val="Komentarotekstas"/>
              <w:jc w:val="both"/>
              <w:rPr>
                <w:bCs/>
                <w:sz w:val="24"/>
                <w:szCs w:val="24"/>
              </w:rPr>
            </w:pPr>
            <w:r w:rsidRPr="00A25DEA">
              <w:rPr>
                <w:bCs/>
                <w:sz w:val="24"/>
                <w:szCs w:val="24"/>
              </w:rPr>
              <w:t>Atsižvelgiant į tai, kad Aprašo 3 punkte nustatyta, kad</w:t>
            </w:r>
            <w:r w:rsidRPr="00A25DEA">
              <w:rPr>
                <w:bCs/>
                <w:noProof/>
                <w:sz w:val="24"/>
                <w:szCs w:val="24"/>
              </w:rPr>
              <w:t xml:space="preserve"> lotyniškuose rašmenyse esantys šalutiniai (diakritiniai) ženklai, ligatūros ir kitos lotyniškosios abėcėlės raidžių modifikacijos neįrašomi, prašymą pildantis asmuo savo vardą ir (ar) pavardę turės įrašyti lotyniškais rašmenimis be šalutinių (diakritinių) ženklų, ligatūrų ir kitų lotyniškosios abėcėlės raidžių modifikacijų.</w:t>
            </w:r>
            <w:r w:rsidRPr="00A25DEA">
              <w:rPr>
                <w:bCs/>
                <w:sz w:val="24"/>
                <w:szCs w:val="24"/>
              </w:rPr>
              <w:t xml:space="preserve"> Aprašo 3 punkte </w:t>
            </w:r>
            <w:r w:rsidR="00040E12">
              <w:rPr>
                <w:bCs/>
                <w:sz w:val="24"/>
                <w:szCs w:val="24"/>
              </w:rPr>
              <w:t xml:space="preserve">yra </w:t>
            </w:r>
            <w:r w:rsidRPr="00A25DEA">
              <w:rPr>
                <w:bCs/>
                <w:sz w:val="24"/>
                <w:szCs w:val="24"/>
              </w:rPr>
              <w:t xml:space="preserve">nustatyti reikalavimai, kuriuos turi atitikti asmens pildomas prašymas, </w:t>
            </w:r>
            <w:r w:rsidR="00E94490" w:rsidRPr="00A25DEA">
              <w:rPr>
                <w:bCs/>
                <w:sz w:val="24"/>
                <w:szCs w:val="24"/>
              </w:rPr>
              <w:t>tačiau</w:t>
            </w:r>
            <w:r w:rsidRPr="00A25DEA">
              <w:rPr>
                <w:bCs/>
                <w:sz w:val="24"/>
                <w:szCs w:val="24"/>
              </w:rPr>
              <w:t xml:space="preserve"> prie šio prašymo turi būti pridedamas asmens kelionės dokumentas, kuriame vardas ir pavardė yra įrašomi pagal </w:t>
            </w:r>
            <w:r w:rsidRPr="00A25DEA">
              <w:rPr>
                <w:sz w:val="24"/>
                <w:szCs w:val="24"/>
                <w:shd w:val="clear" w:color="auto" w:fill="FFFFFF"/>
              </w:rPr>
              <w:t>Tarptautinės civilinės aviacijos organizacijos dokumento Nr. 9303 (Mašininiu būdu nuskaitomi kelionės dokumentai) 3 dalyje pateiktas rekomendacijas</w:t>
            </w:r>
            <w:r w:rsidRPr="00A25DEA">
              <w:rPr>
                <w:bCs/>
                <w:sz w:val="24"/>
                <w:szCs w:val="24"/>
              </w:rPr>
              <w:t>.</w:t>
            </w:r>
            <w:r w:rsidR="00E94490" w:rsidRPr="00A25DEA">
              <w:rPr>
                <w:bCs/>
                <w:sz w:val="24"/>
                <w:szCs w:val="24"/>
              </w:rPr>
              <w:t xml:space="preserve"> Atsižvelgdami į tai, kad prie kiekvieno MIGRIS pildomo asmens prašymo bus pridedamas asmens kelionės dokumentas,</w:t>
            </w:r>
            <w:r w:rsidR="002A6817" w:rsidRPr="00A25DEA">
              <w:rPr>
                <w:bCs/>
                <w:sz w:val="24"/>
                <w:szCs w:val="24"/>
              </w:rPr>
              <w:t xml:space="preserve"> kurio įrašais vadovausis prašymus nagrinėjančios ir sprendimus priimančios institucijos,</w:t>
            </w:r>
            <w:r w:rsidR="00E94490" w:rsidRPr="00A25DEA">
              <w:rPr>
                <w:bCs/>
                <w:sz w:val="24"/>
                <w:szCs w:val="24"/>
              </w:rPr>
              <w:t xml:space="preserve"> manome, kad Aprašo 3 punkto tikslinimas </w:t>
            </w:r>
            <w:r w:rsidR="001C0E44" w:rsidRPr="00A25DEA">
              <w:rPr>
                <w:bCs/>
                <w:sz w:val="24"/>
                <w:szCs w:val="24"/>
              </w:rPr>
              <w:t>nėra</w:t>
            </w:r>
            <w:r w:rsidR="00E94490" w:rsidRPr="00A25DEA">
              <w:rPr>
                <w:bCs/>
                <w:sz w:val="24"/>
                <w:szCs w:val="24"/>
              </w:rPr>
              <w:t xml:space="preserve"> tikslingas.</w:t>
            </w:r>
          </w:p>
          <w:p w14:paraId="472C24C9" w14:textId="77777777" w:rsidR="00E94490" w:rsidRPr="00A25DEA" w:rsidRDefault="00E94490" w:rsidP="00E94490">
            <w:pPr>
              <w:pStyle w:val="Komentarotekstas"/>
              <w:jc w:val="both"/>
              <w:rPr>
                <w:bCs/>
                <w:sz w:val="24"/>
                <w:szCs w:val="24"/>
              </w:rPr>
            </w:pPr>
          </w:p>
        </w:tc>
      </w:tr>
      <w:tr w:rsidR="00775D93" w:rsidRPr="00A25DEA" w14:paraId="5D33966D" w14:textId="77777777" w:rsidTr="00D97DE4">
        <w:trPr>
          <w:trHeight w:val="419"/>
        </w:trPr>
        <w:tc>
          <w:tcPr>
            <w:tcW w:w="704" w:type="dxa"/>
            <w:vMerge/>
          </w:tcPr>
          <w:p w14:paraId="2CB6DE0A" w14:textId="77777777" w:rsidR="00775D93" w:rsidRPr="00A25DEA" w:rsidRDefault="00775D93" w:rsidP="001F15F3">
            <w:pPr>
              <w:jc w:val="both"/>
              <w:rPr>
                <w:iCs/>
                <w:szCs w:val="24"/>
              </w:rPr>
            </w:pPr>
          </w:p>
        </w:tc>
        <w:tc>
          <w:tcPr>
            <w:tcW w:w="3402" w:type="dxa"/>
            <w:vMerge/>
          </w:tcPr>
          <w:p w14:paraId="7E70E445" w14:textId="77777777" w:rsidR="00775D93" w:rsidRPr="00A25DEA" w:rsidRDefault="00775D93" w:rsidP="002050E9">
            <w:pPr>
              <w:jc w:val="both"/>
              <w:rPr>
                <w:szCs w:val="24"/>
              </w:rPr>
            </w:pPr>
          </w:p>
        </w:tc>
        <w:tc>
          <w:tcPr>
            <w:tcW w:w="5789" w:type="dxa"/>
          </w:tcPr>
          <w:p w14:paraId="4BF22593" w14:textId="77777777" w:rsidR="00775D93" w:rsidRPr="00A25DEA" w:rsidRDefault="00775D93" w:rsidP="00506821">
            <w:pPr>
              <w:jc w:val="both"/>
              <w:rPr>
                <w:color w:val="000000"/>
                <w:shd w:val="clear" w:color="auto" w:fill="FFFFFF"/>
              </w:rPr>
            </w:pPr>
            <w:r w:rsidRPr="00A25DEA">
              <w:rPr>
                <w:color w:val="000000"/>
                <w:shd w:val="clear" w:color="auto" w:fill="FFFFFF"/>
              </w:rPr>
              <w:t>Jei vardas ir (ar) pavardė nurašomi nevisiškai tiksliai, patartina numatyti ką nors, kas liudytų atsirandančių grafinių variantų ryšį, nustatyti, kuri institucija asmeniui išduoda jo vardo ir (ar) pavardės variantų, atsirandančių dėl Lietuvos Respublikos reglamentavimo, tapatumo liudijimą – tai svarbus asmens ir jo giminystės ryšių tapatumo žymuo.</w:t>
            </w:r>
          </w:p>
        </w:tc>
        <w:tc>
          <w:tcPr>
            <w:tcW w:w="5409" w:type="dxa"/>
          </w:tcPr>
          <w:p w14:paraId="239851A5" w14:textId="77777777" w:rsidR="00775D93" w:rsidRPr="00A25DEA" w:rsidRDefault="00775D93" w:rsidP="00775D93">
            <w:pPr>
              <w:pStyle w:val="Komentarotekstas"/>
              <w:jc w:val="both"/>
              <w:rPr>
                <w:b/>
                <w:bCs/>
                <w:sz w:val="24"/>
                <w:szCs w:val="24"/>
              </w:rPr>
            </w:pPr>
            <w:r w:rsidRPr="00A25DEA">
              <w:rPr>
                <w:b/>
                <w:bCs/>
                <w:sz w:val="24"/>
                <w:szCs w:val="24"/>
              </w:rPr>
              <w:t>Neatsižvelgta.</w:t>
            </w:r>
          </w:p>
          <w:p w14:paraId="01BDD6F1" w14:textId="77777777" w:rsidR="00775D93" w:rsidRPr="00A25DEA" w:rsidRDefault="00775D93" w:rsidP="00775D93">
            <w:pPr>
              <w:pStyle w:val="Komentarotekstas"/>
              <w:jc w:val="both"/>
              <w:rPr>
                <w:bCs/>
                <w:noProof/>
                <w:sz w:val="24"/>
                <w:szCs w:val="24"/>
              </w:rPr>
            </w:pPr>
            <w:r w:rsidRPr="00A25DEA">
              <w:rPr>
                <w:bCs/>
                <w:noProof/>
                <w:sz w:val="24"/>
                <w:szCs w:val="24"/>
              </w:rPr>
              <w:t>Pasiūlymas nepatenka į Aprašo reguliavimo sritį. Pilietybės įstatyme nėra nustatyta, kad Lietuvos Respublikos Vyriausybė skiria nurodytu klausimu įgaliotas institucijas arba nustato nurodytų liudijimų išdavimo tarką. Manome, kad Valstybinės lietuvių kalbos komisijos pasiūlymas galėtų būti sprendžiamas, vadovaujantis bendromis viešąjį administravimą reguliuojančiomis taisyklėmis, t. y. asmens prašymą dėl Lietuvos Respublikos pilietybės nagrinėjanti ar sprendimą priėmusi institucija, gavusi konkretaus asmens prašymą, pateikia jam informaciją apie šios institucijos turimus duomenis dėl jo vardo ir (ar) pavardės rašymo.</w:t>
            </w:r>
          </w:p>
          <w:p w14:paraId="7E330584" w14:textId="3A40FA08" w:rsidR="006E30BB" w:rsidRPr="00A25DEA" w:rsidRDefault="006E30BB" w:rsidP="006E30BB">
            <w:pPr>
              <w:pStyle w:val="Paprastasistekstas"/>
              <w:jc w:val="both"/>
              <w:rPr>
                <w:rFonts w:ascii="Times New Roman" w:hAnsi="Times New Roman" w:cs="Times New Roman"/>
                <w:sz w:val="24"/>
                <w:szCs w:val="24"/>
              </w:rPr>
            </w:pPr>
            <w:r w:rsidRPr="00A25DEA">
              <w:rPr>
                <w:rFonts w:ascii="Times New Roman" w:hAnsi="Times New Roman" w:cs="Times New Roman"/>
                <w:bCs/>
                <w:sz w:val="24"/>
                <w:szCs w:val="24"/>
              </w:rPr>
              <w:t xml:space="preserve">Šiuo metu Lietuvos Respublikos Seime </w:t>
            </w:r>
            <w:r w:rsidRPr="00A25DEA">
              <w:rPr>
                <w:rFonts w:ascii="Times New Roman" w:hAnsi="Times New Roman" w:cs="Times New Roman"/>
                <w:sz w:val="24"/>
                <w:szCs w:val="24"/>
              </w:rPr>
              <w:t>yra svarstomas Lietuvos Respublikos vardų ir pavardžių rašymo asmens dokumentuose įstatymo projektas, kuriame asmenų vardų ir pavardžių dokumentuose rašymo klausimai būtų reglamentuoti kompleksiškai</w:t>
            </w:r>
            <w:r w:rsidR="00040E12">
              <w:rPr>
                <w:rFonts w:ascii="Times New Roman" w:hAnsi="Times New Roman" w:cs="Times New Roman"/>
                <w:sz w:val="24"/>
                <w:szCs w:val="24"/>
              </w:rPr>
              <w:t>.</w:t>
            </w:r>
            <w:r w:rsidRPr="00A25DEA">
              <w:rPr>
                <w:rFonts w:ascii="Times New Roman" w:hAnsi="Times New Roman" w:cs="Times New Roman"/>
                <w:sz w:val="24"/>
                <w:szCs w:val="24"/>
              </w:rPr>
              <w:t xml:space="preserve"> </w:t>
            </w:r>
            <w:r w:rsidR="00040E12">
              <w:rPr>
                <w:rFonts w:ascii="Times New Roman" w:hAnsi="Times New Roman" w:cs="Times New Roman"/>
                <w:sz w:val="24"/>
                <w:szCs w:val="24"/>
              </w:rPr>
              <w:t>Mūsų nuomone</w:t>
            </w:r>
            <w:r w:rsidRPr="00A25DEA">
              <w:rPr>
                <w:rFonts w:ascii="Times New Roman" w:hAnsi="Times New Roman" w:cs="Times New Roman"/>
                <w:sz w:val="24"/>
                <w:szCs w:val="24"/>
              </w:rPr>
              <w:t>, Valstybinės lietuvių kalbos komisijos pasiūlymas išduoti tapatumo liudijimą galėtų būti įtvirtintas Lietuvos Respublikos vardų ir pavardžių rašymo asmens dokumentuose įstatymo įgyvendinamuosiuose teisės aktuose, o ne teisės aktuose, reglamentuojančiuose atskiras sritis, kaip Lietuvos Respublikos pilietybės, leidimų gyventi Lietuvos Respublikoje ir kitus klausimus.</w:t>
            </w:r>
          </w:p>
          <w:p w14:paraId="2580E73B" w14:textId="77777777" w:rsidR="006E30BB" w:rsidRPr="00A25DEA" w:rsidRDefault="006E30BB" w:rsidP="00775D93">
            <w:pPr>
              <w:pStyle w:val="Komentarotekstas"/>
              <w:jc w:val="both"/>
              <w:rPr>
                <w:b/>
                <w:bCs/>
                <w:sz w:val="24"/>
                <w:szCs w:val="24"/>
              </w:rPr>
            </w:pPr>
          </w:p>
        </w:tc>
      </w:tr>
      <w:tr w:rsidR="00400408" w:rsidRPr="00A25DEA" w14:paraId="5D861818" w14:textId="77777777" w:rsidTr="0041085C">
        <w:trPr>
          <w:trHeight w:val="1404"/>
        </w:trPr>
        <w:tc>
          <w:tcPr>
            <w:tcW w:w="704" w:type="dxa"/>
            <w:vMerge w:val="restart"/>
          </w:tcPr>
          <w:p w14:paraId="55D5D05D" w14:textId="16A59018" w:rsidR="00400408" w:rsidRPr="00A25DEA" w:rsidRDefault="00400408" w:rsidP="001F15F3">
            <w:pPr>
              <w:jc w:val="both"/>
              <w:rPr>
                <w:iCs/>
                <w:szCs w:val="24"/>
              </w:rPr>
            </w:pPr>
            <w:r w:rsidRPr="00A25DEA">
              <w:rPr>
                <w:iCs/>
                <w:szCs w:val="24"/>
              </w:rPr>
              <w:t>5.</w:t>
            </w:r>
          </w:p>
        </w:tc>
        <w:tc>
          <w:tcPr>
            <w:tcW w:w="3402" w:type="dxa"/>
            <w:vMerge w:val="restart"/>
          </w:tcPr>
          <w:p w14:paraId="06A75E33" w14:textId="5AA6D31A" w:rsidR="00400408" w:rsidRPr="00A25DEA" w:rsidRDefault="00400408" w:rsidP="00B80D61">
            <w:pPr>
              <w:rPr>
                <w:szCs w:val="24"/>
              </w:rPr>
            </w:pPr>
            <w:r w:rsidRPr="00A25DEA">
              <w:rPr>
                <w:szCs w:val="24"/>
              </w:rPr>
              <w:t xml:space="preserve">Lietuvos Respublikos Vyriausybės kanceliarijos Teisės grupės 2021 m. sausio 11 d. išvada Nr. </w:t>
            </w:r>
            <w:r w:rsidRPr="00A25DEA">
              <w:t>NV-62</w:t>
            </w:r>
          </w:p>
        </w:tc>
        <w:tc>
          <w:tcPr>
            <w:tcW w:w="5789" w:type="dxa"/>
          </w:tcPr>
          <w:p w14:paraId="1625E93D" w14:textId="6AF4C649" w:rsidR="00400408" w:rsidRPr="00A25DEA" w:rsidRDefault="00400408" w:rsidP="00B80D61">
            <w:pPr>
              <w:jc w:val="both"/>
              <w:rPr>
                <w:rFonts w:eastAsiaTheme="minorHAnsi"/>
                <w:szCs w:val="24"/>
              </w:rPr>
            </w:pPr>
            <w:r w:rsidRPr="00A25DEA">
              <w:rPr>
                <w:color w:val="000000"/>
                <w:szCs w:val="24"/>
                <w:shd w:val="clear" w:color="auto" w:fill="FFFFFF"/>
              </w:rPr>
              <w:t xml:space="preserve">5. </w:t>
            </w:r>
            <w:r w:rsidRPr="00A25DEA">
              <w:rPr>
                <w:rFonts w:eastAsiaTheme="minorHAnsi"/>
                <w:szCs w:val="24"/>
              </w:rPr>
              <w:t xml:space="preserve"> Atsižvelgdami į tai, kad Projekte siekiama </w:t>
            </w:r>
            <w:r w:rsidRPr="00A25DEA">
              <w:rPr>
                <w:szCs w:val="24"/>
              </w:rPr>
              <w:t xml:space="preserve">kad </w:t>
            </w:r>
            <w:r w:rsidRPr="00A25DEA">
              <w:rPr>
                <w:i/>
                <w:iCs/>
                <w:szCs w:val="24"/>
              </w:rPr>
              <w:t>visos su</w:t>
            </w:r>
            <w:r w:rsidRPr="00A25DEA">
              <w:rPr>
                <w:szCs w:val="24"/>
              </w:rPr>
              <w:t xml:space="preserve"> Įstatymo </w:t>
            </w:r>
            <w:r w:rsidRPr="00A25DEA">
              <w:rPr>
                <w:i/>
                <w:iCs/>
                <w:szCs w:val="24"/>
              </w:rPr>
              <w:t>įgyvendinimu</w:t>
            </w:r>
            <w:r w:rsidRPr="00A25DEA">
              <w:rPr>
                <w:szCs w:val="24"/>
              </w:rPr>
              <w:t xml:space="preserve"> susijusios procedūros būtų reglamentuotos viename teisės akte, siūlome įvertinti ir kitus Įstatymo įgyvendinamuosius teisės aktus, išskyrus tuos kurie įgyvendina kelis įstatymus (pvz., Lietuvos </w:t>
            </w:r>
            <w:r w:rsidRPr="00A25DEA">
              <w:rPr>
                <w:szCs w:val="24"/>
              </w:rPr>
              <w:lastRenderedPageBreak/>
              <w:t>Respublikos Vyriausybės 2003 m. nutarimas Nr. 1687 „Dėl Valstybinės kalbos ir Lietuvos Respublikos Konstitucijos pagrindų egzaminų ir pažymėjimų išdavimo taisyklių patvirtinimo“) ir juos inkorporuoti į Projektą (pvz., Lietuvos Respublikos Vyriausybės 2006 m. kovo 29 d. nutarimą Nr. 312 „Dėl Lietuvos Respublikos piliečių prašymų leisti tarnauti kitos valstybės tarnyboje nagrinėjimo tvarkos aprašo patvirtinimo“).</w:t>
            </w:r>
          </w:p>
          <w:p w14:paraId="5DD578E8" w14:textId="2B850BBD" w:rsidR="00400408" w:rsidRPr="00A25DEA" w:rsidRDefault="00400408" w:rsidP="00B80D61">
            <w:pPr>
              <w:jc w:val="both"/>
              <w:rPr>
                <w:color w:val="000000"/>
                <w:szCs w:val="24"/>
                <w:shd w:val="clear" w:color="auto" w:fill="FFFFFF"/>
              </w:rPr>
            </w:pPr>
          </w:p>
        </w:tc>
        <w:tc>
          <w:tcPr>
            <w:tcW w:w="5409" w:type="dxa"/>
          </w:tcPr>
          <w:p w14:paraId="10A9A31A" w14:textId="77777777" w:rsidR="00400408" w:rsidRPr="00A25DEA" w:rsidRDefault="00400408" w:rsidP="00775D93">
            <w:pPr>
              <w:pStyle w:val="Komentarotekstas"/>
              <w:jc w:val="both"/>
              <w:rPr>
                <w:b/>
                <w:bCs/>
                <w:sz w:val="24"/>
                <w:szCs w:val="24"/>
              </w:rPr>
            </w:pPr>
            <w:r w:rsidRPr="00A25DEA">
              <w:rPr>
                <w:b/>
                <w:bCs/>
                <w:sz w:val="24"/>
                <w:szCs w:val="24"/>
              </w:rPr>
              <w:lastRenderedPageBreak/>
              <w:t xml:space="preserve">Neatsižvelgta. </w:t>
            </w:r>
          </w:p>
          <w:p w14:paraId="618C46D4" w14:textId="3841C4BC" w:rsidR="00400408" w:rsidRPr="00A25DEA" w:rsidRDefault="00400408" w:rsidP="00B47334">
            <w:pPr>
              <w:pStyle w:val="Komentarotekstas"/>
              <w:jc w:val="both"/>
              <w:rPr>
                <w:bCs/>
                <w:sz w:val="24"/>
                <w:szCs w:val="24"/>
              </w:rPr>
            </w:pPr>
            <w:r w:rsidRPr="00A25DEA">
              <w:rPr>
                <w:sz w:val="24"/>
                <w:szCs w:val="24"/>
              </w:rPr>
              <w:t>Lietuvos Respublikos Vyriausybės 2007 m. rugsėjo 26</w:t>
            </w:r>
            <w:r w:rsidR="00120811">
              <w:rPr>
                <w:sz w:val="24"/>
                <w:szCs w:val="24"/>
              </w:rPr>
              <w:t> </w:t>
            </w:r>
            <w:r w:rsidRPr="00A25DEA">
              <w:rPr>
                <w:sz w:val="24"/>
                <w:szCs w:val="24"/>
              </w:rPr>
              <w:t>d. nutarim</w:t>
            </w:r>
            <w:r w:rsidR="000920FC" w:rsidRPr="00A25DEA">
              <w:rPr>
                <w:sz w:val="24"/>
                <w:szCs w:val="24"/>
              </w:rPr>
              <w:t xml:space="preserve">u </w:t>
            </w:r>
            <w:r w:rsidRPr="00A25DEA">
              <w:rPr>
                <w:sz w:val="24"/>
                <w:szCs w:val="24"/>
              </w:rPr>
              <w:t>Nr. 1049 „Dėl Lietuvos Respublikos piliečių prašymų leisti tarnauti kitos valstybės tarnyboje nagrinėjimo tvarkos aprašo patvirtinimo“</w:t>
            </w:r>
            <w:r w:rsidR="000920FC" w:rsidRPr="00A25DEA">
              <w:rPr>
                <w:sz w:val="24"/>
                <w:szCs w:val="24"/>
              </w:rPr>
              <w:t xml:space="preserve"> </w:t>
            </w:r>
            <w:r w:rsidR="000920FC" w:rsidRPr="00A25DEA">
              <w:rPr>
                <w:sz w:val="24"/>
                <w:szCs w:val="24"/>
              </w:rPr>
              <w:lastRenderedPageBreak/>
              <w:t xml:space="preserve">patvirtinta tvarka reglamentuoja kitokius nei Apraše numatytus klausimus, joje nustatytos procedūros taip pat iš esmės skiriasi nuo </w:t>
            </w:r>
            <w:r w:rsidR="000B5D65" w:rsidRPr="00A25DEA">
              <w:rPr>
                <w:sz w:val="24"/>
                <w:szCs w:val="24"/>
              </w:rPr>
              <w:t>A</w:t>
            </w:r>
            <w:r w:rsidR="000920FC" w:rsidRPr="00A25DEA">
              <w:rPr>
                <w:sz w:val="24"/>
                <w:szCs w:val="24"/>
              </w:rPr>
              <w:t>prašu tvirtinamų procedūrų, todėl</w:t>
            </w:r>
            <w:r w:rsidR="00120811">
              <w:rPr>
                <w:sz w:val="24"/>
                <w:szCs w:val="24"/>
              </w:rPr>
              <w:t>, mūsų nuomone</w:t>
            </w:r>
            <w:r w:rsidR="000920FC" w:rsidRPr="00A25DEA">
              <w:rPr>
                <w:sz w:val="24"/>
                <w:szCs w:val="24"/>
              </w:rPr>
              <w:t xml:space="preserve">, šios tvarkos inkorporavimas į Projektą nėra tikslingas. </w:t>
            </w:r>
            <w:r w:rsidR="00120811">
              <w:rPr>
                <w:sz w:val="24"/>
                <w:szCs w:val="24"/>
              </w:rPr>
              <w:t>Taip pat</w:t>
            </w:r>
            <w:r w:rsidR="000920FC" w:rsidRPr="00A25DEA">
              <w:rPr>
                <w:sz w:val="24"/>
                <w:szCs w:val="24"/>
              </w:rPr>
              <w:t xml:space="preserve"> </w:t>
            </w:r>
            <w:r w:rsidR="00A46BE8" w:rsidRPr="00A25DEA">
              <w:rPr>
                <w:sz w:val="24"/>
                <w:szCs w:val="24"/>
              </w:rPr>
              <w:t>pažymime, kad  praktikoje jau yra nemažai pavyzdžių, kai priimami Lietuvos Respublikos Vyriausybės nutarimai dėl konkretaus įstatymo įgyvendinimo, tačiau jais nėra patvirtinami vi</w:t>
            </w:r>
            <w:bookmarkStart w:id="0" w:name="_GoBack"/>
            <w:bookmarkEnd w:id="0"/>
            <w:r w:rsidR="00A46BE8" w:rsidRPr="00A25DEA">
              <w:rPr>
                <w:sz w:val="24"/>
                <w:szCs w:val="24"/>
              </w:rPr>
              <w:t>si (arba patvirtinami ne vienu metu) jo įgyvendinamieji teisės aktai (pavyzdžiui, Lietuvos Respublikos Vyriausybės</w:t>
            </w:r>
            <w:r w:rsidR="00A46BE8" w:rsidRPr="00A25DEA">
              <w:rPr>
                <w:color w:val="000000"/>
                <w:sz w:val="24"/>
                <w:szCs w:val="24"/>
              </w:rPr>
              <w:t xml:space="preserve"> 2020 m. rugpjūčio 12 d. nutarimas Nr. 900 </w:t>
            </w:r>
            <w:r w:rsidR="00A46BE8" w:rsidRPr="00A25DEA">
              <w:rPr>
                <w:sz w:val="24"/>
                <w:szCs w:val="24"/>
              </w:rPr>
              <w:t>„Dėl Lietuvos Respublikos regioninės plėtros įstatymo įgyvendinimo“).</w:t>
            </w:r>
          </w:p>
        </w:tc>
      </w:tr>
      <w:tr w:rsidR="00400408" w:rsidRPr="00A25DEA" w14:paraId="3E300A61" w14:textId="77777777" w:rsidTr="0041085C">
        <w:trPr>
          <w:trHeight w:val="1404"/>
        </w:trPr>
        <w:tc>
          <w:tcPr>
            <w:tcW w:w="704" w:type="dxa"/>
            <w:vMerge/>
          </w:tcPr>
          <w:p w14:paraId="7207C763" w14:textId="77777777" w:rsidR="00400408" w:rsidRPr="00A25DEA" w:rsidRDefault="00400408" w:rsidP="001F15F3">
            <w:pPr>
              <w:jc w:val="both"/>
              <w:rPr>
                <w:iCs/>
                <w:szCs w:val="24"/>
              </w:rPr>
            </w:pPr>
          </w:p>
        </w:tc>
        <w:tc>
          <w:tcPr>
            <w:tcW w:w="3402" w:type="dxa"/>
            <w:vMerge/>
          </w:tcPr>
          <w:p w14:paraId="2F7909DE" w14:textId="77777777" w:rsidR="00400408" w:rsidRPr="00A25DEA" w:rsidRDefault="00400408" w:rsidP="00B80D61">
            <w:pPr>
              <w:rPr>
                <w:szCs w:val="24"/>
              </w:rPr>
            </w:pPr>
          </w:p>
        </w:tc>
        <w:tc>
          <w:tcPr>
            <w:tcW w:w="5789" w:type="dxa"/>
          </w:tcPr>
          <w:p w14:paraId="3BAE133E" w14:textId="77777777" w:rsidR="00400408" w:rsidRPr="00A25DEA" w:rsidRDefault="00400408" w:rsidP="001A1CDF">
            <w:pPr>
              <w:jc w:val="both"/>
              <w:rPr>
                <w:rFonts w:eastAsiaTheme="minorHAnsi"/>
                <w:szCs w:val="24"/>
              </w:rPr>
            </w:pPr>
            <w:r w:rsidRPr="00A25DEA">
              <w:rPr>
                <w:color w:val="000000"/>
                <w:szCs w:val="24"/>
                <w:shd w:val="clear" w:color="auto" w:fill="FFFFFF"/>
              </w:rPr>
              <w:t xml:space="preserve">13. </w:t>
            </w:r>
            <w:r w:rsidRPr="00A25DEA">
              <w:rPr>
                <w:rFonts w:eastAsiaTheme="minorHAnsi"/>
                <w:szCs w:val="24"/>
              </w:rPr>
              <w:t xml:space="preserve">Pritardami Valstybinės duomenų apsaugos inspekcijos 2020 m. rugsėjo 11 d. išvados Nr. 2R-4560 – (3.2E) pirmojoje pastaboje pateiktiems argumentams, kad Aprašo 6.8 papunktyje nustatytas reikalavimas pateikti kito asmens pasirašytą sutikimą neatitinka ne tik 2016 m. balandžio 27 d. reglamento (ES) 2016/679 dėl fizinių asmenų apsaugos tvarkant asmens duomenis ir dėl laisvo tokių duomenų judėjimo ir kuriuo panaikinama Direktyva 95/46/EB (Bendrasis duomenų apsaugos reglamentas) nuostatų, bet ir gerojo viešojo administravimo (atsakingo) valdymo principo, todėl siūlome pakartotinai įvertinti šių nuostatų pagrįstumą. Taip pat atsižvelgdami į </w:t>
            </w:r>
            <w:r w:rsidRPr="00A25DEA">
              <w:rPr>
                <w:snapToGrid w:val="0"/>
                <w:szCs w:val="24"/>
              </w:rPr>
              <w:t xml:space="preserve">Nuorodų į Europos Sąjungos teisės aktus teikimo teisės aktuose reikalavimų aprašo, patvirtinto Lietuvos Respublikos teisingumo ministro 2020 m. kovo 6 d. įsakymu Nr. 1R-72, 18 punkto nuostatas, nereikia įsivesti </w:t>
            </w:r>
            <w:r w:rsidRPr="00A25DEA">
              <w:rPr>
                <w:rFonts w:eastAsiaTheme="minorHAnsi"/>
                <w:szCs w:val="24"/>
              </w:rPr>
              <w:t>Reglamento (ES) 2016/679 trumpinio.</w:t>
            </w:r>
          </w:p>
          <w:p w14:paraId="517C4883" w14:textId="67F8D9C5" w:rsidR="00400408" w:rsidRPr="00A25DEA" w:rsidRDefault="00400408" w:rsidP="00400408">
            <w:pPr>
              <w:jc w:val="both"/>
              <w:rPr>
                <w:color w:val="000000"/>
                <w:szCs w:val="24"/>
                <w:shd w:val="clear" w:color="auto" w:fill="FFFFFF"/>
              </w:rPr>
            </w:pPr>
          </w:p>
        </w:tc>
        <w:tc>
          <w:tcPr>
            <w:tcW w:w="5409" w:type="dxa"/>
          </w:tcPr>
          <w:p w14:paraId="714D5395" w14:textId="2FA928B7" w:rsidR="001A1CDF" w:rsidRPr="00A25DEA" w:rsidRDefault="00964764" w:rsidP="001A1CDF">
            <w:pPr>
              <w:pStyle w:val="Komentarotekstas"/>
              <w:jc w:val="both"/>
              <w:rPr>
                <w:b/>
                <w:bCs/>
                <w:sz w:val="24"/>
                <w:szCs w:val="24"/>
              </w:rPr>
            </w:pPr>
            <w:r>
              <w:rPr>
                <w:b/>
                <w:bCs/>
                <w:sz w:val="24"/>
                <w:szCs w:val="24"/>
              </w:rPr>
              <w:t>Atsižvelgta iš dalies</w:t>
            </w:r>
            <w:r w:rsidR="001A1CDF" w:rsidRPr="00A25DEA">
              <w:rPr>
                <w:b/>
                <w:bCs/>
                <w:sz w:val="24"/>
                <w:szCs w:val="24"/>
              </w:rPr>
              <w:t xml:space="preserve">. </w:t>
            </w:r>
          </w:p>
          <w:p w14:paraId="27F6B2A4" w14:textId="3E8C6767" w:rsidR="00400408" w:rsidRPr="00A25DEA" w:rsidRDefault="001A1CDF" w:rsidP="001A1CDF">
            <w:pPr>
              <w:pStyle w:val="Komentarotekstas"/>
              <w:jc w:val="both"/>
              <w:rPr>
                <w:b/>
                <w:bCs/>
                <w:sz w:val="24"/>
                <w:szCs w:val="24"/>
              </w:rPr>
            </w:pPr>
            <w:r w:rsidRPr="00A25DEA">
              <w:rPr>
                <w:bCs/>
                <w:sz w:val="24"/>
                <w:szCs w:val="24"/>
              </w:rPr>
              <w:t>Žr. argumentus prie Lietuvos Respublikos teisingumo ministerijos 5 pastabos.</w:t>
            </w:r>
          </w:p>
        </w:tc>
      </w:tr>
      <w:tr w:rsidR="00400408" w:rsidRPr="00A25DEA" w14:paraId="3E808346" w14:textId="77777777" w:rsidTr="0041085C">
        <w:trPr>
          <w:trHeight w:val="1404"/>
        </w:trPr>
        <w:tc>
          <w:tcPr>
            <w:tcW w:w="704" w:type="dxa"/>
            <w:vMerge/>
          </w:tcPr>
          <w:p w14:paraId="4A4C00E4" w14:textId="77777777" w:rsidR="00400408" w:rsidRPr="00A25DEA" w:rsidRDefault="00400408" w:rsidP="001F15F3">
            <w:pPr>
              <w:jc w:val="both"/>
              <w:rPr>
                <w:iCs/>
                <w:szCs w:val="24"/>
              </w:rPr>
            </w:pPr>
          </w:p>
        </w:tc>
        <w:tc>
          <w:tcPr>
            <w:tcW w:w="3402" w:type="dxa"/>
            <w:vMerge/>
          </w:tcPr>
          <w:p w14:paraId="60CB0DA8" w14:textId="77777777" w:rsidR="00400408" w:rsidRPr="00A25DEA" w:rsidRDefault="00400408" w:rsidP="00B80D61">
            <w:pPr>
              <w:rPr>
                <w:szCs w:val="24"/>
              </w:rPr>
            </w:pPr>
          </w:p>
        </w:tc>
        <w:tc>
          <w:tcPr>
            <w:tcW w:w="5789" w:type="dxa"/>
          </w:tcPr>
          <w:p w14:paraId="0B7CCCB8" w14:textId="7027483C" w:rsidR="00400408" w:rsidRPr="00A25DEA" w:rsidRDefault="00400408" w:rsidP="001A1CDF">
            <w:pPr>
              <w:jc w:val="both"/>
              <w:rPr>
                <w:rFonts w:eastAsiaTheme="minorHAnsi"/>
                <w:szCs w:val="24"/>
              </w:rPr>
            </w:pPr>
            <w:r w:rsidRPr="00A25DEA">
              <w:rPr>
                <w:color w:val="000000"/>
                <w:szCs w:val="24"/>
                <w:shd w:val="clear" w:color="auto" w:fill="FFFFFF"/>
              </w:rPr>
              <w:t xml:space="preserve">14. </w:t>
            </w:r>
            <w:r w:rsidRPr="00A25DEA">
              <w:rPr>
                <w:szCs w:val="24"/>
                <w:lang w:eastAsia="lt-LT"/>
              </w:rPr>
              <w:t>Aprašo 8 punkte nurodyta, kad pateikus nurodytus prašymus ir dokumentus per MIGRIS, dar</w:t>
            </w:r>
            <w:r w:rsidRPr="00A25DEA">
              <w:rPr>
                <w:i/>
                <w:iCs/>
                <w:szCs w:val="24"/>
                <w:lang w:eastAsia="lt-LT"/>
              </w:rPr>
              <w:t xml:space="preserve"> </w:t>
            </w:r>
            <w:r w:rsidRPr="00A25DEA">
              <w:rPr>
                <w:szCs w:val="24"/>
                <w:lang w:eastAsia="lt-LT"/>
              </w:rPr>
              <w:t xml:space="preserve">asmeniškai reikia atvykti į </w:t>
            </w:r>
            <w:r w:rsidRPr="00A25DEA">
              <w:rPr>
                <w:rFonts w:eastAsiaTheme="minorHAnsi"/>
                <w:szCs w:val="24"/>
              </w:rPr>
              <w:t xml:space="preserve">Departamentą ar konsulinę įstaigą ir pakartotinai pateikti tų pačių dokumentų originalus (analogiškas reguliavimas nustatytas ir Aprašo 37, 72 ir kituose punktuose). </w:t>
            </w:r>
            <w:r w:rsidRPr="00A25DEA">
              <w:rPr>
                <w:szCs w:val="24"/>
                <w:lang w:eastAsia="lt-LT"/>
              </w:rPr>
              <w:t>Toks „dvigubo“ Lietuvos Respublikos pilietybės dokumentų pateikimo reikalavimas Apraše neatitinka Viešojo administravimo įstatymo 3 straipsnio</w:t>
            </w:r>
            <w:r w:rsidRPr="00A25DEA">
              <w:rPr>
                <w:color w:val="000000"/>
                <w:szCs w:val="24"/>
                <w:shd w:val="clear" w:color="auto" w:fill="FFFFFF"/>
              </w:rPr>
              <w:t xml:space="preserve"> </w:t>
            </w:r>
            <w:r w:rsidRPr="00A25DEA">
              <w:rPr>
                <w:szCs w:val="24"/>
                <w:lang w:eastAsia="lt-LT"/>
              </w:rPr>
              <w:t xml:space="preserve">13 punkte nustatyto „vieno langelio“ principo, kuris reiškia, kad asmeniui informacija suteikiama, prašymas ar skundas priimamas ir atsakymas į juos pateikiamas </w:t>
            </w:r>
            <w:r w:rsidRPr="00A25DEA">
              <w:rPr>
                <w:szCs w:val="24"/>
                <w:u w:val="single"/>
                <w:lang w:eastAsia="lt-LT"/>
              </w:rPr>
              <w:t>vienoje darbo vietoje</w:t>
            </w:r>
            <w:r w:rsidRPr="00A25DEA">
              <w:rPr>
                <w:szCs w:val="24"/>
                <w:lang w:eastAsia="lt-LT"/>
              </w:rPr>
              <w:t>,</w:t>
            </w:r>
            <w:r w:rsidRPr="00A25DEA">
              <w:rPr>
                <w:color w:val="202122"/>
                <w:szCs w:val="24"/>
                <w:shd w:val="clear" w:color="auto" w:fill="FFFFFF"/>
              </w:rPr>
              <w:t xml:space="preserve"> t. y. </w:t>
            </w:r>
            <w:r w:rsidRPr="00A25DEA">
              <w:rPr>
                <w:szCs w:val="24"/>
                <w:lang w:eastAsia="lt-LT"/>
              </w:rPr>
              <w:t xml:space="preserve">vienoje fizinėje ar elektroninėje darbo vietoje, kurioje asmuo gali gauti visas ar dalį viešojo administravimo institucijų teikiamų viešųjų/administracinių paslaugų. Pagal vieno langelio principą, visus reikalus, tame tarpe ir su Įstatymo nuostatomis susijusius, gali susitvarkyti vienoje vietoje: bendraujant su valstybės tarnautoju tiesiogiai, elektroninėmis priemonėmis ar kitais būdais. Asmenims nebereikia pakartotinai kreiptis tuo pačiu klausimu ir vėl aiškinti savo padėtį. t. y. šio principo įgyvendinimas  apima ir draudimą iš asmens reikalauti pateikti tuos pačius dokumentus pakartotinai. </w:t>
            </w:r>
          </w:p>
          <w:p w14:paraId="68D7D646" w14:textId="1CFFCAC1" w:rsidR="00400408" w:rsidRPr="00A25DEA" w:rsidRDefault="00400408" w:rsidP="001A1CDF">
            <w:pPr>
              <w:jc w:val="both"/>
              <w:rPr>
                <w:color w:val="000000"/>
                <w:szCs w:val="24"/>
                <w:shd w:val="clear" w:color="auto" w:fill="FFFFFF"/>
              </w:rPr>
            </w:pPr>
          </w:p>
        </w:tc>
        <w:tc>
          <w:tcPr>
            <w:tcW w:w="5409" w:type="dxa"/>
          </w:tcPr>
          <w:p w14:paraId="4BAF833E" w14:textId="77777777" w:rsidR="00400408" w:rsidRPr="00A25DEA" w:rsidRDefault="001A1CDF" w:rsidP="00775D93">
            <w:pPr>
              <w:pStyle w:val="Komentarotekstas"/>
              <w:jc w:val="both"/>
              <w:rPr>
                <w:b/>
                <w:bCs/>
                <w:sz w:val="24"/>
                <w:szCs w:val="24"/>
              </w:rPr>
            </w:pPr>
            <w:r w:rsidRPr="00A25DEA">
              <w:rPr>
                <w:b/>
                <w:bCs/>
                <w:sz w:val="24"/>
                <w:szCs w:val="24"/>
              </w:rPr>
              <w:t>Neatsižvelgta.</w:t>
            </w:r>
          </w:p>
          <w:p w14:paraId="3B441904" w14:textId="432B502B" w:rsidR="001A1CDF" w:rsidRPr="00A25DEA" w:rsidRDefault="001A1CDF" w:rsidP="00B47334">
            <w:pPr>
              <w:pStyle w:val="Komentarotekstas"/>
              <w:jc w:val="both"/>
              <w:rPr>
                <w:bCs/>
                <w:sz w:val="24"/>
                <w:szCs w:val="24"/>
              </w:rPr>
            </w:pPr>
            <w:r w:rsidRPr="00A25DEA">
              <w:rPr>
                <w:sz w:val="24"/>
                <w:szCs w:val="24"/>
              </w:rPr>
              <w:t xml:space="preserve">Atvykimas į konsulinę įstaigą ar Migracijos departamentą reikalingas dėl dokumentų autentiškumo nustatymo, </w:t>
            </w:r>
            <w:r w:rsidR="00120811">
              <w:rPr>
                <w:sz w:val="24"/>
                <w:szCs w:val="24"/>
              </w:rPr>
              <w:t>nes</w:t>
            </w:r>
            <w:r w:rsidRPr="00A25DEA">
              <w:rPr>
                <w:sz w:val="24"/>
                <w:szCs w:val="24"/>
              </w:rPr>
              <w:t xml:space="preserve"> dauguma teikiamų dokumentų bus užsienyje išduoti dokumentai, o ir besikreipiantys asmenys bus užsienio subjektai (išskyrus tam tikras išimtis), tad įsitikinti </w:t>
            </w:r>
            <w:r w:rsidR="00233ED7" w:rsidRPr="00A25DEA">
              <w:rPr>
                <w:sz w:val="24"/>
                <w:szCs w:val="24"/>
              </w:rPr>
              <w:t>teikiamų dokumentų</w:t>
            </w:r>
            <w:r w:rsidRPr="00A25DEA">
              <w:rPr>
                <w:sz w:val="24"/>
                <w:szCs w:val="24"/>
              </w:rPr>
              <w:t xml:space="preserve"> autentiškumu be atvykimo nebus galima, o svarstant pilietybės</w:t>
            </w:r>
            <w:r w:rsidR="00233ED7" w:rsidRPr="00A25DEA">
              <w:rPr>
                <w:sz w:val="24"/>
                <w:szCs w:val="24"/>
              </w:rPr>
              <w:t xml:space="preserve"> klausimus</w:t>
            </w:r>
            <w:r w:rsidRPr="00A25DEA">
              <w:rPr>
                <w:sz w:val="24"/>
                <w:szCs w:val="24"/>
              </w:rPr>
              <w:t xml:space="preserve"> tai yra ypač </w:t>
            </w:r>
            <w:r w:rsidR="00233ED7" w:rsidRPr="00A25DEA">
              <w:rPr>
                <w:sz w:val="24"/>
                <w:szCs w:val="24"/>
              </w:rPr>
              <w:t>svarbu</w:t>
            </w:r>
            <w:r w:rsidRPr="00A25DEA">
              <w:rPr>
                <w:sz w:val="24"/>
                <w:szCs w:val="24"/>
              </w:rPr>
              <w:t>. Po prašymo priėmimo viskas bus vykdoma vienoje vietoje – MIGRIS.</w:t>
            </w:r>
          </w:p>
        </w:tc>
      </w:tr>
      <w:tr w:rsidR="00400408" w:rsidRPr="00A25DEA" w14:paraId="1B105608" w14:textId="77777777" w:rsidTr="0041085C">
        <w:trPr>
          <w:trHeight w:val="1404"/>
        </w:trPr>
        <w:tc>
          <w:tcPr>
            <w:tcW w:w="704" w:type="dxa"/>
            <w:vMerge/>
          </w:tcPr>
          <w:p w14:paraId="785ED47D" w14:textId="77777777" w:rsidR="00400408" w:rsidRPr="00A25DEA" w:rsidRDefault="00400408" w:rsidP="001F15F3">
            <w:pPr>
              <w:jc w:val="both"/>
              <w:rPr>
                <w:iCs/>
                <w:szCs w:val="24"/>
              </w:rPr>
            </w:pPr>
          </w:p>
        </w:tc>
        <w:tc>
          <w:tcPr>
            <w:tcW w:w="3402" w:type="dxa"/>
            <w:vMerge/>
          </w:tcPr>
          <w:p w14:paraId="690AABD4" w14:textId="77777777" w:rsidR="00400408" w:rsidRPr="00A25DEA" w:rsidRDefault="00400408" w:rsidP="00B80D61">
            <w:pPr>
              <w:rPr>
                <w:szCs w:val="24"/>
              </w:rPr>
            </w:pPr>
          </w:p>
        </w:tc>
        <w:tc>
          <w:tcPr>
            <w:tcW w:w="5789" w:type="dxa"/>
          </w:tcPr>
          <w:p w14:paraId="42FEB7F7" w14:textId="77777777" w:rsidR="00400408" w:rsidRPr="00A25DEA" w:rsidRDefault="00400408" w:rsidP="00233ED7">
            <w:pPr>
              <w:jc w:val="both"/>
              <w:rPr>
                <w:rFonts w:eastAsiaTheme="minorHAnsi"/>
                <w:szCs w:val="24"/>
              </w:rPr>
            </w:pPr>
            <w:r w:rsidRPr="00A25DEA">
              <w:rPr>
                <w:color w:val="000000"/>
                <w:szCs w:val="24"/>
                <w:shd w:val="clear" w:color="auto" w:fill="FFFFFF"/>
              </w:rPr>
              <w:t xml:space="preserve">15. </w:t>
            </w:r>
            <w:r w:rsidRPr="00A25DEA">
              <w:rPr>
                <w:rFonts w:eastAsiaTheme="minorHAnsi"/>
                <w:szCs w:val="24"/>
              </w:rPr>
              <w:t xml:space="preserve">Aprašo 13.1 papunktyje nustatyta, kad prašymas dėl Lietuvos Respublikos pilietybės Departamente </w:t>
            </w:r>
            <w:r w:rsidRPr="00A25DEA">
              <w:rPr>
                <w:rFonts w:eastAsiaTheme="minorHAnsi"/>
                <w:i/>
                <w:iCs/>
                <w:szCs w:val="24"/>
              </w:rPr>
              <w:t>nepriimamas</w:t>
            </w:r>
            <w:r w:rsidRPr="00A25DEA">
              <w:rPr>
                <w:rFonts w:eastAsiaTheme="minorHAnsi"/>
                <w:szCs w:val="24"/>
              </w:rPr>
              <w:t xml:space="preserve"> jei prie šio prašymo pateikiami ne visi reikiami Aprašo 6 ar 7 punktuose nurodyti duomenys ir (ar) dokumentai. Atkreiptinas dėmesys, kad pirmiausia asmeniui turi būti leista pateikti trūkstamus dokumentus ir tik jų laiku nepateikus turi būti </w:t>
            </w:r>
            <w:r w:rsidRPr="00A25DEA">
              <w:rPr>
                <w:rFonts w:eastAsiaTheme="minorHAnsi"/>
                <w:i/>
                <w:iCs/>
                <w:szCs w:val="24"/>
              </w:rPr>
              <w:t>nutrauktas</w:t>
            </w:r>
            <w:r w:rsidRPr="00A25DEA">
              <w:rPr>
                <w:rFonts w:eastAsiaTheme="minorHAnsi"/>
                <w:szCs w:val="24"/>
              </w:rPr>
              <w:t xml:space="preserve"> prašymo dėl Lietuvos Respublikos pilietybės nagrinėjimas (Įstatymo 37 straipsnio 4 dalies 4 punktas). Palikus Aprašo 13.1 papunkčio nuostatą – gali susiklostyti tokia situacija, </w:t>
            </w:r>
            <w:r w:rsidRPr="00A25DEA">
              <w:rPr>
                <w:rFonts w:eastAsiaTheme="minorHAnsi"/>
                <w:szCs w:val="24"/>
              </w:rPr>
              <w:lastRenderedPageBreak/>
              <w:t>kad per MIGRIS būtų pateikti visi dokumentai, o atvykus į Departamentą ir pamiršus kokį nors dokumentą – prašymas būtų nepriimamas. Be to, neaišku, kaip turėtų būti elgiamasi toliau – ar vėl reikia teikti per MIGRIS dokumentus pakartotinai (net ir pateikus visus), nes kaip ir pagal Aprašo 13 punktą nurodytas prašymas būtų laikomas nepriimtu. Manome, kad tokiu atveju asmenims nepagrįstai padidėtų administracinė našta. Pastaba taikytina ir kitoms analogiškoms Aprašo nuostatoms (pvz., Aprašo 40.1, 75.1 papunkčiams).</w:t>
            </w:r>
          </w:p>
          <w:p w14:paraId="596EDDEC" w14:textId="71F43A0B" w:rsidR="00400408" w:rsidRPr="00A25DEA" w:rsidRDefault="00400408" w:rsidP="00BE6CC5">
            <w:pPr>
              <w:jc w:val="both"/>
              <w:rPr>
                <w:color w:val="000000"/>
                <w:szCs w:val="24"/>
                <w:shd w:val="clear" w:color="auto" w:fill="FFFFFF"/>
              </w:rPr>
            </w:pPr>
          </w:p>
        </w:tc>
        <w:tc>
          <w:tcPr>
            <w:tcW w:w="5409" w:type="dxa"/>
          </w:tcPr>
          <w:p w14:paraId="25CB20C4" w14:textId="77777777" w:rsidR="00400408" w:rsidRPr="00A25DEA" w:rsidRDefault="00233ED7" w:rsidP="00775D93">
            <w:pPr>
              <w:pStyle w:val="Komentarotekstas"/>
              <w:jc w:val="both"/>
              <w:rPr>
                <w:b/>
                <w:bCs/>
                <w:sz w:val="24"/>
                <w:szCs w:val="24"/>
              </w:rPr>
            </w:pPr>
            <w:r w:rsidRPr="00A25DEA">
              <w:rPr>
                <w:b/>
                <w:bCs/>
                <w:sz w:val="24"/>
                <w:szCs w:val="24"/>
              </w:rPr>
              <w:lastRenderedPageBreak/>
              <w:t>Neatsižvelgta.</w:t>
            </w:r>
          </w:p>
          <w:p w14:paraId="081C65AD" w14:textId="77777777" w:rsidR="00233ED7" w:rsidRPr="00A25DEA" w:rsidRDefault="00233ED7" w:rsidP="00233ED7">
            <w:pPr>
              <w:pStyle w:val="Komentarotekstas"/>
              <w:jc w:val="both"/>
              <w:rPr>
                <w:bCs/>
                <w:sz w:val="24"/>
                <w:szCs w:val="24"/>
              </w:rPr>
            </w:pPr>
            <w:r w:rsidRPr="00A25DEA">
              <w:rPr>
                <w:bCs/>
                <w:sz w:val="24"/>
                <w:szCs w:val="24"/>
              </w:rPr>
              <w:t>Žr. argumentus prie Lietuvos Respublikos teisingumo ministerijos 12 pastabos.</w:t>
            </w:r>
          </w:p>
          <w:p w14:paraId="62CD9605" w14:textId="76BC998B" w:rsidR="008D5FFF" w:rsidRPr="00A25DEA" w:rsidRDefault="002F4184" w:rsidP="003451E2">
            <w:pPr>
              <w:pStyle w:val="Komentarotekstas"/>
              <w:jc w:val="both"/>
              <w:rPr>
                <w:bCs/>
                <w:sz w:val="24"/>
                <w:szCs w:val="24"/>
              </w:rPr>
            </w:pPr>
            <w:r>
              <w:rPr>
                <w:bCs/>
                <w:sz w:val="24"/>
                <w:szCs w:val="24"/>
              </w:rPr>
              <w:t xml:space="preserve">Taip pat </w:t>
            </w:r>
            <w:r w:rsidR="003451E2" w:rsidRPr="00A25DEA">
              <w:rPr>
                <w:bCs/>
                <w:sz w:val="24"/>
                <w:szCs w:val="24"/>
              </w:rPr>
              <w:t>pažymime, kad tuo atveju, jeigu Pilietybės įstatyme arba Apraše nustatytų reikalavimų neatitinkantis prašymas būtų priimamas, ir prašymo nagrinėjimo metu nustačius, kad šis prašymas neatitinka nurodytų reikalavimų</w:t>
            </w:r>
            <w:r w:rsidR="008D5FFF" w:rsidRPr="00A25DEA">
              <w:rPr>
                <w:bCs/>
                <w:sz w:val="24"/>
                <w:szCs w:val="24"/>
              </w:rPr>
              <w:t xml:space="preserve"> (šiuo atveju – nepateikti visi Pilietybės įstatyme nurodyti dokumentai, o prašymas be šių dokumentų negali būti </w:t>
            </w:r>
            <w:r w:rsidR="008D5FFF" w:rsidRPr="00A25DEA">
              <w:rPr>
                <w:bCs/>
                <w:sz w:val="24"/>
                <w:szCs w:val="24"/>
              </w:rPr>
              <w:lastRenderedPageBreak/>
              <w:t>nagrinėjamas iš esmės)</w:t>
            </w:r>
            <w:r w:rsidR="003451E2" w:rsidRPr="00A25DEA">
              <w:rPr>
                <w:bCs/>
                <w:sz w:val="24"/>
                <w:szCs w:val="24"/>
              </w:rPr>
              <w:t>, prašymo nagrinėjimas būtų stabdomas ir iš asmens būtų prašoma pateikti papildomus dokumentus. Toks atvejis ne tik prailgintų bendrą prašymo nagrinėjimo terminą, bet ir sukeltų administracinę naštą asmeniu</w:t>
            </w:r>
            <w:r w:rsidR="000B5D65" w:rsidRPr="00A25DEA">
              <w:rPr>
                <w:bCs/>
                <w:sz w:val="24"/>
                <w:szCs w:val="24"/>
              </w:rPr>
              <w:t>i</w:t>
            </w:r>
            <w:r w:rsidR="003451E2" w:rsidRPr="00A25DEA">
              <w:rPr>
                <w:bCs/>
                <w:sz w:val="24"/>
                <w:szCs w:val="24"/>
              </w:rPr>
              <w:t xml:space="preserve">, </w:t>
            </w:r>
            <w:r w:rsidR="00120811">
              <w:rPr>
                <w:bCs/>
                <w:sz w:val="24"/>
                <w:szCs w:val="24"/>
              </w:rPr>
              <w:t>nes</w:t>
            </w:r>
            <w:r w:rsidR="003451E2" w:rsidRPr="00A25DEA">
              <w:rPr>
                <w:bCs/>
                <w:sz w:val="24"/>
                <w:szCs w:val="24"/>
              </w:rPr>
              <w:t xml:space="preserve"> asmuo ne tik turės pateikti papildomus dokumentus (šiuo aspektu pažymėtina, kad papildomus dokumentus asmuo tur</w:t>
            </w:r>
            <w:r w:rsidR="008D5FFF" w:rsidRPr="00A25DEA">
              <w:rPr>
                <w:bCs/>
                <w:sz w:val="24"/>
                <w:szCs w:val="24"/>
              </w:rPr>
              <w:t>ėtų</w:t>
            </w:r>
            <w:r w:rsidR="003451E2" w:rsidRPr="00A25DEA">
              <w:rPr>
                <w:bCs/>
                <w:sz w:val="24"/>
                <w:szCs w:val="24"/>
              </w:rPr>
              <w:t xml:space="preserve"> pateikti tiek prašymo nepriėmimo atveju, tiek ir prašymo nagrinėjimo sustabdymo atveju), bet ir galimai patirs administracinę naštą, nes, laiku nepateikus prašomų dokumentų ir nutraukus jo prašymo nagrinėjimą, teikdamas naują prašymą asmuo vėl turės sumokėti teisės aktuose nustatytą valstybės rinkliavą už prašymo nagrinėjimą.</w:t>
            </w:r>
          </w:p>
          <w:p w14:paraId="69E9798E" w14:textId="7D8CAA87" w:rsidR="008D5FFF" w:rsidRPr="00A25DEA" w:rsidRDefault="008D5FFF" w:rsidP="003451E2">
            <w:pPr>
              <w:pStyle w:val="Komentarotekstas"/>
              <w:jc w:val="both"/>
              <w:rPr>
                <w:bCs/>
                <w:sz w:val="24"/>
                <w:szCs w:val="24"/>
              </w:rPr>
            </w:pPr>
            <w:r w:rsidRPr="00A25DEA">
              <w:rPr>
                <w:bCs/>
                <w:sz w:val="24"/>
                <w:szCs w:val="24"/>
              </w:rPr>
              <w:t xml:space="preserve">Informuojame, kad jeigu asmuo prašymo priėmimo metu neturės su savimi visų MIGRIS pridėtų dokumentų originalų ir jo prašymas dėl šios priežasties nebus priimtas, jis to paties MIGRIS užpildyto prašymo pagrindu gali rezervuoti naują vizitą į Migracijos departamentą ir atvykti kitą dieną, turėdamas visus reikiamus dokumentus. </w:t>
            </w:r>
          </w:p>
          <w:p w14:paraId="0D4494E2" w14:textId="5803D7FD" w:rsidR="003451E2" w:rsidRPr="00A25DEA" w:rsidRDefault="003451E2" w:rsidP="008D5FFF">
            <w:pPr>
              <w:pStyle w:val="Komentarotekstas"/>
              <w:jc w:val="both"/>
              <w:rPr>
                <w:bCs/>
                <w:sz w:val="24"/>
                <w:szCs w:val="24"/>
              </w:rPr>
            </w:pPr>
          </w:p>
        </w:tc>
      </w:tr>
      <w:tr w:rsidR="00400408" w:rsidRPr="00A25DEA" w14:paraId="5B753246" w14:textId="77777777" w:rsidTr="0041085C">
        <w:trPr>
          <w:trHeight w:val="1404"/>
        </w:trPr>
        <w:tc>
          <w:tcPr>
            <w:tcW w:w="704" w:type="dxa"/>
            <w:vMerge/>
          </w:tcPr>
          <w:p w14:paraId="7B5CC67A" w14:textId="77777777" w:rsidR="00400408" w:rsidRPr="00A25DEA" w:rsidRDefault="00400408" w:rsidP="001F15F3">
            <w:pPr>
              <w:jc w:val="both"/>
              <w:rPr>
                <w:iCs/>
                <w:szCs w:val="24"/>
              </w:rPr>
            </w:pPr>
          </w:p>
        </w:tc>
        <w:tc>
          <w:tcPr>
            <w:tcW w:w="3402" w:type="dxa"/>
            <w:vMerge/>
          </w:tcPr>
          <w:p w14:paraId="31373B05" w14:textId="77777777" w:rsidR="00400408" w:rsidRPr="00A25DEA" w:rsidRDefault="00400408" w:rsidP="00B80D61">
            <w:pPr>
              <w:rPr>
                <w:szCs w:val="24"/>
              </w:rPr>
            </w:pPr>
          </w:p>
        </w:tc>
        <w:tc>
          <w:tcPr>
            <w:tcW w:w="5789" w:type="dxa"/>
          </w:tcPr>
          <w:p w14:paraId="04B53FA3" w14:textId="1CB7F424" w:rsidR="00400408" w:rsidRPr="00A25DEA" w:rsidRDefault="00400408" w:rsidP="00BE6CC5">
            <w:pPr>
              <w:jc w:val="both"/>
              <w:rPr>
                <w:rFonts w:eastAsiaTheme="minorHAnsi"/>
                <w:szCs w:val="24"/>
              </w:rPr>
            </w:pPr>
            <w:r w:rsidRPr="00A25DEA">
              <w:rPr>
                <w:color w:val="000000"/>
                <w:szCs w:val="24"/>
                <w:shd w:val="clear" w:color="auto" w:fill="FFFFFF"/>
              </w:rPr>
              <w:t xml:space="preserve">17. </w:t>
            </w:r>
            <w:r w:rsidRPr="00A25DEA">
              <w:rPr>
                <w:rFonts w:eastAsiaTheme="minorHAnsi"/>
                <w:szCs w:val="24"/>
              </w:rPr>
              <w:t>Apraše turėtų būti nustatyti aiškūs laiko terminai, pvz., Aprašo 21 punkte nustatyta, kad Departamentas per 10 darbo dienų nuo nurodytų aplinkybių nustatymo dienos priima sprendimą dėl šio prašymo nenagrinėjimo, tačiau toks laiko termino nustatymas praranda esmę, nes Apraše nenustatytas terminas per kiek dienų Departamentas turi nustatyti nurodytas aplinkybes. Taip pat siūlome tikslinti ir kitus laiko terminus – aiškiai nustatant jų atskaitos pradžią (pvz., Aprašo 32, 46</w:t>
            </w:r>
            <w:r w:rsidR="00120811">
              <w:rPr>
                <w:rFonts w:eastAsiaTheme="minorHAnsi"/>
                <w:szCs w:val="24"/>
              </w:rPr>
              <w:t xml:space="preserve"> </w:t>
            </w:r>
            <w:r w:rsidRPr="00A25DEA">
              <w:rPr>
                <w:rFonts w:eastAsiaTheme="minorHAnsi"/>
                <w:szCs w:val="24"/>
              </w:rPr>
              <w:t xml:space="preserve">punktai). </w:t>
            </w:r>
          </w:p>
          <w:p w14:paraId="2EDFFCAB" w14:textId="448C9388" w:rsidR="00400408" w:rsidRPr="00A25DEA" w:rsidRDefault="00400408" w:rsidP="00BE6CC5">
            <w:pPr>
              <w:jc w:val="both"/>
              <w:rPr>
                <w:color w:val="000000"/>
                <w:szCs w:val="24"/>
                <w:shd w:val="clear" w:color="auto" w:fill="FFFFFF"/>
              </w:rPr>
            </w:pPr>
          </w:p>
        </w:tc>
        <w:tc>
          <w:tcPr>
            <w:tcW w:w="5409" w:type="dxa"/>
          </w:tcPr>
          <w:p w14:paraId="58A1B9AE" w14:textId="77777777" w:rsidR="00400408" w:rsidRPr="00A25DEA" w:rsidRDefault="00BE6CC5" w:rsidP="00775D93">
            <w:pPr>
              <w:pStyle w:val="Komentarotekstas"/>
              <w:jc w:val="both"/>
              <w:rPr>
                <w:b/>
                <w:bCs/>
                <w:sz w:val="24"/>
                <w:szCs w:val="24"/>
              </w:rPr>
            </w:pPr>
            <w:r w:rsidRPr="00A25DEA">
              <w:rPr>
                <w:b/>
                <w:bCs/>
                <w:sz w:val="24"/>
                <w:szCs w:val="24"/>
              </w:rPr>
              <w:t>Atsižvelgta iš dalies.</w:t>
            </w:r>
          </w:p>
          <w:p w14:paraId="71789A05" w14:textId="7581E2D0" w:rsidR="00BE6CC5" w:rsidRPr="00A25DEA" w:rsidRDefault="00BE6CC5" w:rsidP="00BE6CC5">
            <w:pPr>
              <w:pStyle w:val="Komentarotekstas"/>
              <w:jc w:val="both"/>
              <w:rPr>
                <w:bCs/>
                <w:sz w:val="24"/>
                <w:szCs w:val="24"/>
              </w:rPr>
            </w:pPr>
            <w:r w:rsidRPr="00A25DEA">
              <w:rPr>
                <w:bCs/>
                <w:sz w:val="24"/>
                <w:szCs w:val="24"/>
              </w:rPr>
              <w:t>Aprašo 32 ir 47 (buvęs 46 punktas) punktai papildyti termino pradžios skaičiavimo momentu.</w:t>
            </w:r>
          </w:p>
          <w:p w14:paraId="0CBA601C" w14:textId="36937F48" w:rsidR="00BE6CC5" w:rsidRPr="00A25DEA" w:rsidRDefault="00BE6CC5" w:rsidP="00BE6CC5">
            <w:pPr>
              <w:pStyle w:val="Komentarotekstas"/>
              <w:jc w:val="both"/>
              <w:rPr>
                <w:b/>
                <w:bCs/>
                <w:sz w:val="24"/>
                <w:szCs w:val="24"/>
              </w:rPr>
            </w:pPr>
            <w:r w:rsidRPr="00A25DEA">
              <w:rPr>
                <w:sz w:val="24"/>
                <w:szCs w:val="24"/>
              </w:rPr>
              <w:t>Aprašo 22 punkte (buv</w:t>
            </w:r>
            <w:r w:rsidR="00120811">
              <w:rPr>
                <w:sz w:val="24"/>
                <w:szCs w:val="24"/>
              </w:rPr>
              <w:t>usiame</w:t>
            </w:r>
            <w:r w:rsidRPr="00A25DEA">
              <w:rPr>
                <w:sz w:val="24"/>
                <w:szCs w:val="24"/>
              </w:rPr>
              <w:t xml:space="preserve"> 21 punkt</w:t>
            </w:r>
            <w:r w:rsidR="00120811">
              <w:rPr>
                <w:sz w:val="24"/>
                <w:szCs w:val="24"/>
              </w:rPr>
              <w:t>e</w:t>
            </w:r>
            <w:r w:rsidRPr="00A25DEA">
              <w:rPr>
                <w:sz w:val="24"/>
                <w:szCs w:val="24"/>
              </w:rPr>
              <w:t xml:space="preserve">) termino skaičiavimo pradžios momento, nustatant </w:t>
            </w:r>
            <w:r w:rsidRPr="00A25DEA">
              <w:rPr>
                <w:bCs/>
                <w:color w:val="000000"/>
                <w:sz w:val="24"/>
                <w:szCs w:val="24"/>
              </w:rPr>
              <w:t>Pilietybės įstatymo 25 straipsnio 2 ar 4 dalyse nurodytas aplinkybes, nustatymas nėra įmanomas ir tikslingas,</w:t>
            </w:r>
            <w:r w:rsidRPr="00A25DEA">
              <w:rPr>
                <w:sz w:val="24"/>
                <w:szCs w:val="24"/>
              </w:rPr>
              <w:t xml:space="preserve"> </w:t>
            </w:r>
            <w:r w:rsidR="00120811">
              <w:rPr>
                <w:sz w:val="24"/>
                <w:szCs w:val="24"/>
              </w:rPr>
              <w:t>nes</w:t>
            </w:r>
            <w:r w:rsidRPr="00A25DEA">
              <w:rPr>
                <w:sz w:val="24"/>
                <w:szCs w:val="24"/>
              </w:rPr>
              <w:t xml:space="preserve"> prašymas yra nagrinėjamas tam tikrą laiką, o per jį nurodytos aplinkybės gali pasikeisti (pvz., tik gavus prašymą asmuo nėra įtariamasis, o prieš sprendimo priėmimą jau yra ir pan.). Kadangi šių aplinkybių nustatymas yra sudėtinė prašymo nagrinėjimo dalis ir </w:t>
            </w:r>
            <w:r w:rsidRPr="00A25DEA">
              <w:rPr>
                <w:sz w:val="24"/>
                <w:szCs w:val="24"/>
              </w:rPr>
              <w:lastRenderedPageBreak/>
              <w:t xml:space="preserve">patenka į bendrą prašymo nagrinėjimo terminą, kuris yra nustatytas Apraše, nėra svarbu, per kokį terminą jos bus nustatytos ar nenustatytos, todėl manome, kad terminų nustatymas yra netikslingas, o Migracijos departamentas nurodytas aplinkybes gali nustatyti bet kuriuo prašymo nagrinėjimo metu. Aprašo 21 punkte yra nustatytas terminas, per kurį Migracijos departamentas nustato </w:t>
            </w:r>
            <w:r w:rsidRPr="00A25DEA">
              <w:rPr>
                <w:bCs/>
                <w:color w:val="000000"/>
                <w:sz w:val="24"/>
                <w:szCs w:val="24"/>
              </w:rPr>
              <w:t xml:space="preserve">Pilietybės įstatymo 25 straipsnio 3 dalyje nurodytas aplinkybes, </w:t>
            </w:r>
            <w:r w:rsidR="00120811">
              <w:rPr>
                <w:bCs/>
                <w:color w:val="000000"/>
                <w:sz w:val="24"/>
                <w:szCs w:val="24"/>
              </w:rPr>
              <w:t>nes</w:t>
            </w:r>
            <w:r w:rsidRPr="00A25DEA">
              <w:rPr>
                <w:bCs/>
                <w:color w:val="000000"/>
                <w:sz w:val="24"/>
                <w:szCs w:val="24"/>
              </w:rPr>
              <w:t xml:space="preserve"> šio termino pradžios datą (mobilizacijos paskelbimas) įmanoma apibrėžti.</w:t>
            </w:r>
          </w:p>
          <w:p w14:paraId="61ECFB65" w14:textId="4F57AC44" w:rsidR="00BE6CC5" w:rsidRPr="00A25DEA" w:rsidRDefault="00BE6CC5" w:rsidP="00BE6CC5">
            <w:pPr>
              <w:pStyle w:val="Komentarotekstas"/>
              <w:jc w:val="both"/>
              <w:rPr>
                <w:b/>
                <w:bCs/>
                <w:sz w:val="24"/>
                <w:szCs w:val="24"/>
              </w:rPr>
            </w:pPr>
          </w:p>
        </w:tc>
      </w:tr>
      <w:tr w:rsidR="008655D4" w:rsidRPr="00A25DEA" w14:paraId="6F223C35" w14:textId="77777777" w:rsidTr="0041085C">
        <w:trPr>
          <w:trHeight w:val="1404"/>
        </w:trPr>
        <w:tc>
          <w:tcPr>
            <w:tcW w:w="704" w:type="dxa"/>
          </w:tcPr>
          <w:p w14:paraId="0714FC1D" w14:textId="34043D61" w:rsidR="008655D4" w:rsidRPr="00A25DEA" w:rsidRDefault="008655D4" w:rsidP="001F15F3">
            <w:pPr>
              <w:jc w:val="both"/>
              <w:rPr>
                <w:iCs/>
                <w:szCs w:val="24"/>
              </w:rPr>
            </w:pPr>
            <w:r w:rsidRPr="00A25DEA">
              <w:rPr>
                <w:iCs/>
                <w:szCs w:val="24"/>
              </w:rPr>
              <w:lastRenderedPageBreak/>
              <w:t xml:space="preserve">6. </w:t>
            </w:r>
          </w:p>
        </w:tc>
        <w:tc>
          <w:tcPr>
            <w:tcW w:w="3402" w:type="dxa"/>
          </w:tcPr>
          <w:p w14:paraId="4B18867A" w14:textId="59B70B81" w:rsidR="008655D4" w:rsidRPr="00A25DEA" w:rsidRDefault="008655D4" w:rsidP="00B47334">
            <w:pPr>
              <w:rPr>
                <w:szCs w:val="24"/>
              </w:rPr>
            </w:pPr>
            <w:r w:rsidRPr="00A25DEA">
              <w:rPr>
                <w:szCs w:val="24"/>
              </w:rPr>
              <w:t xml:space="preserve">Lietuvos Respublikos Vyriausybės kanceliarijos Viešojo valdymo grupės 2021 m. sausio 12 d. išvada Nr. </w:t>
            </w:r>
            <w:r w:rsidRPr="00A25DEA">
              <w:t>NV-64</w:t>
            </w:r>
          </w:p>
        </w:tc>
        <w:tc>
          <w:tcPr>
            <w:tcW w:w="5789" w:type="dxa"/>
          </w:tcPr>
          <w:p w14:paraId="32F1AD51" w14:textId="07319A65" w:rsidR="008655D4" w:rsidRPr="00A25DEA" w:rsidRDefault="008655D4" w:rsidP="00B47334">
            <w:pPr>
              <w:jc w:val="both"/>
              <w:rPr>
                <w:szCs w:val="24"/>
              </w:rPr>
            </w:pPr>
            <w:r w:rsidRPr="00A25DEA">
              <w:rPr>
                <w:color w:val="000000"/>
                <w:szCs w:val="24"/>
              </w:rPr>
              <w:t xml:space="preserve">Svarstytina, ar aprašo 32 punkte nurodytas terminas </w:t>
            </w:r>
            <w:r w:rsidRPr="00A25DEA">
              <w:rPr>
                <w:szCs w:val="24"/>
              </w:rPr>
              <w:t>Migracijos departamentui patikrinti Respublikos Prezidento dekreto projekte nurodytus duomenis nėra per ilgas; kartu siūlytina tikslinti aprašo 32 ir 33 punktus, aiškiai išdėstant dekreto projekto derinimo procedūrą.</w:t>
            </w:r>
          </w:p>
          <w:p w14:paraId="06EBDB07" w14:textId="77777777" w:rsidR="008655D4" w:rsidRPr="00A25DEA" w:rsidRDefault="008655D4" w:rsidP="00B47334">
            <w:pPr>
              <w:jc w:val="both"/>
              <w:rPr>
                <w:color w:val="000000"/>
                <w:szCs w:val="24"/>
                <w:shd w:val="clear" w:color="auto" w:fill="FFFFFF"/>
              </w:rPr>
            </w:pPr>
          </w:p>
        </w:tc>
        <w:tc>
          <w:tcPr>
            <w:tcW w:w="5409" w:type="dxa"/>
          </w:tcPr>
          <w:p w14:paraId="7388F514" w14:textId="77777777" w:rsidR="008655D4" w:rsidRPr="00A25DEA" w:rsidRDefault="008655D4" w:rsidP="00775D93">
            <w:pPr>
              <w:pStyle w:val="Komentarotekstas"/>
              <w:jc w:val="both"/>
              <w:rPr>
                <w:b/>
                <w:bCs/>
                <w:sz w:val="24"/>
                <w:szCs w:val="24"/>
              </w:rPr>
            </w:pPr>
            <w:r w:rsidRPr="00A25DEA">
              <w:rPr>
                <w:b/>
                <w:bCs/>
                <w:sz w:val="24"/>
                <w:szCs w:val="24"/>
              </w:rPr>
              <w:t>Atsižvelgta iš dalies.</w:t>
            </w:r>
          </w:p>
          <w:p w14:paraId="213E53D1" w14:textId="0201E9BA" w:rsidR="008655D4" w:rsidRPr="00A25DEA" w:rsidRDefault="008655D4" w:rsidP="00B47334">
            <w:pPr>
              <w:pStyle w:val="Komentarotekstas"/>
              <w:jc w:val="both"/>
              <w:rPr>
                <w:bCs/>
                <w:sz w:val="24"/>
                <w:szCs w:val="24"/>
              </w:rPr>
            </w:pPr>
            <w:r w:rsidRPr="00A25DEA">
              <w:rPr>
                <w:bCs/>
                <w:sz w:val="24"/>
                <w:szCs w:val="24"/>
              </w:rPr>
              <w:t>Punktai pataisyti pagal Viešojo valdymo grupės techninio pobūdžio pastabas</w:t>
            </w:r>
            <w:r w:rsidR="00FD4853" w:rsidRPr="00A25DEA">
              <w:rPr>
                <w:bCs/>
                <w:sz w:val="24"/>
                <w:szCs w:val="24"/>
              </w:rPr>
              <w:t>. Manome, kad Aprašo 32 punkte nurodytas 10 darbo dienų terminas nėra per ilgas, jis yra nustatytas, siekiant užtikrinti, kad</w:t>
            </w:r>
            <w:r w:rsidR="00120811">
              <w:rPr>
                <w:bCs/>
                <w:sz w:val="24"/>
                <w:szCs w:val="24"/>
              </w:rPr>
              <w:t>,</w:t>
            </w:r>
            <w:r w:rsidR="00FD4853" w:rsidRPr="00A25DEA">
              <w:rPr>
                <w:bCs/>
                <w:sz w:val="24"/>
                <w:szCs w:val="24"/>
              </w:rPr>
              <w:t xml:space="preserve"> padidėjus prašymus teikiančių asmenų srautams, Migracijos departamentas nepažeistų teisės aktų reikalavimų dėl dekreto tikrinimo terminų. </w:t>
            </w:r>
            <w:r w:rsidR="00120811">
              <w:rPr>
                <w:bCs/>
                <w:sz w:val="24"/>
                <w:szCs w:val="24"/>
              </w:rPr>
              <w:t xml:space="preserve">Taip pat </w:t>
            </w:r>
            <w:r w:rsidR="00FD4853" w:rsidRPr="00A25DEA">
              <w:rPr>
                <w:bCs/>
                <w:sz w:val="24"/>
                <w:szCs w:val="24"/>
              </w:rPr>
              <w:t xml:space="preserve">informuojame, kad Migracijos departamentas Aprašo 32 punkte nurodytus veiksmus atlieka </w:t>
            </w:r>
            <w:r w:rsidR="00161B5A" w:rsidRPr="00A25DEA">
              <w:rPr>
                <w:bCs/>
                <w:sz w:val="24"/>
                <w:szCs w:val="24"/>
              </w:rPr>
              <w:t xml:space="preserve">pagal turimas galimybes ir vidaus reikalų ministrui nuomonę pateikia be nepagrįsto </w:t>
            </w:r>
            <w:r w:rsidR="000B5D65" w:rsidRPr="00A25DEA">
              <w:rPr>
                <w:bCs/>
                <w:sz w:val="24"/>
                <w:szCs w:val="24"/>
              </w:rPr>
              <w:t>delsimo</w:t>
            </w:r>
            <w:r w:rsidR="00161B5A" w:rsidRPr="00A25DEA">
              <w:rPr>
                <w:bCs/>
                <w:sz w:val="24"/>
                <w:szCs w:val="24"/>
              </w:rPr>
              <w:t>.</w:t>
            </w:r>
          </w:p>
        </w:tc>
      </w:tr>
    </w:tbl>
    <w:p w14:paraId="1F1EC531" w14:textId="77777777" w:rsidR="003D46C0" w:rsidRPr="00A25DEA" w:rsidRDefault="007E61DA">
      <w:pPr>
        <w:jc w:val="center"/>
        <w:rPr>
          <w:szCs w:val="24"/>
        </w:rPr>
      </w:pPr>
      <w:r w:rsidRPr="00A25DEA">
        <w:rPr>
          <w:szCs w:val="24"/>
        </w:rPr>
        <w:t>______________</w:t>
      </w:r>
    </w:p>
    <w:sectPr w:rsidR="003D46C0" w:rsidRPr="00A25DEA" w:rsidSect="00B47334">
      <w:headerReference w:type="even" r:id="rId9"/>
      <w:headerReference w:type="default" r:id="rId10"/>
      <w:footerReference w:type="even" r:id="rId11"/>
      <w:headerReference w:type="first" r:id="rId12"/>
      <w:pgSz w:w="16840" w:h="11907" w:orient="landscape" w:code="9"/>
      <w:pgMar w:top="1134" w:right="567" w:bottom="1134" w:left="567" w:header="28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41527" w14:textId="77777777" w:rsidR="00DC5D5E" w:rsidRDefault="00DC5D5E">
      <w:r>
        <w:separator/>
      </w:r>
    </w:p>
  </w:endnote>
  <w:endnote w:type="continuationSeparator" w:id="0">
    <w:p w14:paraId="1BDAF69A" w14:textId="77777777" w:rsidR="00DC5D5E" w:rsidRDefault="00DC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C488" w14:textId="77777777" w:rsidR="005F631B" w:rsidRDefault="005F631B" w:rsidP="00CF097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AC7F0E" w14:textId="77777777" w:rsidR="005F631B" w:rsidRDefault="005F63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0673" w14:textId="77777777" w:rsidR="00DC5D5E" w:rsidRDefault="00DC5D5E">
      <w:r>
        <w:separator/>
      </w:r>
    </w:p>
  </w:footnote>
  <w:footnote w:type="continuationSeparator" w:id="0">
    <w:p w14:paraId="493D05B8" w14:textId="77777777" w:rsidR="00DC5D5E" w:rsidRDefault="00DC5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B83F4" w14:textId="77777777" w:rsidR="005F631B" w:rsidRDefault="005F631B" w:rsidP="00CF09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721077" w14:textId="77777777" w:rsidR="005F631B" w:rsidRDefault="005F63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A1F73" w14:textId="06F6991C" w:rsidR="005F631B" w:rsidRPr="006E4DB7" w:rsidRDefault="005F631B" w:rsidP="00CF0977">
    <w:pPr>
      <w:pStyle w:val="Antrats"/>
      <w:framePr w:wrap="around" w:vAnchor="text" w:hAnchor="margin" w:xAlign="center" w:y="1"/>
      <w:rPr>
        <w:rStyle w:val="Puslapionumeris"/>
        <w:sz w:val="24"/>
        <w:szCs w:val="24"/>
      </w:rPr>
    </w:pPr>
    <w:r w:rsidRPr="006E4DB7">
      <w:rPr>
        <w:rStyle w:val="Puslapionumeris"/>
        <w:sz w:val="24"/>
        <w:szCs w:val="24"/>
      </w:rPr>
      <w:fldChar w:fldCharType="begin"/>
    </w:r>
    <w:r w:rsidRPr="006E4DB7">
      <w:rPr>
        <w:rStyle w:val="Puslapionumeris"/>
        <w:sz w:val="24"/>
        <w:szCs w:val="24"/>
      </w:rPr>
      <w:instrText xml:space="preserve">PAGE  </w:instrText>
    </w:r>
    <w:r w:rsidRPr="006E4DB7">
      <w:rPr>
        <w:rStyle w:val="Puslapionumeris"/>
        <w:sz w:val="24"/>
        <w:szCs w:val="24"/>
      </w:rPr>
      <w:fldChar w:fldCharType="separate"/>
    </w:r>
    <w:r w:rsidR="00C07083">
      <w:rPr>
        <w:rStyle w:val="Puslapionumeris"/>
        <w:noProof/>
        <w:sz w:val="24"/>
        <w:szCs w:val="24"/>
      </w:rPr>
      <w:t>17</w:t>
    </w:r>
    <w:r w:rsidRPr="006E4DB7">
      <w:rPr>
        <w:rStyle w:val="Puslapionumeris"/>
        <w:sz w:val="24"/>
        <w:szCs w:val="24"/>
      </w:rPr>
      <w:fldChar w:fldCharType="end"/>
    </w:r>
  </w:p>
  <w:p w14:paraId="77D56D71" w14:textId="77777777" w:rsidR="005F631B" w:rsidRDefault="005F63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3AF44" w14:textId="77777777" w:rsidR="005F631B" w:rsidRPr="007D14A0" w:rsidRDefault="005F631B" w:rsidP="00CF0977">
    <w:pPr>
      <w:pStyle w:val="Antrats"/>
      <w:tabs>
        <w:tab w:val="left" w:pos="13462"/>
      </w:tabs>
      <w:rPr>
        <w:b/>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0.5pt;height:10.5pt" o:bullet="t">
        <v:imagedata r:id="rId1" o:title="IL_green-14"/>
      </v:shape>
    </w:pict>
  </w:numPicBullet>
  <w:abstractNum w:abstractNumId="0" w15:restartNumberingAfterBreak="0">
    <w:nsid w:val="06B501CE"/>
    <w:multiLevelType w:val="hybridMultilevel"/>
    <w:tmpl w:val="82C89DAC"/>
    <w:lvl w:ilvl="0" w:tplc="20D62A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2F170C"/>
    <w:multiLevelType w:val="multilevel"/>
    <w:tmpl w:val="6DF6F16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F03E63"/>
    <w:multiLevelType w:val="hybridMultilevel"/>
    <w:tmpl w:val="A364A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D69A6"/>
    <w:multiLevelType w:val="multilevel"/>
    <w:tmpl w:val="30B05D24"/>
    <w:lvl w:ilvl="0">
      <w:start w:val="6"/>
      <w:numFmt w:val="decimal"/>
      <w:lvlText w:val="%1."/>
      <w:lvlJc w:val="left"/>
      <w:pPr>
        <w:ind w:left="720" w:hanging="360"/>
      </w:pPr>
      <w:rPr>
        <w:rFonts w:hint="default"/>
        <w:color w:val="000000"/>
      </w:rPr>
    </w:lvl>
    <w:lvl w:ilvl="1">
      <w:start w:val="2"/>
      <w:numFmt w:val="decimal"/>
      <w:isLgl/>
      <w:lvlText w:val="%1.%2."/>
      <w:lvlJc w:val="left"/>
      <w:pPr>
        <w:ind w:left="720" w:hanging="360"/>
      </w:pPr>
      <w:rPr>
        <w:rFonts w:hint="default"/>
        <w:color w:val="000000"/>
      </w:rPr>
    </w:lvl>
    <w:lvl w:ilvl="2">
      <w:start w:val="1"/>
      <w:numFmt w:val="decimalZero"/>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183A1FD5"/>
    <w:multiLevelType w:val="multilevel"/>
    <w:tmpl w:val="C43A87D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0804AD"/>
    <w:multiLevelType w:val="multilevel"/>
    <w:tmpl w:val="8C78615C"/>
    <w:lvl w:ilvl="0">
      <w:start w:val="1"/>
      <w:numFmt w:val="decimal"/>
      <w:lvlText w:val="%1."/>
      <w:lvlJc w:val="left"/>
      <w:pPr>
        <w:ind w:left="1353" w:hanging="360"/>
      </w:pPr>
      <w:rPr>
        <w:b w:val="0"/>
        <w:bCs w:val="0"/>
        <w:strike w:val="0"/>
      </w:rPr>
    </w:lvl>
    <w:lvl w:ilvl="1">
      <w:start w:val="1"/>
      <w:numFmt w:val="decimal"/>
      <w:isLgl/>
      <w:lvlText w:val="%1.%2."/>
      <w:lvlJc w:val="left"/>
      <w:pPr>
        <w:ind w:left="7650" w:hanging="360"/>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18761A3"/>
    <w:multiLevelType w:val="hybridMultilevel"/>
    <w:tmpl w:val="F2346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803840"/>
    <w:multiLevelType w:val="hybridMultilevel"/>
    <w:tmpl w:val="03DA2C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6603DA"/>
    <w:multiLevelType w:val="hybridMultilevel"/>
    <w:tmpl w:val="4B9AB01A"/>
    <w:lvl w:ilvl="0" w:tplc="B31CC514">
      <w:start w:val="1"/>
      <w:numFmt w:val="decimal"/>
      <w:lvlText w:val="%1."/>
      <w:lvlJc w:val="left"/>
      <w:pPr>
        <w:ind w:left="720" w:hanging="360"/>
      </w:pPr>
      <w:rPr>
        <w:rFonts w:ascii="Calibri" w:hAnsi="Calibri" w:cs="Calibri"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E1335F"/>
    <w:multiLevelType w:val="hybridMultilevel"/>
    <w:tmpl w:val="0D9455E2"/>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8796C83"/>
    <w:multiLevelType w:val="hybridMultilevel"/>
    <w:tmpl w:val="8BB2B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974F6"/>
    <w:multiLevelType w:val="hybridMultilevel"/>
    <w:tmpl w:val="8F486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34A1A"/>
    <w:multiLevelType w:val="hybridMultilevel"/>
    <w:tmpl w:val="38F6A612"/>
    <w:lvl w:ilvl="0" w:tplc="6DF274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7D534DB"/>
    <w:multiLevelType w:val="hybridMultilevel"/>
    <w:tmpl w:val="B918766A"/>
    <w:lvl w:ilvl="0" w:tplc="2B6C16C6">
      <w:start w:val="1"/>
      <w:numFmt w:val="bullet"/>
      <w:lvlText w:val=""/>
      <w:lvlPicBulletId w:val="0"/>
      <w:lvlJc w:val="left"/>
      <w:pPr>
        <w:ind w:left="380" w:hanging="360"/>
      </w:pPr>
      <w:rPr>
        <w:rFonts w:ascii="Symbol" w:hAnsi="Symbol" w:hint="default"/>
        <w:color w:val="auto"/>
      </w:rPr>
    </w:lvl>
    <w:lvl w:ilvl="1" w:tplc="6CC426CC">
      <w:start w:val="1"/>
      <w:numFmt w:val="bullet"/>
      <w:lvlText w:val="o"/>
      <w:lvlJc w:val="left"/>
      <w:pPr>
        <w:ind w:left="1100" w:hanging="360"/>
      </w:pPr>
      <w:rPr>
        <w:rFonts w:ascii="Courier New" w:hAnsi="Courier New" w:cs="Courier New" w:hint="default"/>
      </w:rPr>
    </w:lvl>
    <w:lvl w:ilvl="2" w:tplc="04270005" w:tentative="1">
      <w:start w:val="1"/>
      <w:numFmt w:val="bullet"/>
      <w:lvlText w:val=""/>
      <w:lvlJc w:val="left"/>
      <w:pPr>
        <w:ind w:left="1820" w:hanging="360"/>
      </w:pPr>
      <w:rPr>
        <w:rFonts w:ascii="Wingdings" w:hAnsi="Wingdings" w:hint="default"/>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4" w15:restartNumberingAfterBreak="0">
    <w:nsid w:val="3A0A4ADA"/>
    <w:multiLevelType w:val="hybridMultilevel"/>
    <w:tmpl w:val="66BA4AB2"/>
    <w:lvl w:ilvl="0" w:tplc="0B1EDED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A059E1"/>
    <w:multiLevelType w:val="hybridMultilevel"/>
    <w:tmpl w:val="29F88902"/>
    <w:lvl w:ilvl="0" w:tplc="44526FB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8DE2A56"/>
    <w:multiLevelType w:val="multilevel"/>
    <w:tmpl w:val="6DF6F16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E60E3E"/>
    <w:multiLevelType w:val="multilevel"/>
    <w:tmpl w:val="0FDCB8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615B16"/>
    <w:multiLevelType w:val="hybridMultilevel"/>
    <w:tmpl w:val="6FB607A2"/>
    <w:lvl w:ilvl="0" w:tplc="1D4C3D38">
      <w:start w:val="1"/>
      <w:numFmt w:val="decimal"/>
      <w:lvlText w:val="%1."/>
      <w:lvlJc w:val="left"/>
      <w:pPr>
        <w:ind w:left="2771" w:hanging="360"/>
      </w:pPr>
      <w:rPr>
        <w:b w:val="0"/>
        <w:bCs w:val="0"/>
      </w:rPr>
    </w:lvl>
    <w:lvl w:ilvl="1" w:tplc="04270019" w:tentative="1">
      <w:start w:val="1"/>
      <w:numFmt w:val="lowerLetter"/>
      <w:lvlText w:val="%2."/>
      <w:lvlJc w:val="left"/>
      <w:pPr>
        <w:ind w:left="2169" w:hanging="360"/>
      </w:pPr>
    </w:lvl>
    <w:lvl w:ilvl="2" w:tplc="0427001B" w:tentative="1">
      <w:start w:val="1"/>
      <w:numFmt w:val="lowerRoman"/>
      <w:lvlText w:val="%3."/>
      <w:lvlJc w:val="right"/>
      <w:pPr>
        <w:ind w:left="2889" w:hanging="180"/>
      </w:pPr>
    </w:lvl>
    <w:lvl w:ilvl="3" w:tplc="0427000F" w:tentative="1">
      <w:start w:val="1"/>
      <w:numFmt w:val="decimal"/>
      <w:lvlText w:val="%4."/>
      <w:lvlJc w:val="left"/>
      <w:pPr>
        <w:ind w:left="3609" w:hanging="360"/>
      </w:pPr>
    </w:lvl>
    <w:lvl w:ilvl="4" w:tplc="04270019" w:tentative="1">
      <w:start w:val="1"/>
      <w:numFmt w:val="lowerLetter"/>
      <w:lvlText w:val="%5."/>
      <w:lvlJc w:val="left"/>
      <w:pPr>
        <w:ind w:left="4329" w:hanging="360"/>
      </w:pPr>
    </w:lvl>
    <w:lvl w:ilvl="5" w:tplc="0427001B" w:tentative="1">
      <w:start w:val="1"/>
      <w:numFmt w:val="lowerRoman"/>
      <w:lvlText w:val="%6."/>
      <w:lvlJc w:val="right"/>
      <w:pPr>
        <w:ind w:left="5049" w:hanging="180"/>
      </w:pPr>
    </w:lvl>
    <w:lvl w:ilvl="6" w:tplc="0427000F" w:tentative="1">
      <w:start w:val="1"/>
      <w:numFmt w:val="decimal"/>
      <w:lvlText w:val="%7."/>
      <w:lvlJc w:val="left"/>
      <w:pPr>
        <w:ind w:left="5769" w:hanging="360"/>
      </w:pPr>
    </w:lvl>
    <w:lvl w:ilvl="7" w:tplc="04270019" w:tentative="1">
      <w:start w:val="1"/>
      <w:numFmt w:val="lowerLetter"/>
      <w:lvlText w:val="%8."/>
      <w:lvlJc w:val="left"/>
      <w:pPr>
        <w:ind w:left="6489" w:hanging="360"/>
      </w:pPr>
    </w:lvl>
    <w:lvl w:ilvl="8" w:tplc="0427001B" w:tentative="1">
      <w:start w:val="1"/>
      <w:numFmt w:val="lowerRoman"/>
      <w:lvlText w:val="%9."/>
      <w:lvlJc w:val="right"/>
      <w:pPr>
        <w:ind w:left="7209" w:hanging="180"/>
      </w:pPr>
    </w:lvl>
  </w:abstractNum>
  <w:abstractNum w:abstractNumId="19" w15:restartNumberingAfterBreak="0">
    <w:nsid w:val="523E6DDF"/>
    <w:multiLevelType w:val="multilevel"/>
    <w:tmpl w:val="C09E20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CA60FA"/>
    <w:multiLevelType w:val="hybridMultilevel"/>
    <w:tmpl w:val="1BACD850"/>
    <w:lvl w:ilvl="0" w:tplc="57DE697C">
      <w:start w:val="1"/>
      <w:numFmt w:val="bullet"/>
      <w:lvlText w:val="-"/>
      <w:lvlJc w:val="left"/>
      <w:pPr>
        <w:ind w:left="1500" w:hanging="360"/>
      </w:pPr>
      <w:rPr>
        <w:rFonts w:ascii="Times New Roman" w:eastAsia="Times New Roman" w:hAnsi="Times New Roman" w:cs="Times New Roman"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1" w15:restartNumberingAfterBreak="0">
    <w:nsid w:val="59281121"/>
    <w:multiLevelType w:val="hybridMultilevel"/>
    <w:tmpl w:val="D3A4D702"/>
    <w:lvl w:ilvl="0" w:tplc="E33AB9C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8D6074"/>
    <w:multiLevelType w:val="hybridMultilevel"/>
    <w:tmpl w:val="3F1C7406"/>
    <w:lvl w:ilvl="0" w:tplc="1B281378">
      <w:start w:val="1"/>
      <w:numFmt w:val="decimal"/>
      <w:lvlText w:val="%1."/>
      <w:lvlJc w:val="left"/>
      <w:pPr>
        <w:ind w:left="1097" w:hanging="360"/>
      </w:pPr>
      <w:rPr>
        <w:rFonts w:hint="default"/>
      </w:rPr>
    </w:lvl>
    <w:lvl w:ilvl="1" w:tplc="04270019">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3" w15:restartNumberingAfterBreak="0">
    <w:nsid w:val="5DBD6FDD"/>
    <w:multiLevelType w:val="multilevel"/>
    <w:tmpl w:val="817E4F92"/>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D96487"/>
    <w:multiLevelType w:val="hybridMultilevel"/>
    <w:tmpl w:val="42484F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7C449A"/>
    <w:multiLevelType w:val="hybridMultilevel"/>
    <w:tmpl w:val="43627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4D5372"/>
    <w:multiLevelType w:val="hybridMultilevel"/>
    <w:tmpl w:val="19D6A0E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B955F5"/>
    <w:multiLevelType w:val="multilevel"/>
    <w:tmpl w:val="9D6E333C"/>
    <w:lvl w:ilvl="0">
      <w:start w:val="2020"/>
      <w:numFmt w:val="decimal"/>
      <w:lvlText w:val="(%1"/>
      <w:lvlJc w:val="left"/>
      <w:pPr>
        <w:ind w:left="1185" w:hanging="1185"/>
      </w:pPr>
      <w:rPr>
        <w:rFonts w:hint="default"/>
        <w:b w:val="0"/>
      </w:rPr>
    </w:lvl>
    <w:lvl w:ilvl="1">
      <w:start w:val="6"/>
      <w:numFmt w:val="decimalZero"/>
      <w:lvlText w:val="(%1-%2"/>
      <w:lvlJc w:val="left"/>
      <w:pPr>
        <w:ind w:left="1185" w:hanging="1185"/>
      </w:pPr>
      <w:rPr>
        <w:rFonts w:hint="default"/>
        <w:b w:val="0"/>
      </w:rPr>
    </w:lvl>
    <w:lvl w:ilvl="2">
      <w:start w:val="9"/>
      <w:numFmt w:val="decimalZero"/>
      <w:lvlText w:val="(%1-%2-%3"/>
      <w:lvlJc w:val="left"/>
      <w:pPr>
        <w:ind w:left="1185" w:hanging="1185"/>
      </w:pPr>
      <w:rPr>
        <w:rFonts w:hint="default"/>
        <w:b w:val="0"/>
      </w:rPr>
    </w:lvl>
    <w:lvl w:ilvl="3">
      <w:start w:val="1"/>
      <w:numFmt w:val="decimal"/>
      <w:lvlText w:val="(%1-%2-%3.%4"/>
      <w:lvlJc w:val="left"/>
      <w:pPr>
        <w:ind w:left="1185" w:hanging="1185"/>
      </w:pPr>
      <w:rPr>
        <w:rFonts w:hint="default"/>
        <w:b w:val="0"/>
      </w:rPr>
    </w:lvl>
    <w:lvl w:ilvl="4">
      <w:start w:val="1"/>
      <w:numFmt w:val="decimal"/>
      <w:lvlText w:val="(%1-%2-%3.%4.%5"/>
      <w:lvlJc w:val="left"/>
      <w:pPr>
        <w:ind w:left="1185" w:hanging="1185"/>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59B10E5"/>
    <w:multiLevelType w:val="hybridMultilevel"/>
    <w:tmpl w:val="49CA51B4"/>
    <w:lvl w:ilvl="0" w:tplc="CAD49C8C">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9" w15:restartNumberingAfterBreak="0">
    <w:nsid w:val="78FB13F3"/>
    <w:multiLevelType w:val="hybridMultilevel"/>
    <w:tmpl w:val="072C7AF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377438"/>
    <w:multiLevelType w:val="hybridMultilevel"/>
    <w:tmpl w:val="EA44E980"/>
    <w:lvl w:ilvl="0" w:tplc="6A468B44">
      <w:start w:val="1"/>
      <w:numFmt w:val="decimal"/>
      <w:lvlText w:val="%1."/>
      <w:lvlJc w:val="left"/>
      <w:pPr>
        <w:ind w:left="1140" w:hanging="360"/>
      </w:pPr>
      <w:rPr>
        <w:rFonts w:ascii="Times New Roman" w:eastAsia="Times New Roman" w:hAnsi="Times New Roman" w:cs="Times New Roman"/>
        <w:b w:val="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0"/>
  </w:num>
  <w:num w:numId="2">
    <w:abstractNumId w:val="25"/>
  </w:num>
  <w:num w:numId="3">
    <w:abstractNumId w:val="1"/>
  </w:num>
  <w:num w:numId="4">
    <w:abstractNumId w:val="19"/>
  </w:num>
  <w:num w:numId="5">
    <w:abstractNumId w:val="17"/>
  </w:num>
  <w:num w:numId="6">
    <w:abstractNumId w:val="4"/>
  </w:num>
  <w:num w:numId="7">
    <w:abstractNumId w:val="16"/>
  </w:num>
  <w:num w:numId="8">
    <w:abstractNumId w:val="23"/>
  </w:num>
  <w:num w:numId="9">
    <w:abstractNumId w:val="14"/>
  </w:num>
  <w:num w:numId="10">
    <w:abstractNumId w:val="7"/>
  </w:num>
  <w:num w:numId="11">
    <w:abstractNumId w:val="22"/>
  </w:num>
  <w:num w:numId="12">
    <w:abstractNumId w:val="27"/>
  </w:num>
  <w:num w:numId="13">
    <w:abstractNumId w:val="24"/>
  </w:num>
  <w:num w:numId="14">
    <w:abstractNumId w:val="21"/>
  </w:num>
  <w:num w:numId="15">
    <w:abstractNumId w:val="3"/>
  </w:num>
  <w:num w:numId="16">
    <w:abstractNumId w:val="15"/>
  </w:num>
  <w:num w:numId="17">
    <w:abstractNumId w:val="6"/>
  </w:num>
  <w:num w:numId="18">
    <w:abstractNumId w:val="26"/>
  </w:num>
  <w:num w:numId="19">
    <w:abstractNumId w:val="5"/>
  </w:num>
  <w:num w:numId="20">
    <w:abstractNumId w:val="13"/>
  </w:num>
  <w:num w:numId="21">
    <w:abstractNumId w:val="18"/>
  </w:num>
  <w:num w:numId="22">
    <w:abstractNumId w:val="9"/>
  </w:num>
  <w:num w:numId="23">
    <w:abstractNumId w:val="29"/>
  </w:num>
  <w:num w:numId="24">
    <w:abstractNumId w:val="20"/>
  </w:num>
  <w:num w:numId="25">
    <w:abstractNumId w:val="30"/>
  </w:num>
  <w:num w:numId="26">
    <w:abstractNumId w:val="2"/>
  </w:num>
  <w:num w:numId="27">
    <w:abstractNumId w:val="28"/>
  </w:num>
  <w:num w:numId="28">
    <w:abstractNumId w:val="10"/>
  </w:num>
  <w:num w:numId="29">
    <w:abstractNumId w:val="11"/>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6A7"/>
    <w:rsid w:val="00004D71"/>
    <w:rsid w:val="000114D6"/>
    <w:rsid w:val="00013FDC"/>
    <w:rsid w:val="000205EC"/>
    <w:rsid w:val="000210EB"/>
    <w:rsid w:val="00021F77"/>
    <w:rsid w:val="00027093"/>
    <w:rsid w:val="0003283B"/>
    <w:rsid w:val="00035598"/>
    <w:rsid w:val="00037C26"/>
    <w:rsid w:val="00040533"/>
    <w:rsid w:val="0004090E"/>
    <w:rsid w:val="00040E12"/>
    <w:rsid w:val="000412CB"/>
    <w:rsid w:val="00051971"/>
    <w:rsid w:val="00055740"/>
    <w:rsid w:val="00056CAA"/>
    <w:rsid w:val="00064C1A"/>
    <w:rsid w:val="00066746"/>
    <w:rsid w:val="00076E5B"/>
    <w:rsid w:val="00083B14"/>
    <w:rsid w:val="000920FC"/>
    <w:rsid w:val="00092C28"/>
    <w:rsid w:val="00095626"/>
    <w:rsid w:val="000A1362"/>
    <w:rsid w:val="000A27C4"/>
    <w:rsid w:val="000A3E5D"/>
    <w:rsid w:val="000A6416"/>
    <w:rsid w:val="000A6DD0"/>
    <w:rsid w:val="000B196A"/>
    <w:rsid w:val="000B553B"/>
    <w:rsid w:val="000B5D65"/>
    <w:rsid w:val="000B6C31"/>
    <w:rsid w:val="000C35AB"/>
    <w:rsid w:val="000C4461"/>
    <w:rsid w:val="000C496F"/>
    <w:rsid w:val="000C5BE4"/>
    <w:rsid w:val="000C70D7"/>
    <w:rsid w:val="000D0182"/>
    <w:rsid w:val="000D3538"/>
    <w:rsid w:val="000D6ACE"/>
    <w:rsid w:val="000E40DB"/>
    <w:rsid w:val="000E4D2F"/>
    <w:rsid w:val="000E4F9C"/>
    <w:rsid w:val="000E7422"/>
    <w:rsid w:val="000F5C02"/>
    <w:rsid w:val="000F7699"/>
    <w:rsid w:val="00106008"/>
    <w:rsid w:val="001158DF"/>
    <w:rsid w:val="00116774"/>
    <w:rsid w:val="00120811"/>
    <w:rsid w:val="0012283F"/>
    <w:rsid w:val="00124804"/>
    <w:rsid w:val="00125AAB"/>
    <w:rsid w:val="0013596B"/>
    <w:rsid w:val="0014288C"/>
    <w:rsid w:val="00143F62"/>
    <w:rsid w:val="00145155"/>
    <w:rsid w:val="00147D0B"/>
    <w:rsid w:val="001548BD"/>
    <w:rsid w:val="00161B5A"/>
    <w:rsid w:val="001707A7"/>
    <w:rsid w:val="001710B0"/>
    <w:rsid w:val="00174856"/>
    <w:rsid w:val="001A1CDF"/>
    <w:rsid w:val="001A3B69"/>
    <w:rsid w:val="001A7890"/>
    <w:rsid w:val="001B378B"/>
    <w:rsid w:val="001C0E44"/>
    <w:rsid w:val="001C49E3"/>
    <w:rsid w:val="001D01B7"/>
    <w:rsid w:val="001D0775"/>
    <w:rsid w:val="001D15EE"/>
    <w:rsid w:val="001D5D3F"/>
    <w:rsid w:val="001E1D30"/>
    <w:rsid w:val="001E369B"/>
    <w:rsid w:val="001F15F3"/>
    <w:rsid w:val="001F5DCB"/>
    <w:rsid w:val="001F6056"/>
    <w:rsid w:val="00204B0A"/>
    <w:rsid w:val="002050E9"/>
    <w:rsid w:val="00207278"/>
    <w:rsid w:val="002072C3"/>
    <w:rsid w:val="00211194"/>
    <w:rsid w:val="002113E5"/>
    <w:rsid w:val="00217633"/>
    <w:rsid w:val="00226704"/>
    <w:rsid w:val="00232FFD"/>
    <w:rsid w:val="00233478"/>
    <w:rsid w:val="00233ED7"/>
    <w:rsid w:val="00241188"/>
    <w:rsid w:val="002532F2"/>
    <w:rsid w:val="002554C7"/>
    <w:rsid w:val="00256D11"/>
    <w:rsid w:val="00262E07"/>
    <w:rsid w:val="002718B0"/>
    <w:rsid w:val="00275384"/>
    <w:rsid w:val="002774BF"/>
    <w:rsid w:val="00281F2F"/>
    <w:rsid w:val="002A0F29"/>
    <w:rsid w:val="002A54AE"/>
    <w:rsid w:val="002A6817"/>
    <w:rsid w:val="002B2575"/>
    <w:rsid w:val="002B58E3"/>
    <w:rsid w:val="002C5164"/>
    <w:rsid w:val="002D23EE"/>
    <w:rsid w:val="002D323D"/>
    <w:rsid w:val="002D4817"/>
    <w:rsid w:val="002E1AF4"/>
    <w:rsid w:val="002E3010"/>
    <w:rsid w:val="002F4184"/>
    <w:rsid w:val="002F4CF3"/>
    <w:rsid w:val="002F61C0"/>
    <w:rsid w:val="003013A3"/>
    <w:rsid w:val="00302C18"/>
    <w:rsid w:val="00303585"/>
    <w:rsid w:val="003108D0"/>
    <w:rsid w:val="00310BAB"/>
    <w:rsid w:val="00311EED"/>
    <w:rsid w:val="003177C8"/>
    <w:rsid w:val="003214E9"/>
    <w:rsid w:val="00321C98"/>
    <w:rsid w:val="00326101"/>
    <w:rsid w:val="003274F5"/>
    <w:rsid w:val="0033570A"/>
    <w:rsid w:val="00340A80"/>
    <w:rsid w:val="003451E2"/>
    <w:rsid w:val="00353033"/>
    <w:rsid w:val="0035485B"/>
    <w:rsid w:val="003646CF"/>
    <w:rsid w:val="00364C11"/>
    <w:rsid w:val="00367A63"/>
    <w:rsid w:val="00381008"/>
    <w:rsid w:val="003812FC"/>
    <w:rsid w:val="00384719"/>
    <w:rsid w:val="0038711D"/>
    <w:rsid w:val="00397154"/>
    <w:rsid w:val="003A0F5C"/>
    <w:rsid w:val="003A1012"/>
    <w:rsid w:val="003A73F8"/>
    <w:rsid w:val="003C03DF"/>
    <w:rsid w:val="003C7423"/>
    <w:rsid w:val="003D46C0"/>
    <w:rsid w:val="003D4C5B"/>
    <w:rsid w:val="003D66DF"/>
    <w:rsid w:val="003E02CF"/>
    <w:rsid w:val="003F63DE"/>
    <w:rsid w:val="00400408"/>
    <w:rsid w:val="0041085C"/>
    <w:rsid w:val="0041143B"/>
    <w:rsid w:val="00411D3B"/>
    <w:rsid w:val="004132F5"/>
    <w:rsid w:val="00416546"/>
    <w:rsid w:val="004177B4"/>
    <w:rsid w:val="00423B60"/>
    <w:rsid w:val="004373A6"/>
    <w:rsid w:val="00446FC8"/>
    <w:rsid w:val="00452ABA"/>
    <w:rsid w:val="00453ADF"/>
    <w:rsid w:val="00454106"/>
    <w:rsid w:val="004568E5"/>
    <w:rsid w:val="00470498"/>
    <w:rsid w:val="00470BA3"/>
    <w:rsid w:val="004750AA"/>
    <w:rsid w:val="00484618"/>
    <w:rsid w:val="00484E19"/>
    <w:rsid w:val="004859D2"/>
    <w:rsid w:val="0048734A"/>
    <w:rsid w:val="00492FBC"/>
    <w:rsid w:val="004940F1"/>
    <w:rsid w:val="004A3131"/>
    <w:rsid w:val="004A3CC4"/>
    <w:rsid w:val="004B29D6"/>
    <w:rsid w:val="004C6794"/>
    <w:rsid w:val="004D0364"/>
    <w:rsid w:val="004D3F28"/>
    <w:rsid w:val="004E105C"/>
    <w:rsid w:val="004F01FA"/>
    <w:rsid w:val="005024D4"/>
    <w:rsid w:val="005066F6"/>
    <w:rsid w:val="00506821"/>
    <w:rsid w:val="00506863"/>
    <w:rsid w:val="00507F10"/>
    <w:rsid w:val="00507F6C"/>
    <w:rsid w:val="005109B2"/>
    <w:rsid w:val="00513487"/>
    <w:rsid w:val="005267C0"/>
    <w:rsid w:val="00530AF8"/>
    <w:rsid w:val="00533100"/>
    <w:rsid w:val="00534C8B"/>
    <w:rsid w:val="00536B49"/>
    <w:rsid w:val="00537562"/>
    <w:rsid w:val="0054478B"/>
    <w:rsid w:val="0055070A"/>
    <w:rsid w:val="0055212A"/>
    <w:rsid w:val="00554004"/>
    <w:rsid w:val="00562069"/>
    <w:rsid w:val="0056265A"/>
    <w:rsid w:val="005657BE"/>
    <w:rsid w:val="005669BE"/>
    <w:rsid w:val="00566D00"/>
    <w:rsid w:val="00567671"/>
    <w:rsid w:val="00572F1C"/>
    <w:rsid w:val="0057651D"/>
    <w:rsid w:val="0058462A"/>
    <w:rsid w:val="00586E7D"/>
    <w:rsid w:val="00590825"/>
    <w:rsid w:val="005A272A"/>
    <w:rsid w:val="005A49EA"/>
    <w:rsid w:val="005A4C88"/>
    <w:rsid w:val="005B0593"/>
    <w:rsid w:val="005B2851"/>
    <w:rsid w:val="005B3E97"/>
    <w:rsid w:val="005B4D8C"/>
    <w:rsid w:val="005B5588"/>
    <w:rsid w:val="005C0945"/>
    <w:rsid w:val="005C1537"/>
    <w:rsid w:val="005C2917"/>
    <w:rsid w:val="005E18C4"/>
    <w:rsid w:val="005F0A2B"/>
    <w:rsid w:val="005F631B"/>
    <w:rsid w:val="00602AF3"/>
    <w:rsid w:val="00610066"/>
    <w:rsid w:val="006123A6"/>
    <w:rsid w:val="00614283"/>
    <w:rsid w:val="00614382"/>
    <w:rsid w:val="00615D67"/>
    <w:rsid w:val="00622D7D"/>
    <w:rsid w:val="00625186"/>
    <w:rsid w:val="00630F0D"/>
    <w:rsid w:val="00634388"/>
    <w:rsid w:val="00636AA5"/>
    <w:rsid w:val="006568BE"/>
    <w:rsid w:val="00671E21"/>
    <w:rsid w:val="006752BB"/>
    <w:rsid w:val="00684382"/>
    <w:rsid w:val="006942F0"/>
    <w:rsid w:val="006966BA"/>
    <w:rsid w:val="006A2C51"/>
    <w:rsid w:val="006A322B"/>
    <w:rsid w:val="006A73FE"/>
    <w:rsid w:val="006A7C18"/>
    <w:rsid w:val="006B1954"/>
    <w:rsid w:val="006B4815"/>
    <w:rsid w:val="006B5166"/>
    <w:rsid w:val="006C54E3"/>
    <w:rsid w:val="006D1B0F"/>
    <w:rsid w:val="006D2325"/>
    <w:rsid w:val="006D39A1"/>
    <w:rsid w:val="006D5B54"/>
    <w:rsid w:val="006D6310"/>
    <w:rsid w:val="006E1002"/>
    <w:rsid w:val="006E30BB"/>
    <w:rsid w:val="006E3BA9"/>
    <w:rsid w:val="006E4DB7"/>
    <w:rsid w:val="006E7CCC"/>
    <w:rsid w:val="006F0911"/>
    <w:rsid w:val="006F19B9"/>
    <w:rsid w:val="006F24EB"/>
    <w:rsid w:val="006F4237"/>
    <w:rsid w:val="00701FE6"/>
    <w:rsid w:val="00704658"/>
    <w:rsid w:val="007046E0"/>
    <w:rsid w:val="00705A5C"/>
    <w:rsid w:val="0070755D"/>
    <w:rsid w:val="007075A3"/>
    <w:rsid w:val="007127C7"/>
    <w:rsid w:val="00716B53"/>
    <w:rsid w:val="00723208"/>
    <w:rsid w:val="00726D6C"/>
    <w:rsid w:val="00727EB3"/>
    <w:rsid w:val="00743EBD"/>
    <w:rsid w:val="007447F6"/>
    <w:rsid w:val="00771AAB"/>
    <w:rsid w:val="007734DA"/>
    <w:rsid w:val="00775D93"/>
    <w:rsid w:val="0077655B"/>
    <w:rsid w:val="00782B72"/>
    <w:rsid w:val="00782CEA"/>
    <w:rsid w:val="0079010C"/>
    <w:rsid w:val="0079104C"/>
    <w:rsid w:val="00792EFD"/>
    <w:rsid w:val="00792F3A"/>
    <w:rsid w:val="00793142"/>
    <w:rsid w:val="00793540"/>
    <w:rsid w:val="0079365B"/>
    <w:rsid w:val="00794E76"/>
    <w:rsid w:val="007953E4"/>
    <w:rsid w:val="007A0569"/>
    <w:rsid w:val="007A2036"/>
    <w:rsid w:val="007A7F84"/>
    <w:rsid w:val="007B3348"/>
    <w:rsid w:val="007C6C72"/>
    <w:rsid w:val="007C775E"/>
    <w:rsid w:val="007D33BA"/>
    <w:rsid w:val="007D7079"/>
    <w:rsid w:val="007E0235"/>
    <w:rsid w:val="007E10D9"/>
    <w:rsid w:val="007E33E8"/>
    <w:rsid w:val="007E61DA"/>
    <w:rsid w:val="007F0B53"/>
    <w:rsid w:val="00802CF2"/>
    <w:rsid w:val="00817C11"/>
    <w:rsid w:val="00820C40"/>
    <w:rsid w:val="00822A4A"/>
    <w:rsid w:val="00826934"/>
    <w:rsid w:val="00830318"/>
    <w:rsid w:val="00832E15"/>
    <w:rsid w:val="00835CBF"/>
    <w:rsid w:val="00856BA9"/>
    <w:rsid w:val="008606ED"/>
    <w:rsid w:val="00863D28"/>
    <w:rsid w:val="00863F8D"/>
    <w:rsid w:val="008643BE"/>
    <w:rsid w:val="008655D4"/>
    <w:rsid w:val="00880CF1"/>
    <w:rsid w:val="008865DF"/>
    <w:rsid w:val="00887487"/>
    <w:rsid w:val="008874D6"/>
    <w:rsid w:val="008878F4"/>
    <w:rsid w:val="00891D6F"/>
    <w:rsid w:val="00896758"/>
    <w:rsid w:val="008A7C50"/>
    <w:rsid w:val="008B491B"/>
    <w:rsid w:val="008B6535"/>
    <w:rsid w:val="008C5D43"/>
    <w:rsid w:val="008D12B5"/>
    <w:rsid w:val="008D5FFF"/>
    <w:rsid w:val="008E2382"/>
    <w:rsid w:val="008E3649"/>
    <w:rsid w:val="008E56CB"/>
    <w:rsid w:val="008F0744"/>
    <w:rsid w:val="008F1559"/>
    <w:rsid w:val="0090041C"/>
    <w:rsid w:val="00901690"/>
    <w:rsid w:val="00901B36"/>
    <w:rsid w:val="00902619"/>
    <w:rsid w:val="00912EF0"/>
    <w:rsid w:val="009144AE"/>
    <w:rsid w:val="009223B6"/>
    <w:rsid w:val="00927114"/>
    <w:rsid w:val="00927593"/>
    <w:rsid w:val="00931323"/>
    <w:rsid w:val="009322F2"/>
    <w:rsid w:val="0093680B"/>
    <w:rsid w:val="00943379"/>
    <w:rsid w:val="00947E50"/>
    <w:rsid w:val="009556A8"/>
    <w:rsid w:val="009624C1"/>
    <w:rsid w:val="00962FBF"/>
    <w:rsid w:val="00964764"/>
    <w:rsid w:val="00964AD2"/>
    <w:rsid w:val="009673E2"/>
    <w:rsid w:val="00967800"/>
    <w:rsid w:val="00977398"/>
    <w:rsid w:val="0098279E"/>
    <w:rsid w:val="00982C6E"/>
    <w:rsid w:val="00986F0F"/>
    <w:rsid w:val="009907AE"/>
    <w:rsid w:val="009A158F"/>
    <w:rsid w:val="009A2E6F"/>
    <w:rsid w:val="009A3316"/>
    <w:rsid w:val="009B2CAC"/>
    <w:rsid w:val="009B30AA"/>
    <w:rsid w:val="009B48D7"/>
    <w:rsid w:val="009C002F"/>
    <w:rsid w:val="009C1ADE"/>
    <w:rsid w:val="009C1EFF"/>
    <w:rsid w:val="009C2768"/>
    <w:rsid w:val="009C69A4"/>
    <w:rsid w:val="009D4B6C"/>
    <w:rsid w:val="009D675E"/>
    <w:rsid w:val="009E410B"/>
    <w:rsid w:val="009F0668"/>
    <w:rsid w:val="009F13C7"/>
    <w:rsid w:val="009F2C33"/>
    <w:rsid w:val="009F403B"/>
    <w:rsid w:val="00A03005"/>
    <w:rsid w:val="00A03B5E"/>
    <w:rsid w:val="00A12FD7"/>
    <w:rsid w:val="00A21AB0"/>
    <w:rsid w:val="00A24759"/>
    <w:rsid w:val="00A25DEA"/>
    <w:rsid w:val="00A32933"/>
    <w:rsid w:val="00A32D90"/>
    <w:rsid w:val="00A3352D"/>
    <w:rsid w:val="00A4010F"/>
    <w:rsid w:val="00A45887"/>
    <w:rsid w:val="00A46BE8"/>
    <w:rsid w:val="00A63EA3"/>
    <w:rsid w:val="00A669A2"/>
    <w:rsid w:val="00A700E8"/>
    <w:rsid w:val="00A726F2"/>
    <w:rsid w:val="00A737EA"/>
    <w:rsid w:val="00A7415E"/>
    <w:rsid w:val="00A76F23"/>
    <w:rsid w:val="00A81214"/>
    <w:rsid w:val="00A8287A"/>
    <w:rsid w:val="00A87399"/>
    <w:rsid w:val="00A95EC9"/>
    <w:rsid w:val="00AA1625"/>
    <w:rsid w:val="00AB1D43"/>
    <w:rsid w:val="00AB1E34"/>
    <w:rsid w:val="00AC3A3D"/>
    <w:rsid w:val="00AC5FB8"/>
    <w:rsid w:val="00AC79AC"/>
    <w:rsid w:val="00AD15A7"/>
    <w:rsid w:val="00AD53C7"/>
    <w:rsid w:val="00AE0018"/>
    <w:rsid w:val="00AE15CC"/>
    <w:rsid w:val="00AE3234"/>
    <w:rsid w:val="00AE3630"/>
    <w:rsid w:val="00AE5B6F"/>
    <w:rsid w:val="00AF0658"/>
    <w:rsid w:val="00AF3CC5"/>
    <w:rsid w:val="00AF5429"/>
    <w:rsid w:val="00AF578E"/>
    <w:rsid w:val="00AF5FA6"/>
    <w:rsid w:val="00B02C1F"/>
    <w:rsid w:val="00B0499E"/>
    <w:rsid w:val="00B13B84"/>
    <w:rsid w:val="00B13D5D"/>
    <w:rsid w:val="00B1662B"/>
    <w:rsid w:val="00B210AD"/>
    <w:rsid w:val="00B25729"/>
    <w:rsid w:val="00B27B52"/>
    <w:rsid w:val="00B329B9"/>
    <w:rsid w:val="00B375C9"/>
    <w:rsid w:val="00B40EB9"/>
    <w:rsid w:val="00B426B5"/>
    <w:rsid w:val="00B47334"/>
    <w:rsid w:val="00B516A7"/>
    <w:rsid w:val="00B517D2"/>
    <w:rsid w:val="00B549DB"/>
    <w:rsid w:val="00B555ED"/>
    <w:rsid w:val="00B5613D"/>
    <w:rsid w:val="00B60827"/>
    <w:rsid w:val="00B66E5D"/>
    <w:rsid w:val="00B80D61"/>
    <w:rsid w:val="00B83107"/>
    <w:rsid w:val="00B90FD9"/>
    <w:rsid w:val="00BA02F4"/>
    <w:rsid w:val="00BA1879"/>
    <w:rsid w:val="00BA3A5D"/>
    <w:rsid w:val="00BA5ED8"/>
    <w:rsid w:val="00BB12E1"/>
    <w:rsid w:val="00BB26ED"/>
    <w:rsid w:val="00BB4635"/>
    <w:rsid w:val="00BB5597"/>
    <w:rsid w:val="00BB62C7"/>
    <w:rsid w:val="00BC3BA4"/>
    <w:rsid w:val="00BC5043"/>
    <w:rsid w:val="00BC5FAA"/>
    <w:rsid w:val="00BD5154"/>
    <w:rsid w:val="00BD684E"/>
    <w:rsid w:val="00BD6EE6"/>
    <w:rsid w:val="00BE06FE"/>
    <w:rsid w:val="00BE6470"/>
    <w:rsid w:val="00BE6CC5"/>
    <w:rsid w:val="00BE7768"/>
    <w:rsid w:val="00BF097C"/>
    <w:rsid w:val="00BF21CD"/>
    <w:rsid w:val="00BF53F5"/>
    <w:rsid w:val="00BF7DDF"/>
    <w:rsid w:val="00C01A29"/>
    <w:rsid w:val="00C07083"/>
    <w:rsid w:val="00C47BA7"/>
    <w:rsid w:val="00C50B5E"/>
    <w:rsid w:val="00C64767"/>
    <w:rsid w:val="00C66006"/>
    <w:rsid w:val="00C73582"/>
    <w:rsid w:val="00C747EF"/>
    <w:rsid w:val="00C77284"/>
    <w:rsid w:val="00CA1BE2"/>
    <w:rsid w:val="00CA2652"/>
    <w:rsid w:val="00CA4DFD"/>
    <w:rsid w:val="00CB0B64"/>
    <w:rsid w:val="00CB4CAB"/>
    <w:rsid w:val="00CB7545"/>
    <w:rsid w:val="00CB7BF1"/>
    <w:rsid w:val="00CC42A8"/>
    <w:rsid w:val="00CD36F9"/>
    <w:rsid w:val="00CE0A6C"/>
    <w:rsid w:val="00CE0FA6"/>
    <w:rsid w:val="00CE124F"/>
    <w:rsid w:val="00CE6A97"/>
    <w:rsid w:val="00CF0977"/>
    <w:rsid w:val="00CF295A"/>
    <w:rsid w:val="00CF37AC"/>
    <w:rsid w:val="00CF4531"/>
    <w:rsid w:val="00D01DF3"/>
    <w:rsid w:val="00D07898"/>
    <w:rsid w:val="00D1604E"/>
    <w:rsid w:val="00D1777E"/>
    <w:rsid w:val="00D20AFF"/>
    <w:rsid w:val="00D30332"/>
    <w:rsid w:val="00D310A0"/>
    <w:rsid w:val="00D33955"/>
    <w:rsid w:val="00D36D98"/>
    <w:rsid w:val="00D418F4"/>
    <w:rsid w:val="00D458DA"/>
    <w:rsid w:val="00D46B8B"/>
    <w:rsid w:val="00D47746"/>
    <w:rsid w:val="00D56F19"/>
    <w:rsid w:val="00D57546"/>
    <w:rsid w:val="00D62060"/>
    <w:rsid w:val="00D665EA"/>
    <w:rsid w:val="00D7034F"/>
    <w:rsid w:val="00D70424"/>
    <w:rsid w:val="00D845F3"/>
    <w:rsid w:val="00D85329"/>
    <w:rsid w:val="00D94250"/>
    <w:rsid w:val="00D97DE4"/>
    <w:rsid w:val="00DB299D"/>
    <w:rsid w:val="00DB4780"/>
    <w:rsid w:val="00DB6F86"/>
    <w:rsid w:val="00DC0F40"/>
    <w:rsid w:val="00DC148E"/>
    <w:rsid w:val="00DC1F04"/>
    <w:rsid w:val="00DC25ED"/>
    <w:rsid w:val="00DC5D5E"/>
    <w:rsid w:val="00DC6603"/>
    <w:rsid w:val="00DC7694"/>
    <w:rsid w:val="00DD1A19"/>
    <w:rsid w:val="00DD6051"/>
    <w:rsid w:val="00DD6BD7"/>
    <w:rsid w:val="00DD78A0"/>
    <w:rsid w:val="00DE0663"/>
    <w:rsid w:val="00DE2D5B"/>
    <w:rsid w:val="00DE2FA8"/>
    <w:rsid w:val="00DE3379"/>
    <w:rsid w:val="00E00644"/>
    <w:rsid w:val="00E048E7"/>
    <w:rsid w:val="00E070E7"/>
    <w:rsid w:val="00E07CAE"/>
    <w:rsid w:val="00E13CC5"/>
    <w:rsid w:val="00E33E50"/>
    <w:rsid w:val="00E41B06"/>
    <w:rsid w:val="00E42B7C"/>
    <w:rsid w:val="00E42BC1"/>
    <w:rsid w:val="00E4614F"/>
    <w:rsid w:val="00E5709C"/>
    <w:rsid w:val="00E573AC"/>
    <w:rsid w:val="00E62CA7"/>
    <w:rsid w:val="00E713AE"/>
    <w:rsid w:val="00E71623"/>
    <w:rsid w:val="00E7301A"/>
    <w:rsid w:val="00E731AA"/>
    <w:rsid w:val="00E74615"/>
    <w:rsid w:val="00E800AC"/>
    <w:rsid w:val="00E8622B"/>
    <w:rsid w:val="00E8754F"/>
    <w:rsid w:val="00E9142D"/>
    <w:rsid w:val="00E926B9"/>
    <w:rsid w:val="00E94490"/>
    <w:rsid w:val="00E95CF4"/>
    <w:rsid w:val="00EB22BC"/>
    <w:rsid w:val="00EC025C"/>
    <w:rsid w:val="00EC5C33"/>
    <w:rsid w:val="00EC7D6E"/>
    <w:rsid w:val="00ED1812"/>
    <w:rsid w:val="00ED19BC"/>
    <w:rsid w:val="00ED711A"/>
    <w:rsid w:val="00EE5F37"/>
    <w:rsid w:val="00EE63A5"/>
    <w:rsid w:val="00EF286C"/>
    <w:rsid w:val="00EF399B"/>
    <w:rsid w:val="00EF4834"/>
    <w:rsid w:val="00EF64E8"/>
    <w:rsid w:val="00F00350"/>
    <w:rsid w:val="00F0074C"/>
    <w:rsid w:val="00F04EF2"/>
    <w:rsid w:val="00F06AB5"/>
    <w:rsid w:val="00F101E4"/>
    <w:rsid w:val="00F10360"/>
    <w:rsid w:val="00F10C25"/>
    <w:rsid w:val="00F12B60"/>
    <w:rsid w:val="00F17486"/>
    <w:rsid w:val="00F17B7F"/>
    <w:rsid w:val="00F21D7D"/>
    <w:rsid w:val="00F238D4"/>
    <w:rsid w:val="00F33B47"/>
    <w:rsid w:val="00F3546E"/>
    <w:rsid w:val="00F355A2"/>
    <w:rsid w:val="00F430FB"/>
    <w:rsid w:val="00F43F1D"/>
    <w:rsid w:val="00F44BD1"/>
    <w:rsid w:val="00F520D3"/>
    <w:rsid w:val="00F608BF"/>
    <w:rsid w:val="00F748A5"/>
    <w:rsid w:val="00F87611"/>
    <w:rsid w:val="00F93DBF"/>
    <w:rsid w:val="00F94C7D"/>
    <w:rsid w:val="00F97385"/>
    <w:rsid w:val="00FA0ECB"/>
    <w:rsid w:val="00FA2673"/>
    <w:rsid w:val="00FA2A14"/>
    <w:rsid w:val="00FA6D91"/>
    <w:rsid w:val="00FA7A32"/>
    <w:rsid w:val="00FA7B21"/>
    <w:rsid w:val="00FB2D89"/>
    <w:rsid w:val="00FC611B"/>
    <w:rsid w:val="00FD1F23"/>
    <w:rsid w:val="00FD4853"/>
    <w:rsid w:val="00FD54B3"/>
    <w:rsid w:val="00FD61C3"/>
    <w:rsid w:val="00FE0D2A"/>
    <w:rsid w:val="00FE26EC"/>
    <w:rsid w:val="00FE3C9E"/>
    <w:rsid w:val="00FE3DCB"/>
    <w:rsid w:val="00FF12EA"/>
    <w:rsid w:val="00FF269A"/>
    <w:rsid w:val="00FF37F5"/>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7EFA"/>
  <w15:chartTrackingRefBased/>
  <w15:docId w15:val="{D16902D6-A7AE-4357-9B8F-E0BC0736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16A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B516A7"/>
    <w:pPr>
      <w:keepNext/>
      <w:keepLines/>
      <w:spacing w:before="480" w:line="276" w:lineRule="auto"/>
      <w:outlineLvl w:val="0"/>
    </w:pPr>
    <w:rPr>
      <w:rFonts w:ascii="Cambria"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16A7"/>
    <w:rPr>
      <w:rFonts w:ascii="Cambria" w:eastAsia="Times New Roman" w:hAnsi="Cambria" w:cs="Times New Roman"/>
      <w:b/>
      <w:bCs/>
      <w:color w:val="365F91"/>
      <w:sz w:val="28"/>
      <w:szCs w:val="28"/>
      <w:lang w:val="lt-LT"/>
    </w:rPr>
  </w:style>
  <w:style w:type="character" w:styleId="Puslapionumeris">
    <w:name w:val="page number"/>
    <w:basedOn w:val="Numatytasispastraiposriftas"/>
    <w:rsid w:val="00B516A7"/>
  </w:style>
  <w:style w:type="paragraph" w:styleId="Antrats">
    <w:name w:val="header"/>
    <w:basedOn w:val="prastasis"/>
    <w:link w:val="AntratsDiagrama"/>
    <w:rsid w:val="00B516A7"/>
    <w:pPr>
      <w:tabs>
        <w:tab w:val="center" w:pos="4320"/>
        <w:tab w:val="right" w:pos="8640"/>
      </w:tabs>
    </w:pPr>
    <w:rPr>
      <w:sz w:val="20"/>
      <w:lang w:val="en-US" w:eastAsia="x-none"/>
    </w:rPr>
  </w:style>
  <w:style w:type="character" w:customStyle="1" w:styleId="AntratsDiagrama">
    <w:name w:val="Antraštės Diagrama"/>
    <w:basedOn w:val="Numatytasispastraiposriftas"/>
    <w:link w:val="Antrats"/>
    <w:uiPriority w:val="99"/>
    <w:rsid w:val="00B516A7"/>
    <w:rPr>
      <w:rFonts w:ascii="Times New Roman" w:eastAsia="Times New Roman" w:hAnsi="Times New Roman" w:cs="Times New Roman"/>
      <w:sz w:val="20"/>
      <w:szCs w:val="20"/>
      <w:lang w:eastAsia="x-none"/>
    </w:rPr>
  </w:style>
  <w:style w:type="paragraph" w:styleId="Porat">
    <w:name w:val="footer"/>
    <w:basedOn w:val="prastasis"/>
    <w:link w:val="PoratDiagrama"/>
    <w:rsid w:val="00B516A7"/>
    <w:pPr>
      <w:tabs>
        <w:tab w:val="center" w:pos="4320"/>
        <w:tab w:val="right" w:pos="8640"/>
      </w:tabs>
    </w:pPr>
    <w:rPr>
      <w:sz w:val="20"/>
      <w:lang w:val="en-US" w:eastAsia="x-none"/>
    </w:rPr>
  </w:style>
  <w:style w:type="character" w:customStyle="1" w:styleId="PoratDiagrama">
    <w:name w:val="Poraštė Diagrama"/>
    <w:basedOn w:val="Numatytasispastraiposriftas"/>
    <w:link w:val="Porat"/>
    <w:rsid w:val="00B516A7"/>
    <w:rPr>
      <w:rFonts w:ascii="Times New Roman" w:eastAsia="Times New Roman" w:hAnsi="Times New Roman" w:cs="Times New Roman"/>
      <w:sz w:val="20"/>
      <w:szCs w:val="20"/>
      <w:lang w:eastAsia="x-none"/>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lets 1"/>
    <w:basedOn w:val="prastasis"/>
    <w:link w:val="SraopastraipaDiagrama"/>
    <w:uiPriority w:val="34"/>
    <w:qFormat/>
    <w:rsid w:val="00B516A7"/>
    <w:pPr>
      <w:ind w:left="720"/>
    </w:pPr>
  </w:style>
  <w:style w:type="character" w:styleId="Komentaronuoroda">
    <w:name w:val="annotation reference"/>
    <w:basedOn w:val="Numatytasispastraiposriftas"/>
    <w:uiPriority w:val="99"/>
    <w:unhideWhenUsed/>
    <w:qFormat/>
    <w:rsid w:val="005657BE"/>
    <w:rPr>
      <w:sz w:val="16"/>
      <w:szCs w:val="16"/>
    </w:rPr>
  </w:style>
  <w:style w:type="paragraph" w:styleId="Komentarotekstas">
    <w:name w:val="annotation text"/>
    <w:basedOn w:val="prastasis"/>
    <w:link w:val="KomentarotekstasDiagrama"/>
    <w:unhideWhenUsed/>
    <w:qFormat/>
    <w:rsid w:val="005657BE"/>
    <w:pPr>
      <w:suppressAutoHyphens/>
    </w:pPr>
    <w:rPr>
      <w:sz w:val="20"/>
      <w:lang w:eastAsia="ar-SA"/>
    </w:rPr>
  </w:style>
  <w:style w:type="character" w:customStyle="1" w:styleId="KomentarotekstasDiagrama">
    <w:name w:val="Komentaro tekstas Diagrama"/>
    <w:basedOn w:val="Numatytasispastraiposriftas"/>
    <w:link w:val="Komentarotekstas"/>
    <w:qFormat/>
    <w:rsid w:val="005657BE"/>
    <w:rPr>
      <w:rFonts w:ascii="Times New Roman" w:eastAsia="Times New Roman" w:hAnsi="Times New Roman" w:cs="Times New Roman"/>
      <w:sz w:val="20"/>
      <w:szCs w:val="20"/>
      <w:lang w:val="lt-LT" w:eastAsia="ar-SA"/>
    </w:rPr>
  </w:style>
  <w:style w:type="paragraph" w:styleId="Debesliotekstas">
    <w:name w:val="Balloon Text"/>
    <w:basedOn w:val="prastasis"/>
    <w:link w:val="DebesliotekstasDiagrama"/>
    <w:uiPriority w:val="99"/>
    <w:semiHidden/>
    <w:unhideWhenUsed/>
    <w:rsid w:val="005657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57BE"/>
    <w:rPr>
      <w:rFonts w:ascii="Segoe UI" w:eastAsia="Times New Roman" w:hAnsi="Segoe UI" w:cs="Segoe UI"/>
      <w:sz w:val="18"/>
      <w:szCs w:val="18"/>
      <w:lang w:val="lt-LT"/>
    </w:rPr>
  </w:style>
  <w:style w:type="paragraph" w:styleId="Komentarotema">
    <w:name w:val="annotation subject"/>
    <w:basedOn w:val="Komentarotekstas"/>
    <w:next w:val="Komentarotekstas"/>
    <w:link w:val="KomentarotemaDiagrama"/>
    <w:uiPriority w:val="99"/>
    <w:semiHidden/>
    <w:unhideWhenUsed/>
    <w:rsid w:val="008E56CB"/>
    <w:pPr>
      <w:suppressAutoHyphens w:val="0"/>
    </w:pPr>
    <w:rPr>
      <w:b/>
      <w:bCs/>
      <w:lang w:eastAsia="en-US"/>
    </w:rPr>
  </w:style>
  <w:style w:type="character" w:customStyle="1" w:styleId="KomentarotemaDiagrama">
    <w:name w:val="Komentaro tema Diagrama"/>
    <w:basedOn w:val="KomentarotekstasDiagrama"/>
    <w:link w:val="Komentarotema"/>
    <w:uiPriority w:val="99"/>
    <w:semiHidden/>
    <w:rsid w:val="008E56CB"/>
    <w:rPr>
      <w:rFonts w:ascii="Times New Roman" w:eastAsia="Times New Roman" w:hAnsi="Times New Roman" w:cs="Times New Roman"/>
      <w:b/>
      <w:bCs/>
      <w:sz w:val="20"/>
      <w:szCs w:val="20"/>
      <w:lang w:val="lt-LT" w:eastAsia="ar-SA"/>
    </w:rPr>
  </w:style>
  <w:style w:type="paragraph" w:customStyle="1" w:styleId="Pagrindinistekstas1">
    <w:name w:val="Pagrindinis tekstas1"/>
    <w:basedOn w:val="prastasis"/>
    <w:rsid w:val="00470BA3"/>
    <w:pPr>
      <w:suppressAutoHyphens/>
      <w:autoSpaceDE w:val="0"/>
      <w:autoSpaceDN w:val="0"/>
      <w:adjustRightInd w:val="0"/>
      <w:spacing w:line="297" w:lineRule="auto"/>
      <w:ind w:firstLine="312"/>
      <w:jc w:val="both"/>
    </w:pPr>
    <w:rPr>
      <w:color w:val="000000"/>
      <w:sz w:val="20"/>
      <w:lang w:val="en-US" w:eastAsia="lt-LT"/>
    </w:rPr>
  </w:style>
  <w:style w:type="paragraph" w:customStyle="1" w:styleId="tactin">
    <w:name w:val="tactin"/>
    <w:basedOn w:val="prastasis"/>
    <w:rsid w:val="00CD36F9"/>
    <w:pPr>
      <w:spacing w:after="150"/>
    </w:pPr>
    <w:rPr>
      <w:szCs w:val="24"/>
      <w:lang w:eastAsia="lt-LT"/>
    </w:rPr>
  </w:style>
  <w:style w:type="paragraph" w:styleId="Betarp">
    <w:name w:val="No Spacing"/>
    <w:uiPriority w:val="1"/>
    <w:qFormat/>
    <w:rsid w:val="00CA4DFD"/>
    <w:pPr>
      <w:spacing w:after="0" w:line="240" w:lineRule="auto"/>
    </w:pPr>
    <w:rPr>
      <w:rFonts w:ascii="Times New Roman" w:eastAsia="Times New Roman" w:hAnsi="Times New Roman" w:cs="Times New Roman"/>
      <w:sz w:val="24"/>
      <w:szCs w:val="20"/>
      <w:lang w:val="lt-LT"/>
    </w:rPr>
  </w:style>
  <w:style w:type="character" w:styleId="Hipersaitas">
    <w:name w:val="Hyperlink"/>
    <w:rsid w:val="00BD6EE6"/>
    <w:rPr>
      <w:color w:val="0000FF"/>
      <w:u w:val="single"/>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locked/>
    <w:rsid w:val="00BD6EE6"/>
    <w:rPr>
      <w:rFonts w:ascii="Times New Roman" w:eastAsia="Times New Roman" w:hAnsi="Times New Roman" w:cs="Times New Roman"/>
      <w:sz w:val="24"/>
      <w:szCs w:val="20"/>
      <w:lang w:val="lt-LT"/>
    </w:rPr>
  </w:style>
  <w:style w:type="character" w:styleId="Perirtashipersaitas">
    <w:name w:val="FollowedHyperlink"/>
    <w:basedOn w:val="Numatytasispastraiposriftas"/>
    <w:uiPriority w:val="99"/>
    <w:semiHidden/>
    <w:unhideWhenUsed/>
    <w:rsid w:val="00BD6EE6"/>
    <w:rPr>
      <w:color w:val="954F72" w:themeColor="followedHyperlink"/>
      <w:u w:val="single"/>
    </w:rPr>
  </w:style>
  <w:style w:type="paragraph" w:styleId="Pavadinimas">
    <w:name w:val="Title"/>
    <w:basedOn w:val="prastasis"/>
    <w:link w:val="PavadinimasDiagrama"/>
    <w:uiPriority w:val="10"/>
    <w:qFormat/>
    <w:rsid w:val="009B30AA"/>
    <w:pPr>
      <w:overflowPunct w:val="0"/>
      <w:autoSpaceDE w:val="0"/>
      <w:autoSpaceDN w:val="0"/>
      <w:adjustRightInd w:val="0"/>
      <w:jc w:val="center"/>
      <w:textAlignment w:val="baseline"/>
    </w:pPr>
    <w:rPr>
      <w:b/>
      <w:color w:val="000000"/>
      <w:lang w:val="en-GB"/>
    </w:rPr>
  </w:style>
  <w:style w:type="character" w:customStyle="1" w:styleId="PavadinimasDiagrama">
    <w:name w:val="Pavadinimas Diagrama"/>
    <w:basedOn w:val="Numatytasispastraiposriftas"/>
    <w:link w:val="Pavadinimas"/>
    <w:uiPriority w:val="10"/>
    <w:rsid w:val="009B30AA"/>
    <w:rPr>
      <w:rFonts w:ascii="Times New Roman" w:eastAsia="Times New Roman" w:hAnsi="Times New Roman" w:cs="Times New Roman"/>
      <w:b/>
      <w:color w:val="000000"/>
      <w:sz w:val="24"/>
      <w:szCs w:val="20"/>
      <w:lang w:val="en-GB"/>
    </w:rPr>
  </w:style>
  <w:style w:type="paragraph" w:styleId="Pagrindinistekstas">
    <w:name w:val="Body Text"/>
    <w:basedOn w:val="prastasis"/>
    <w:link w:val="PagrindinistekstasDiagrama"/>
    <w:rsid w:val="000E4D2F"/>
  </w:style>
  <w:style w:type="character" w:customStyle="1" w:styleId="PagrindinistekstasDiagrama">
    <w:name w:val="Pagrindinis tekstas Diagrama"/>
    <w:basedOn w:val="Numatytasispastraiposriftas"/>
    <w:link w:val="Pagrindinistekstas"/>
    <w:rsid w:val="000E4D2F"/>
    <w:rPr>
      <w:rFonts w:ascii="Times New Roman" w:eastAsia="Times New Roman" w:hAnsi="Times New Roman" w:cs="Times New Roman"/>
      <w:sz w:val="24"/>
      <w:szCs w:val="20"/>
      <w:lang w:val="lt-LT"/>
    </w:rPr>
  </w:style>
  <w:style w:type="paragraph" w:styleId="Puslapioinaostekstas">
    <w:name w:val="footnote text"/>
    <w:basedOn w:val="prastasis"/>
    <w:link w:val="PuslapioinaostekstasDiagrama"/>
    <w:uiPriority w:val="99"/>
    <w:rsid w:val="00AE15CC"/>
    <w:rPr>
      <w:rFonts w:ascii="Arial" w:eastAsia="Calibri" w:hAnsi="Arial"/>
      <w:sz w:val="20"/>
      <w:lang w:eastAsia="lt-LT"/>
    </w:rPr>
  </w:style>
  <w:style w:type="character" w:customStyle="1" w:styleId="PuslapioinaostekstasDiagrama">
    <w:name w:val="Puslapio išnašos tekstas Diagrama"/>
    <w:basedOn w:val="Numatytasispastraiposriftas"/>
    <w:link w:val="Puslapioinaostekstas"/>
    <w:uiPriority w:val="99"/>
    <w:rsid w:val="00AE15CC"/>
    <w:rPr>
      <w:rFonts w:ascii="Arial" w:eastAsia="Calibri" w:hAnsi="Arial" w:cs="Times New Roman"/>
      <w:sz w:val="20"/>
      <w:szCs w:val="20"/>
      <w:lang w:val="lt-LT" w:eastAsia="lt-LT"/>
    </w:rPr>
  </w:style>
  <w:style w:type="character" w:styleId="Puslapioinaosnuoroda">
    <w:name w:val="footnote reference"/>
    <w:uiPriority w:val="99"/>
    <w:rsid w:val="00AE15CC"/>
    <w:rPr>
      <w:rFonts w:cs="Times New Roman"/>
      <w:vertAlign w:val="superscript"/>
    </w:rPr>
  </w:style>
  <w:style w:type="paragraph" w:customStyle="1" w:styleId="tajtip">
    <w:name w:val="tajtip"/>
    <w:basedOn w:val="prastasis"/>
    <w:rsid w:val="00326101"/>
    <w:pPr>
      <w:spacing w:after="150"/>
    </w:pPr>
    <w:rPr>
      <w:szCs w:val="24"/>
      <w:lang w:eastAsia="lt-LT"/>
    </w:rPr>
  </w:style>
  <w:style w:type="paragraph" w:customStyle="1" w:styleId="Default">
    <w:name w:val="Default"/>
    <w:rsid w:val="000D6ACE"/>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14288C"/>
    <w:pPr>
      <w:spacing w:after="0" w:line="240" w:lineRule="auto"/>
    </w:pPr>
    <w:rPr>
      <w:rFonts w:ascii="Times New Roman" w:eastAsia="Times New Roman" w:hAnsi="Times New Roman" w:cs="Times New Roman"/>
      <w:sz w:val="24"/>
      <w:szCs w:val="20"/>
      <w:lang w:val="lt-LT"/>
    </w:rPr>
  </w:style>
  <w:style w:type="paragraph" w:styleId="Paprastasistekstas">
    <w:name w:val="Plain Text"/>
    <w:basedOn w:val="prastasis"/>
    <w:link w:val="PaprastasistekstasDiagrama"/>
    <w:uiPriority w:val="99"/>
    <w:unhideWhenUsed/>
    <w:rsid w:val="006E30BB"/>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6E30BB"/>
    <w:rPr>
      <w:rFonts w:ascii="Calibri" w:hAnsi="Calibri"/>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5941">
      <w:bodyDiv w:val="1"/>
      <w:marLeft w:val="0"/>
      <w:marRight w:val="0"/>
      <w:marTop w:val="0"/>
      <w:marBottom w:val="0"/>
      <w:divBdr>
        <w:top w:val="none" w:sz="0" w:space="0" w:color="auto"/>
        <w:left w:val="none" w:sz="0" w:space="0" w:color="auto"/>
        <w:bottom w:val="none" w:sz="0" w:space="0" w:color="auto"/>
        <w:right w:val="none" w:sz="0" w:space="0" w:color="auto"/>
      </w:divBdr>
    </w:div>
    <w:div w:id="344132748">
      <w:bodyDiv w:val="1"/>
      <w:marLeft w:val="0"/>
      <w:marRight w:val="0"/>
      <w:marTop w:val="0"/>
      <w:marBottom w:val="0"/>
      <w:divBdr>
        <w:top w:val="none" w:sz="0" w:space="0" w:color="auto"/>
        <w:left w:val="none" w:sz="0" w:space="0" w:color="auto"/>
        <w:bottom w:val="none" w:sz="0" w:space="0" w:color="auto"/>
        <w:right w:val="none" w:sz="0" w:space="0" w:color="auto"/>
      </w:divBdr>
    </w:div>
    <w:div w:id="426972609">
      <w:bodyDiv w:val="1"/>
      <w:marLeft w:val="0"/>
      <w:marRight w:val="0"/>
      <w:marTop w:val="0"/>
      <w:marBottom w:val="0"/>
      <w:divBdr>
        <w:top w:val="none" w:sz="0" w:space="0" w:color="auto"/>
        <w:left w:val="none" w:sz="0" w:space="0" w:color="auto"/>
        <w:bottom w:val="none" w:sz="0" w:space="0" w:color="auto"/>
        <w:right w:val="none" w:sz="0" w:space="0" w:color="auto"/>
      </w:divBdr>
    </w:div>
    <w:div w:id="525093803">
      <w:bodyDiv w:val="1"/>
      <w:marLeft w:val="0"/>
      <w:marRight w:val="0"/>
      <w:marTop w:val="0"/>
      <w:marBottom w:val="0"/>
      <w:divBdr>
        <w:top w:val="none" w:sz="0" w:space="0" w:color="auto"/>
        <w:left w:val="none" w:sz="0" w:space="0" w:color="auto"/>
        <w:bottom w:val="none" w:sz="0" w:space="0" w:color="auto"/>
        <w:right w:val="none" w:sz="0" w:space="0" w:color="auto"/>
      </w:divBdr>
      <w:divsChild>
        <w:div w:id="1719275558">
          <w:marLeft w:val="0"/>
          <w:marRight w:val="0"/>
          <w:marTop w:val="0"/>
          <w:marBottom w:val="0"/>
          <w:divBdr>
            <w:top w:val="none" w:sz="0" w:space="0" w:color="auto"/>
            <w:left w:val="none" w:sz="0" w:space="0" w:color="auto"/>
            <w:bottom w:val="none" w:sz="0" w:space="0" w:color="auto"/>
            <w:right w:val="none" w:sz="0" w:space="0" w:color="auto"/>
          </w:divBdr>
          <w:divsChild>
            <w:div w:id="561454031">
              <w:marLeft w:val="0"/>
              <w:marRight w:val="0"/>
              <w:marTop w:val="0"/>
              <w:marBottom w:val="0"/>
              <w:divBdr>
                <w:top w:val="none" w:sz="0" w:space="0" w:color="auto"/>
                <w:left w:val="none" w:sz="0" w:space="0" w:color="auto"/>
                <w:bottom w:val="none" w:sz="0" w:space="0" w:color="auto"/>
                <w:right w:val="none" w:sz="0" w:space="0" w:color="auto"/>
              </w:divBdr>
              <w:divsChild>
                <w:div w:id="406540665">
                  <w:marLeft w:val="0"/>
                  <w:marRight w:val="0"/>
                  <w:marTop w:val="0"/>
                  <w:marBottom w:val="0"/>
                  <w:divBdr>
                    <w:top w:val="none" w:sz="0" w:space="0" w:color="auto"/>
                    <w:left w:val="none" w:sz="0" w:space="0" w:color="auto"/>
                    <w:bottom w:val="none" w:sz="0" w:space="0" w:color="auto"/>
                    <w:right w:val="none" w:sz="0" w:space="0" w:color="auto"/>
                  </w:divBdr>
                  <w:divsChild>
                    <w:div w:id="1169255701">
                      <w:marLeft w:val="0"/>
                      <w:marRight w:val="0"/>
                      <w:marTop w:val="0"/>
                      <w:marBottom w:val="0"/>
                      <w:divBdr>
                        <w:top w:val="none" w:sz="0" w:space="0" w:color="auto"/>
                        <w:left w:val="none" w:sz="0" w:space="0" w:color="auto"/>
                        <w:bottom w:val="none" w:sz="0" w:space="0" w:color="auto"/>
                        <w:right w:val="none" w:sz="0" w:space="0" w:color="auto"/>
                      </w:divBdr>
                    </w:div>
                    <w:div w:id="1730106199">
                      <w:marLeft w:val="0"/>
                      <w:marRight w:val="0"/>
                      <w:marTop w:val="0"/>
                      <w:marBottom w:val="0"/>
                      <w:divBdr>
                        <w:top w:val="none" w:sz="0" w:space="0" w:color="auto"/>
                        <w:left w:val="none" w:sz="0" w:space="0" w:color="auto"/>
                        <w:bottom w:val="none" w:sz="0" w:space="0" w:color="auto"/>
                        <w:right w:val="none" w:sz="0" w:space="0" w:color="auto"/>
                      </w:divBdr>
                    </w:div>
                    <w:div w:id="1373769412">
                      <w:marLeft w:val="0"/>
                      <w:marRight w:val="0"/>
                      <w:marTop w:val="0"/>
                      <w:marBottom w:val="0"/>
                      <w:divBdr>
                        <w:top w:val="none" w:sz="0" w:space="0" w:color="auto"/>
                        <w:left w:val="none" w:sz="0" w:space="0" w:color="auto"/>
                        <w:bottom w:val="none" w:sz="0" w:space="0" w:color="auto"/>
                        <w:right w:val="none" w:sz="0" w:space="0" w:color="auto"/>
                      </w:divBdr>
                    </w:div>
                    <w:div w:id="1888643593">
                      <w:marLeft w:val="0"/>
                      <w:marRight w:val="0"/>
                      <w:marTop w:val="0"/>
                      <w:marBottom w:val="0"/>
                      <w:divBdr>
                        <w:top w:val="none" w:sz="0" w:space="0" w:color="auto"/>
                        <w:left w:val="none" w:sz="0" w:space="0" w:color="auto"/>
                        <w:bottom w:val="none" w:sz="0" w:space="0" w:color="auto"/>
                        <w:right w:val="none" w:sz="0" w:space="0" w:color="auto"/>
                      </w:divBdr>
                    </w:div>
                    <w:div w:id="3195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79003">
      <w:bodyDiv w:val="1"/>
      <w:marLeft w:val="0"/>
      <w:marRight w:val="0"/>
      <w:marTop w:val="0"/>
      <w:marBottom w:val="0"/>
      <w:divBdr>
        <w:top w:val="none" w:sz="0" w:space="0" w:color="auto"/>
        <w:left w:val="none" w:sz="0" w:space="0" w:color="auto"/>
        <w:bottom w:val="none" w:sz="0" w:space="0" w:color="auto"/>
        <w:right w:val="none" w:sz="0" w:space="0" w:color="auto"/>
      </w:divBdr>
      <w:divsChild>
        <w:div w:id="1653829194">
          <w:marLeft w:val="0"/>
          <w:marRight w:val="0"/>
          <w:marTop w:val="0"/>
          <w:marBottom w:val="0"/>
          <w:divBdr>
            <w:top w:val="none" w:sz="0" w:space="0" w:color="auto"/>
            <w:left w:val="none" w:sz="0" w:space="0" w:color="auto"/>
            <w:bottom w:val="none" w:sz="0" w:space="0" w:color="auto"/>
            <w:right w:val="none" w:sz="0" w:space="0" w:color="auto"/>
          </w:divBdr>
          <w:divsChild>
            <w:div w:id="1101612259">
              <w:marLeft w:val="0"/>
              <w:marRight w:val="0"/>
              <w:marTop w:val="0"/>
              <w:marBottom w:val="0"/>
              <w:divBdr>
                <w:top w:val="none" w:sz="0" w:space="0" w:color="auto"/>
                <w:left w:val="none" w:sz="0" w:space="0" w:color="auto"/>
                <w:bottom w:val="none" w:sz="0" w:space="0" w:color="auto"/>
                <w:right w:val="none" w:sz="0" w:space="0" w:color="auto"/>
              </w:divBdr>
              <w:divsChild>
                <w:div w:id="950281744">
                  <w:marLeft w:val="0"/>
                  <w:marRight w:val="0"/>
                  <w:marTop w:val="0"/>
                  <w:marBottom w:val="0"/>
                  <w:divBdr>
                    <w:top w:val="none" w:sz="0" w:space="0" w:color="auto"/>
                    <w:left w:val="none" w:sz="0" w:space="0" w:color="auto"/>
                    <w:bottom w:val="none" w:sz="0" w:space="0" w:color="auto"/>
                    <w:right w:val="none" w:sz="0" w:space="0" w:color="auto"/>
                  </w:divBdr>
                  <w:divsChild>
                    <w:div w:id="1558515174">
                      <w:marLeft w:val="0"/>
                      <w:marRight w:val="0"/>
                      <w:marTop w:val="0"/>
                      <w:marBottom w:val="0"/>
                      <w:divBdr>
                        <w:top w:val="none" w:sz="0" w:space="0" w:color="auto"/>
                        <w:left w:val="none" w:sz="0" w:space="0" w:color="auto"/>
                        <w:bottom w:val="none" w:sz="0" w:space="0" w:color="auto"/>
                        <w:right w:val="none" w:sz="0" w:space="0" w:color="auto"/>
                      </w:divBdr>
                      <w:divsChild>
                        <w:div w:id="13944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413264">
      <w:bodyDiv w:val="1"/>
      <w:marLeft w:val="0"/>
      <w:marRight w:val="0"/>
      <w:marTop w:val="0"/>
      <w:marBottom w:val="0"/>
      <w:divBdr>
        <w:top w:val="none" w:sz="0" w:space="0" w:color="auto"/>
        <w:left w:val="none" w:sz="0" w:space="0" w:color="auto"/>
        <w:bottom w:val="none" w:sz="0" w:space="0" w:color="auto"/>
        <w:right w:val="none" w:sz="0" w:space="0" w:color="auto"/>
      </w:divBdr>
    </w:div>
    <w:div w:id="1295064647">
      <w:bodyDiv w:val="1"/>
      <w:marLeft w:val="0"/>
      <w:marRight w:val="0"/>
      <w:marTop w:val="0"/>
      <w:marBottom w:val="0"/>
      <w:divBdr>
        <w:top w:val="none" w:sz="0" w:space="0" w:color="auto"/>
        <w:left w:val="none" w:sz="0" w:space="0" w:color="auto"/>
        <w:bottom w:val="none" w:sz="0" w:space="0" w:color="auto"/>
        <w:right w:val="none" w:sz="0" w:space="0" w:color="auto"/>
      </w:divBdr>
    </w:div>
    <w:div w:id="1382752893">
      <w:bodyDiv w:val="1"/>
      <w:marLeft w:val="0"/>
      <w:marRight w:val="0"/>
      <w:marTop w:val="0"/>
      <w:marBottom w:val="0"/>
      <w:divBdr>
        <w:top w:val="none" w:sz="0" w:space="0" w:color="auto"/>
        <w:left w:val="none" w:sz="0" w:space="0" w:color="auto"/>
        <w:bottom w:val="none" w:sz="0" w:space="0" w:color="auto"/>
        <w:right w:val="none" w:sz="0" w:space="0" w:color="auto"/>
      </w:divBdr>
    </w:div>
    <w:div w:id="1540169248">
      <w:bodyDiv w:val="1"/>
      <w:marLeft w:val="0"/>
      <w:marRight w:val="0"/>
      <w:marTop w:val="0"/>
      <w:marBottom w:val="0"/>
      <w:divBdr>
        <w:top w:val="none" w:sz="0" w:space="0" w:color="auto"/>
        <w:left w:val="none" w:sz="0" w:space="0" w:color="auto"/>
        <w:bottom w:val="none" w:sz="0" w:space="0" w:color="auto"/>
        <w:right w:val="none" w:sz="0" w:space="0" w:color="auto"/>
      </w:divBdr>
    </w:div>
    <w:div w:id="1559852940">
      <w:bodyDiv w:val="1"/>
      <w:marLeft w:val="0"/>
      <w:marRight w:val="0"/>
      <w:marTop w:val="0"/>
      <w:marBottom w:val="0"/>
      <w:divBdr>
        <w:top w:val="none" w:sz="0" w:space="0" w:color="auto"/>
        <w:left w:val="none" w:sz="0" w:space="0" w:color="auto"/>
        <w:bottom w:val="none" w:sz="0" w:space="0" w:color="auto"/>
        <w:right w:val="none" w:sz="0" w:space="0" w:color="auto"/>
      </w:divBdr>
    </w:div>
    <w:div w:id="1594122540">
      <w:bodyDiv w:val="1"/>
      <w:marLeft w:val="0"/>
      <w:marRight w:val="0"/>
      <w:marTop w:val="0"/>
      <w:marBottom w:val="0"/>
      <w:divBdr>
        <w:top w:val="none" w:sz="0" w:space="0" w:color="auto"/>
        <w:left w:val="none" w:sz="0" w:space="0" w:color="auto"/>
        <w:bottom w:val="none" w:sz="0" w:space="0" w:color="auto"/>
        <w:right w:val="none" w:sz="0" w:space="0" w:color="auto"/>
      </w:divBdr>
    </w:div>
    <w:div w:id="1751468535">
      <w:bodyDiv w:val="1"/>
      <w:marLeft w:val="0"/>
      <w:marRight w:val="0"/>
      <w:marTop w:val="0"/>
      <w:marBottom w:val="0"/>
      <w:divBdr>
        <w:top w:val="none" w:sz="0" w:space="0" w:color="auto"/>
        <w:left w:val="none" w:sz="0" w:space="0" w:color="auto"/>
        <w:bottom w:val="none" w:sz="0" w:space="0" w:color="auto"/>
        <w:right w:val="none" w:sz="0" w:space="0" w:color="auto"/>
      </w:divBdr>
    </w:div>
    <w:div w:id="21147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07BD3-87A9-4141-B825-9A4BABC9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6445</Words>
  <Characters>36743</Characters>
  <Application>Microsoft Office Word</Application>
  <DocSecurity>0</DocSecurity>
  <Lines>306</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URM</Company>
  <LinksUpToDate>false</LinksUpToDate>
  <CharactersWithSpaces>43102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Samuolytė</dc:creator>
  <cp:keywords/>
  <dc:description/>
  <cp:lastModifiedBy>Elina Petrauskaitė</cp:lastModifiedBy>
  <cp:revision>3</cp:revision>
  <cp:lastPrinted>2020-10-08T06:30:00Z</cp:lastPrinted>
  <dcterms:created xsi:type="dcterms:W3CDTF">2021-07-16T11:48:00Z</dcterms:created>
  <dcterms:modified xsi:type="dcterms:W3CDTF">2021-07-16T11:48:00Z</dcterms:modified>
</cp:coreProperties>
</file>