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A398" w14:textId="77777777" w:rsidR="003948B1" w:rsidRDefault="008435B5">
      <w:pPr>
        <w:pStyle w:val="Adresas"/>
      </w:pPr>
      <w:r>
        <w:t>Lietuvos Respublikos susisiekimo ministerijai                 2021-05-       Nr.</w:t>
      </w:r>
    </w:p>
    <w:p w14:paraId="2F7AA399" w14:textId="77777777" w:rsidR="003948B1" w:rsidRDefault="008435B5">
      <w:pPr>
        <w:tabs>
          <w:tab w:val="left" w:pos="709"/>
          <w:tab w:val="left" w:pos="993"/>
          <w:tab w:val="left" w:pos="1134"/>
        </w:tabs>
        <w:jc w:val="both"/>
        <w:textAlignment w:val="top"/>
      </w:pPr>
      <w:r>
        <w:t xml:space="preserve">                                                                                           Į 2021-04-28 Nr. 2-1763    </w:t>
      </w:r>
    </w:p>
    <w:p w14:paraId="2F7AA39A" w14:textId="77777777" w:rsidR="003948B1" w:rsidRDefault="008435B5">
      <w:pPr>
        <w:tabs>
          <w:tab w:val="left" w:pos="709"/>
          <w:tab w:val="left" w:pos="993"/>
          <w:tab w:val="left" w:pos="1134"/>
        </w:tabs>
        <w:jc w:val="both"/>
        <w:textAlignment w:val="top"/>
      </w:pPr>
      <w:r>
        <w:t xml:space="preserve">     </w:t>
      </w:r>
    </w:p>
    <w:p w14:paraId="2F7AA39B" w14:textId="77777777" w:rsidR="003948B1" w:rsidRDefault="003948B1">
      <w:pPr>
        <w:tabs>
          <w:tab w:val="left" w:pos="709"/>
          <w:tab w:val="left" w:pos="993"/>
          <w:tab w:val="left" w:pos="1134"/>
        </w:tabs>
        <w:jc w:val="both"/>
        <w:textAlignment w:val="top"/>
      </w:pPr>
    </w:p>
    <w:p w14:paraId="2F7AA39C" w14:textId="77777777" w:rsidR="003948B1" w:rsidRDefault="008435B5">
      <w:pPr>
        <w:tabs>
          <w:tab w:val="left" w:pos="709"/>
          <w:tab w:val="left" w:pos="851"/>
        </w:tabs>
        <w:suppressAutoHyphens w:val="0"/>
        <w:spacing w:beforeAutospacing="1" w:afterAutospacing="1" w:line="216" w:lineRule="auto"/>
        <w:jc w:val="both"/>
        <w:rPr>
          <w:b/>
          <w:caps/>
        </w:rPr>
      </w:pPr>
      <w:r>
        <w:rPr>
          <w:b/>
          <w:caps/>
        </w:rPr>
        <w:t xml:space="preserve">DĖL IŠVADOS Pateikimo </w:t>
      </w:r>
    </w:p>
    <w:p w14:paraId="2F7AA39D" w14:textId="77777777" w:rsidR="003948B1" w:rsidRDefault="008435B5">
      <w:pPr>
        <w:tabs>
          <w:tab w:val="left" w:pos="739"/>
        </w:tabs>
        <w:jc w:val="both"/>
      </w:pPr>
      <w:r>
        <w:t xml:space="preserve"> </w:t>
      </w:r>
      <w:r>
        <w:tab/>
      </w:r>
      <w:r>
        <w:rPr>
          <w:color w:val="000000"/>
          <w:spacing w:val="2"/>
        </w:rPr>
        <w:t xml:space="preserve">Lietuvos Respublikos teisingumo ministerija, pagal kompetenciją išnagrinėjusi </w:t>
      </w:r>
      <w:hyperlink r:id="rId9">
        <w:r>
          <w:rPr>
            <w:rStyle w:val="Hipersaitas"/>
            <w:bCs/>
            <w:color w:val="2A6099"/>
            <w:spacing w:val="2"/>
          </w:rPr>
          <w:t>Lietuvos Respublikos žemės paėmimo visuomenės poreikiams įgyvendinant ypatingos valstybinės svarbos projektus įstatymo Nr. XI-1307 (toliau – Paėmimo įstatymas) 2, 4, 5, 6, 7, 8, 10, 13</w:t>
        </w:r>
        <w:r>
          <w:rPr>
            <w:rStyle w:val="Hipersaitas"/>
            <w:bCs/>
            <w:color w:val="2A6099"/>
            <w:spacing w:val="2"/>
          </w:rPr>
          <w:t xml:space="preserve"> ir 14 straipsnių ir V skyriaus pakeitimo įstatymo projektą</w:t>
        </w:r>
      </w:hyperlink>
      <w:r>
        <w:rPr>
          <w:bCs/>
          <w:color w:val="000000"/>
          <w:spacing w:val="2"/>
        </w:rPr>
        <w:t xml:space="preserve"> (toliau – Įstatymo projektas)</w:t>
      </w:r>
      <w:r>
        <w:rPr>
          <w:color w:val="000000"/>
          <w:spacing w:val="2"/>
        </w:rPr>
        <w:t xml:space="preserve">, </w:t>
      </w:r>
      <w:r>
        <w:rPr>
          <w:bCs/>
          <w:color w:val="000000"/>
          <w:spacing w:val="2"/>
        </w:rPr>
        <w:t xml:space="preserve">Lietuvos Respublikos </w:t>
      </w:r>
      <w:r>
        <w:rPr>
          <w:color w:val="000000"/>
          <w:spacing w:val="2"/>
        </w:rPr>
        <w:t xml:space="preserve">žemės įstatymo Nr. I-446 (toliau – ŽĮ) 7, 9 ir </w:t>
      </w:r>
      <w:r w:rsidRPr="008435B5">
        <w:rPr>
          <w:color w:val="000000"/>
          <w:spacing w:val="2"/>
          <w:rPrChange w:id="0" w:author="Jurgita Jakavičiūtė" w:date="2021-05-07T13:18:00Z">
            <w:rPr>
              <w:color w:val="000000"/>
              <w:spacing w:val="2"/>
              <w:lang w:val="en-US"/>
            </w:rPr>
          </w:rPrChange>
        </w:rPr>
        <w:t>47</w:t>
      </w:r>
      <w:r>
        <w:rPr>
          <w:color w:val="000000"/>
          <w:spacing w:val="2"/>
        </w:rPr>
        <w:t xml:space="preserve"> straipsnių pakeitimo įstatymo projektą (toliau – ŽĮ projektas), </w:t>
      </w:r>
      <w:r>
        <w:rPr>
          <w:bCs/>
          <w:color w:val="000000"/>
          <w:spacing w:val="2"/>
        </w:rPr>
        <w:t>Lietuvos Respublikos žemės gel</w:t>
      </w:r>
      <w:r>
        <w:rPr>
          <w:bCs/>
          <w:color w:val="000000"/>
          <w:spacing w:val="2"/>
        </w:rPr>
        <w:t>mių įstatymo Nr. I-1034 11 straipsnio pakeitimo įstatymo projektą</w:t>
      </w:r>
      <w:r>
        <w:rPr>
          <w:color w:val="000000"/>
          <w:spacing w:val="2"/>
        </w:rPr>
        <w:t xml:space="preserve">, </w:t>
      </w:r>
      <w:r>
        <w:rPr>
          <w:bCs/>
          <w:color w:val="000000"/>
          <w:spacing w:val="2"/>
        </w:rPr>
        <w:t xml:space="preserve">Lietuvos Respublikos statybos įstatymo Nr. I-1240 24 straipsnio pakeitimo įstatymo projektą, </w:t>
      </w:r>
      <w:r>
        <w:rPr>
          <w:color w:val="000000"/>
          <w:spacing w:val="2"/>
        </w:rPr>
        <w:t xml:space="preserve">Lietuvos Respublikos geležinkelių transporto kodekso 9 ir </w:t>
      </w:r>
      <w:r w:rsidRPr="008435B5">
        <w:rPr>
          <w:bCs/>
          <w:color w:val="000000"/>
          <w:spacing w:val="2"/>
          <w:rPrChange w:id="1" w:author="Jurgita Jakavičiūtė" w:date="2021-05-07T13:18:00Z">
            <w:rPr>
              <w:bCs/>
              <w:color w:val="000000"/>
              <w:spacing w:val="2"/>
              <w:lang w:val="en-US"/>
            </w:rPr>
          </w:rPrChange>
        </w:rPr>
        <w:t>23</w:t>
      </w:r>
      <w:r w:rsidRPr="008435B5">
        <w:rPr>
          <w:bCs/>
          <w:color w:val="000000"/>
          <w:spacing w:val="2"/>
          <w:vertAlign w:val="superscript"/>
          <w:rPrChange w:id="2" w:author="Jurgita Jakavičiūtė" w:date="2021-05-07T13:18:00Z">
            <w:rPr>
              <w:bCs/>
              <w:color w:val="000000"/>
              <w:spacing w:val="2"/>
              <w:vertAlign w:val="superscript"/>
              <w:lang w:val="en-US"/>
            </w:rPr>
          </w:rPrChange>
        </w:rPr>
        <w:t>1</w:t>
      </w:r>
      <w:r>
        <w:rPr>
          <w:color w:val="000000"/>
          <w:spacing w:val="2"/>
        </w:rPr>
        <w:t xml:space="preserve"> straipsnių pakeitimo įstatymo proj</w:t>
      </w:r>
      <w:r>
        <w:rPr>
          <w:color w:val="000000"/>
          <w:spacing w:val="2"/>
        </w:rPr>
        <w:t>ektą, Lietuvos Respublikos gyventojų pajamų mokesčio įstatymo Nr. IX-1007 17 straipsnio pa</w:t>
      </w:r>
      <w:r>
        <w:rPr>
          <w:bCs/>
          <w:color w:val="000000"/>
          <w:spacing w:val="2"/>
        </w:rPr>
        <w:t xml:space="preserve">keitimo įstatymo projektą (toliau – GPMĮ projektas) ir </w:t>
      </w:r>
      <w:r>
        <w:rPr>
          <w:color w:val="000000"/>
          <w:spacing w:val="2"/>
        </w:rPr>
        <w:t xml:space="preserve">Lietuvos Respublikos pelno mokesčio įstatymo </w:t>
      </w:r>
      <w:r>
        <w:rPr>
          <w:color w:val="000000"/>
          <w:spacing w:val="20"/>
        </w:rPr>
        <w:t>N</w:t>
      </w:r>
      <w:r>
        <w:rPr>
          <w:color w:val="000000"/>
          <w:spacing w:val="2"/>
        </w:rPr>
        <w:t xml:space="preserve">r. IX-675 12 straipsnio pakeitimo įstatymo </w:t>
      </w:r>
      <w:r>
        <w:rPr>
          <w:bCs/>
          <w:color w:val="000000"/>
          <w:spacing w:val="2"/>
        </w:rPr>
        <w:t>projektą (toliau – PMĮ</w:t>
      </w:r>
      <w:r>
        <w:rPr>
          <w:bCs/>
          <w:color w:val="000000"/>
          <w:spacing w:val="2"/>
        </w:rPr>
        <w:t xml:space="preserve"> projektas),</w:t>
      </w:r>
      <w:r>
        <w:rPr>
          <w:color w:val="000000"/>
          <w:spacing w:val="2"/>
        </w:rPr>
        <w:t xml:space="preserve"> teikia pastabas ir pasiūlymus.</w:t>
      </w:r>
    </w:p>
    <w:p w14:paraId="2F7AA39E" w14:textId="77777777" w:rsidR="003948B1" w:rsidRDefault="008435B5">
      <w:pPr>
        <w:numPr>
          <w:ilvl w:val="0"/>
          <w:numId w:val="2"/>
        </w:numPr>
        <w:tabs>
          <w:tab w:val="left" w:pos="739"/>
          <w:tab w:val="left" w:pos="1075"/>
        </w:tabs>
        <w:ind w:left="0" w:firstLine="794"/>
        <w:jc w:val="both"/>
      </w:pPr>
      <w:r>
        <w:rPr>
          <w:color w:val="000000"/>
          <w:spacing w:val="2"/>
        </w:rPr>
        <w:t>Įstatymo projekte dėstomame Paėmimo įstatymo 4 str. 5 d. siūlytina atsisakyti trumpinio „ir kt.“, kuris stokoja teisinio apibrėžtumo (siūlytina bendriau apibrėžti šioje dalyje siekiamų įvardyti kitų veiksmų/situa</w:t>
      </w:r>
      <w:r>
        <w:rPr>
          <w:color w:val="000000"/>
          <w:spacing w:val="2"/>
        </w:rPr>
        <w:t xml:space="preserve">cijų ratą, nurodant jų požymius). </w:t>
      </w:r>
    </w:p>
    <w:p w14:paraId="2F7AA39F" w14:textId="77777777" w:rsidR="003948B1" w:rsidRDefault="008435B5">
      <w:pPr>
        <w:numPr>
          <w:ilvl w:val="0"/>
          <w:numId w:val="2"/>
        </w:numPr>
        <w:tabs>
          <w:tab w:val="left" w:pos="739"/>
          <w:tab w:val="left" w:pos="1075"/>
        </w:tabs>
        <w:ind w:left="0" w:firstLine="794"/>
        <w:jc w:val="both"/>
      </w:pPr>
      <w:r>
        <w:rPr>
          <w:color w:val="000000"/>
          <w:spacing w:val="2"/>
        </w:rPr>
        <w:t>Įstatymo projekto 11 str. 3 d. siūlytina vietoj „straipsniu dėstomą“ įrašyti „straipsnyje dėstomą“, o dėstant nuorodas reikėtų laikytis straipsnių eiliškumo. Dėl Įstatymo projekto 11 str. 3 d. teikiamos nuorodos į Paėmimo</w:t>
      </w:r>
      <w:r>
        <w:rPr>
          <w:color w:val="000000"/>
          <w:spacing w:val="2"/>
        </w:rPr>
        <w:t xml:space="preserve"> įstatymo 4 str. 6 d. pastebėtina, kad dėstomoje Paėmimo įstatymo 4 str. 6 d. nėra nuostatų dėl statybinių tyrinėjimų, todėl siūlytina peržiūrėti šios nuorodos tinkamumą.  </w:t>
      </w:r>
    </w:p>
    <w:p w14:paraId="2F7AA3A0" w14:textId="77777777" w:rsidR="003948B1" w:rsidRDefault="008435B5">
      <w:pPr>
        <w:numPr>
          <w:ilvl w:val="0"/>
          <w:numId w:val="2"/>
        </w:numPr>
        <w:tabs>
          <w:tab w:val="left" w:pos="739"/>
          <w:tab w:val="left" w:pos="1075"/>
        </w:tabs>
        <w:ind w:left="0" w:firstLine="794"/>
        <w:jc w:val="both"/>
      </w:pPr>
      <w:r>
        <w:rPr>
          <w:color w:val="000000"/>
          <w:spacing w:val="2"/>
        </w:rPr>
        <w:t>Atkreiptinas dėmesys į galimą poreikį papildomai suvienodinti Paėmimo įstatymo ir Ž</w:t>
      </w:r>
      <w:r>
        <w:rPr>
          <w:color w:val="000000"/>
          <w:spacing w:val="2"/>
        </w:rPr>
        <w:t xml:space="preserve">Į įstatymo (atitinkamai tobulinti Įstatymo projektą ir ŽĮ projektą) nuostatas. O būtent,  </w:t>
      </w:r>
      <w:r>
        <w:rPr>
          <w:i/>
          <w:color w:val="000000"/>
        </w:rPr>
        <w:t xml:space="preserve">pirma, </w:t>
      </w:r>
      <w:r>
        <w:rPr>
          <w:color w:val="000000"/>
        </w:rPr>
        <w:t xml:space="preserve">ŽĮ 47 str. 1 d. numatyta galimybė žemės savininko rašytiniu sutikimu jam </w:t>
      </w:r>
      <w:r>
        <w:rPr>
          <w:i/>
          <w:color w:val="000000"/>
        </w:rPr>
        <w:t>suteikti valstybinės žemės sklypą</w:t>
      </w:r>
      <w:r>
        <w:rPr>
          <w:color w:val="000000"/>
        </w:rPr>
        <w:t>, kuris ribojasi su paimamu visuomenės poreikiams žem</w:t>
      </w:r>
      <w:r>
        <w:rPr>
          <w:color w:val="000000"/>
        </w:rPr>
        <w:t xml:space="preserve">ės sklypu, tačiau Įstatymo projekte dėstomame Paėmimo įstatymo 13 str. tokia galimybė nenumatyta, </w:t>
      </w:r>
      <w:r>
        <w:rPr>
          <w:i/>
          <w:iCs/>
          <w:color w:val="000000"/>
        </w:rPr>
        <w:t xml:space="preserve">antra, </w:t>
      </w:r>
      <w:r>
        <w:rPr>
          <w:iCs/>
          <w:color w:val="000000"/>
        </w:rPr>
        <w:t xml:space="preserve">Įstatymo projekte </w:t>
      </w:r>
      <w:r>
        <w:rPr>
          <w:color w:val="000000"/>
        </w:rPr>
        <w:t>dėstomame Paėmimo įstatymo 13 str. numatyta galimybė ž</w:t>
      </w:r>
      <w:r>
        <w:rPr>
          <w:rFonts w:ascii="Times New Roman;serif" w:hAnsi="Times New Roman;serif"/>
          <w:color w:val="000000"/>
        </w:rPr>
        <w:t xml:space="preserve">emės savininkui ir (ar) kitam naudotojui atlyginti nuostolius, patirtus </w:t>
      </w:r>
      <w:r>
        <w:rPr>
          <w:rFonts w:ascii="Times New Roman;serif" w:hAnsi="Times New Roman;serif"/>
          <w:i/>
          <w:color w:val="000000"/>
        </w:rPr>
        <w:t>atlieka</w:t>
      </w:r>
      <w:r>
        <w:rPr>
          <w:rFonts w:ascii="Times New Roman;serif" w:hAnsi="Times New Roman;serif"/>
          <w:i/>
          <w:color w:val="000000"/>
        </w:rPr>
        <w:t>nt statybinius tyrimus</w:t>
      </w:r>
      <w:r>
        <w:rPr>
          <w:rFonts w:ascii="Times New Roman;serif" w:hAnsi="Times New Roman;serif"/>
          <w:color w:val="000000"/>
        </w:rPr>
        <w:t>, tačiau tokios galimybės ŽĮ 47 str. nenumato.</w:t>
      </w:r>
    </w:p>
    <w:p w14:paraId="2F7AA3A1" w14:textId="77777777" w:rsidR="003948B1" w:rsidRDefault="008435B5">
      <w:pPr>
        <w:numPr>
          <w:ilvl w:val="0"/>
          <w:numId w:val="2"/>
        </w:numPr>
        <w:tabs>
          <w:tab w:val="left" w:pos="739"/>
          <w:tab w:val="left" w:pos="1075"/>
        </w:tabs>
        <w:ind w:left="0" w:firstLine="794"/>
        <w:jc w:val="both"/>
      </w:pPr>
      <w:r>
        <w:rPr>
          <w:rFonts w:ascii="Times New Roman;serif" w:hAnsi="Times New Roman;serif"/>
          <w:color w:val="000000"/>
        </w:rPr>
        <w:t xml:space="preserve">Atkreiptinas dėmesys į tai, kad ŽĮ projekte dėstomame ŽĮ 7 str. 2 d. 3 p. siūlomi pakeitimai skirti konkrečiam, tik tam tikroje srityje veikiančiam subjektui </w:t>
      </w:r>
      <w:r>
        <w:rPr>
          <w:rFonts w:ascii="Symbol" w:eastAsia="Symbol" w:hAnsi="Symbol" w:cs="Symbol"/>
          <w:color w:val="000000"/>
        </w:rPr>
        <w:t></w:t>
      </w:r>
      <w:r>
        <w:rPr>
          <w:rFonts w:ascii="Times New Roman;serif" w:hAnsi="Times New Roman;serif"/>
          <w:color w:val="000000"/>
        </w:rPr>
        <w:t xml:space="preserve"> viešosios geležinkelių infrastruktūros valdytojui, nors ypatingos valstybinės svarbos projektu g</w:t>
      </w:r>
      <w:r>
        <w:rPr>
          <w:rFonts w:ascii="Times New Roman;serif" w:hAnsi="Times New Roman;serif"/>
          <w:color w:val="000000"/>
        </w:rPr>
        <w:t>ali būti pripažįstami ir energetikos infrastruktūros, transporto infrastruktūros ar krašto apsaugos sričių projektai. Siūlytina papildomai įvertinti ar, siekiant teisinio reguliavimo sistemiškumo, nebūtų poreikio dėstomame ŽĮ 7 str. 2 d. 3 p. išskirti ir k</w:t>
      </w:r>
      <w:r>
        <w:rPr>
          <w:rFonts w:ascii="Times New Roman;serif" w:hAnsi="Times New Roman;serif"/>
          <w:color w:val="000000"/>
        </w:rPr>
        <w:t>itose minėtose srityse veikiančius subjektus, jeigu jiems taip pat būtų tikslinga tokia pačia tvarka perduoti patikėjimo teise valdyti valstybinės žemės sklypus. Be kita ko, pastebėtina, kad pagal siūlomą įtvirtinti teisinį reguliavimą viešosios geležinkel</w:t>
      </w:r>
      <w:r>
        <w:rPr>
          <w:rFonts w:ascii="Times New Roman;serif" w:hAnsi="Times New Roman;serif"/>
          <w:color w:val="000000"/>
        </w:rPr>
        <w:t xml:space="preserve">ių infrastruktūros valdytojui, priešingai nei ŽĮ 7 str. 3 d. nurodytiems subjektams, nebūtų taikomi ŽĮ 7 str. 5 d. nurodyti </w:t>
      </w:r>
      <w:r>
        <w:rPr>
          <w:rFonts w:ascii="Times New Roman;serif" w:hAnsi="Times New Roman;serif"/>
          <w:color w:val="000000"/>
        </w:rPr>
        <w:lastRenderedPageBreak/>
        <w:t xml:space="preserve">apribojimai parduoti ar kitaip perleisti, išnuomoti, perduoti panaudos pagrindais ar perduoti naudotis kitu būdu, įkeisti ar kitaip </w:t>
      </w:r>
      <w:r>
        <w:rPr>
          <w:rFonts w:ascii="Times New Roman;serif" w:hAnsi="Times New Roman;serif"/>
          <w:color w:val="000000"/>
        </w:rPr>
        <w:t>suvaržyti daiktinių teisių į patikėjimo teise valdomus valstybinės žemės sklypus, jais garantuoti, laiduoti ar kitu būdu užtikrinti savo ir kitų asmenų prievolių įvykdymą. Siūlytina papildomai įvertinti poreikį tam tikrus iš išvardintų ribojimų nustatyti i</w:t>
      </w:r>
      <w:r>
        <w:rPr>
          <w:rFonts w:ascii="Times New Roman;serif" w:hAnsi="Times New Roman;serif"/>
          <w:color w:val="000000"/>
        </w:rPr>
        <w:t>r minėtam subjektui (viešosios geležinkelių infrastruktūros valdytojui) ir kitiems subjektams, jeigu jų ratas būtų plečiamas, patikėjimo teise valdant valstybinės žemės sklypus.</w:t>
      </w:r>
    </w:p>
    <w:p w14:paraId="2F7AA3A2" w14:textId="77777777" w:rsidR="003948B1" w:rsidRDefault="008435B5">
      <w:pPr>
        <w:numPr>
          <w:ilvl w:val="0"/>
          <w:numId w:val="2"/>
        </w:numPr>
        <w:tabs>
          <w:tab w:val="left" w:pos="739"/>
          <w:tab w:val="left" w:pos="1075"/>
        </w:tabs>
        <w:ind w:left="0" w:firstLine="794"/>
        <w:jc w:val="both"/>
      </w:pPr>
      <w:r>
        <w:rPr>
          <w:rFonts w:ascii="Times New Roman;serif" w:hAnsi="Times New Roman;serif"/>
          <w:color w:val="000000"/>
        </w:rPr>
        <w:t xml:space="preserve">Taip pat siūlytina lydimojoje medžiagoje pagrįsti, dėl kokių priežasčių </w:t>
      </w:r>
      <w:r>
        <w:rPr>
          <w:rFonts w:ascii="Times New Roman;serif" w:hAnsi="Times New Roman;serif"/>
          <w:color w:val="000000"/>
          <w:spacing w:val="2"/>
        </w:rPr>
        <w:t>GPMĮ p</w:t>
      </w:r>
      <w:r>
        <w:rPr>
          <w:rFonts w:ascii="Times New Roman;serif" w:hAnsi="Times New Roman;serif"/>
          <w:color w:val="000000"/>
          <w:spacing w:val="2"/>
        </w:rPr>
        <w:t xml:space="preserve">rojekte ir PMĮ projekte numatoma šių projektų įsigaliojimo data – </w:t>
      </w:r>
      <w:r>
        <w:rPr>
          <w:color w:val="000000"/>
          <w:spacing w:val="2"/>
          <w:lang w:eastAsia="lt-LT"/>
        </w:rPr>
        <w:t xml:space="preserve">2022 m. kovo 1 d. (pastebėtina, kad Įstatymo projekto numatoma įsigaliojimo data – 2021 m. rugsėjo 1 d.). Manytina, kad šios datos turėtų būti suvienodinamos, nes </w:t>
      </w:r>
      <w:r>
        <w:rPr>
          <w:rFonts w:ascii="Times New Roman;serif" w:hAnsi="Times New Roman;serif"/>
          <w:color w:val="000000"/>
          <w:spacing w:val="2"/>
          <w:lang w:eastAsia="lt-LT"/>
        </w:rPr>
        <w:t>GPMĮ projekto ir PMĮ projek</w:t>
      </w:r>
      <w:r>
        <w:rPr>
          <w:rFonts w:ascii="Times New Roman;serif" w:hAnsi="Times New Roman;serif"/>
          <w:color w:val="000000"/>
          <w:spacing w:val="2"/>
          <w:lang w:eastAsia="lt-LT"/>
        </w:rPr>
        <w:t>to nuostatos skirtos Įstatymo projekto nuostatoms įgyvendinti.</w:t>
      </w:r>
    </w:p>
    <w:p w14:paraId="2F7AA3A3" w14:textId="77777777" w:rsidR="003948B1" w:rsidRDefault="008435B5">
      <w:pPr>
        <w:numPr>
          <w:ilvl w:val="0"/>
          <w:numId w:val="2"/>
        </w:numPr>
        <w:tabs>
          <w:tab w:val="left" w:pos="739"/>
          <w:tab w:val="left" w:pos="1075"/>
        </w:tabs>
        <w:ind w:left="0" w:firstLine="794"/>
        <w:jc w:val="both"/>
      </w:pPr>
      <w:r>
        <w:rPr>
          <w:rFonts w:ascii="Times New Roman;serif" w:hAnsi="Times New Roman;serif"/>
          <w:color w:val="000000"/>
          <w:spacing w:val="2"/>
          <w:lang w:eastAsia="lt-LT"/>
        </w:rPr>
        <w:t xml:space="preserve">Siūlytina papildomai įvertinti ir Įstatymo projekto tobulinimo galimybę, atsižvelgiant į Seimo kanceliarijos Teisės departamento pastabas, teiktas dėl įstatymo projekto Nr. XIVP-50: </w:t>
      </w:r>
      <w:r>
        <w:rPr>
          <w:rFonts w:ascii="Times New Roman;serif" w:hAnsi="Times New Roman;serif"/>
          <w:color w:val="000000"/>
          <w:spacing w:val="2"/>
          <w:lang w:eastAsia="lt-LT"/>
        </w:rPr>
        <w:tab/>
        <w:t xml:space="preserve">1) „&lt;...&gt; </w:t>
      </w:r>
      <w:r>
        <w:rPr>
          <w:rFonts w:ascii="Times New Roman;serif" w:hAnsi="Times New Roman;serif"/>
          <w:color w:val="000000"/>
          <w:spacing w:val="2"/>
          <w:lang w:eastAsia="lt-LT"/>
        </w:rPr>
        <w:t xml:space="preserve">keičiamo įstatymo 13 straipsnio 4 dalies pirmajame sakinyje paimamo visuomenės poreikiams turto </w:t>
      </w:r>
      <w:r>
        <w:rPr>
          <w:rFonts w:ascii="Times New Roman;serif" w:hAnsi="Times New Roman;serif"/>
          <w:i/>
          <w:iCs/>
          <w:color w:val="000000"/>
          <w:spacing w:val="2"/>
          <w:lang w:eastAsia="lt-LT"/>
        </w:rPr>
        <w:t>vertės</w:t>
      </w:r>
      <w:r>
        <w:rPr>
          <w:rFonts w:ascii="Times New Roman;serif" w:hAnsi="Times New Roman;serif"/>
          <w:color w:val="000000"/>
          <w:spacing w:val="2"/>
          <w:lang w:eastAsia="lt-LT"/>
        </w:rPr>
        <w:t xml:space="preserve"> ir su turto paėmimu susijusių </w:t>
      </w:r>
      <w:r>
        <w:rPr>
          <w:rFonts w:ascii="Times New Roman;serif" w:hAnsi="Times New Roman;serif"/>
          <w:i/>
          <w:iCs/>
          <w:color w:val="000000"/>
          <w:spacing w:val="2"/>
          <w:lang w:eastAsia="lt-LT"/>
        </w:rPr>
        <w:t>nuostolių dydžio</w:t>
      </w:r>
      <w:r>
        <w:rPr>
          <w:rFonts w:ascii="Times New Roman;serif" w:hAnsi="Times New Roman;serif"/>
          <w:color w:val="000000"/>
          <w:spacing w:val="2"/>
          <w:lang w:eastAsia="lt-LT"/>
        </w:rPr>
        <w:t xml:space="preserve"> apskaičiavimas yra </w:t>
      </w:r>
      <w:r>
        <w:rPr>
          <w:rFonts w:ascii="Times New Roman;serif" w:hAnsi="Times New Roman;serif"/>
          <w:i/>
          <w:iCs/>
          <w:color w:val="000000"/>
          <w:spacing w:val="2"/>
          <w:lang w:eastAsia="lt-LT"/>
        </w:rPr>
        <w:t>išskirtas</w:t>
      </w:r>
      <w:r>
        <w:rPr>
          <w:rFonts w:ascii="Times New Roman;serif" w:hAnsi="Times New Roman;serif"/>
          <w:color w:val="000000"/>
          <w:spacing w:val="2"/>
          <w:lang w:eastAsia="lt-LT"/>
        </w:rPr>
        <w:t>. Todėl, svarstytina, ar, siekiant teisinio reguliavimo nuoseklumo, projektu k</w:t>
      </w:r>
      <w:r>
        <w:rPr>
          <w:rFonts w:ascii="Times New Roman;serif" w:hAnsi="Times New Roman;serif"/>
          <w:color w:val="000000"/>
          <w:spacing w:val="2"/>
          <w:lang w:eastAsia="lt-LT"/>
        </w:rPr>
        <w:t xml:space="preserve">eičiamo įstatymo 13 straipsnio 4 dalies antrajame sakinyje turėtų reglamentuojamas ne nuostolių dydžio apskaičiavimas atkuriamąja verte, bet paimamų visuomenės poreikiams gyvenamosios paskirties pastatų vertės apskaičiavimas atkuriamąja verte“; </w:t>
      </w:r>
    </w:p>
    <w:p w14:paraId="2F7AA3A4" w14:textId="77777777" w:rsidR="003948B1" w:rsidRDefault="008435B5">
      <w:pPr>
        <w:tabs>
          <w:tab w:val="left" w:pos="739"/>
          <w:tab w:val="left" w:pos="1075"/>
        </w:tabs>
        <w:jc w:val="both"/>
        <w:rPr>
          <w:rFonts w:ascii="Times New Roman;serif" w:hAnsi="Times New Roman;serif" w:hint="eastAsia"/>
          <w:color w:val="000000"/>
          <w:spacing w:val="2"/>
          <w:lang w:eastAsia="lt-LT"/>
        </w:rPr>
      </w:pPr>
      <w:r>
        <w:rPr>
          <w:rFonts w:ascii="Times New Roman;serif" w:hAnsi="Times New Roman;serif"/>
          <w:color w:val="000000"/>
          <w:spacing w:val="2"/>
          <w:lang w:eastAsia="lt-LT"/>
        </w:rPr>
        <w:tab/>
        <w:t>2) „&lt;...&gt;</w:t>
      </w:r>
      <w:r>
        <w:rPr>
          <w:rFonts w:ascii="Times New Roman;serif" w:hAnsi="Times New Roman;serif"/>
          <w:color w:val="000000"/>
          <w:spacing w:val="2"/>
          <w:lang w:eastAsia="lt-LT"/>
        </w:rPr>
        <w:t xml:space="preserve"> Finansų ministro 2012 m. balandžio 27 d. įsakymo Nr. 1K-159 ,,Dėl turto ir verslo vertinimo metodikos patvirtinimo” patvirtintos Turto ir verslo vertinimo metodikos 54.2 punkte nustatyta, kad vienas iš vertinant turtą taikomų </w:t>
      </w:r>
      <w:r>
        <w:rPr>
          <w:rFonts w:ascii="Times New Roman;serif" w:hAnsi="Times New Roman;serif"/>
          <w:i/>
          <w:iCs/>
          <w:color w:val="000000"/>
          <w:spacing w:val="2"/>
          <w:lang w:eastAsia="lt-LT"/>
        </w:rPr>
        <w:t>metodų yra</w:t>
      </w:r>
      <w:bookmarkStart w:id="3" w:name="part_5ea2a1c11b93408b9cc5fe8f98922c33"/>
      <w:bookmarkStart w:id="4" w:name="part_e624e84728534d8283c375833ec06e39"/>
      <w:bookmarkEnd w:id="3"/>
      <w:bookmarkEnd w:id="4"/>
      <w:r>
        <w:rPr>
          <w:rFonts w:ascii="Times New Roman;serif" w:hAnsi="Times New Roman;serif"/>
          <w:i/>
          <w:iCs/>
          <w:color w:val="000000"/>
          <w:spacing w:val="2"/>
          <w:lang w:eastAsia="lt-LT"/>
        </w:rPr>
        <w:t> išlaidų (kaštų) me</w:t>
      </w:r>
      <w:r>
        <w:rPr>
          <w:rFonts w:ascii="Times New Roman;serif" w:hAnsi="Times New Roman;serif"/>
          <w:i/>
          <w:iCs/>
          <w:color w:val="000000"/>
          <w:spacing w:val="2"/>
          <w:lang w:eastAsia="lt-LT"/>
        </w:rPr>
        <w:t>todas</w:t>
      </w:r>
      <w:r>
        <w:rPr>
          <w:rFonts w:ascii="Times New Roman;serif" w:hAnsi="Times New Roman;serif"/>
          <w:color w:val="000000"/>
          <w:spacing w:val="2"/>
          <w:lang w:eastAsia="lt-LT"/>
        </w:rPr>
        <w:t>. Pastarosios metodikos 64 punkte įtvirtinta, kad išlaidų (kaštų) metodu nustatoma atkuriamoji turto vertė, o 66 punkte nustatyta, kad išlaidų (kaštų) metodas taikomas apskaičiuojant specialios paskirties ar retai rinkoje parduodamų objektų vertę, kai</w:t>
      </w:r>
      <w:r>
        <w:rPr>
          <w:rFonts w:ascii="Times New Roman;serif" w:hAnsi="Times New Roman;serif"/>
          <w:color w:val="000000"/>
          <w:spacing w:val="2"/>
          <w:lang w:eastAsia="lt-LT"/>
        </w:rPr>
        <w:t xml:space="preserve"> lyginamuoju metodu ar pajamų metodu turto rinkos vertės nustatyti neįmanoma. Atsižvelgiant į tai, kas aukščiau išdėstyta, svarstytina, ar projekte neturėtų būti </w:t>
      </w:r>
      <w:r>
        <w:rPr>
          <w:rFonts w:ascii="Times New Roman;serif" w:hAnsi="Times New Roman;serif"/>
          <w:i/>
          <w:iCs/>
          <w:color w:val="000000"/>
          <w:spacing w:val="2"/>
          <w:lang w:eastAsia="lt-LT"/>
        </w:rPr>
        <w:t>aiškiai nurodytas metodas</w:t>
      </w:r>
      <w:r>
        <w:rPr>
          <w:rFonts w:ascii="Times New Roman;serif" w:hAnsi="Times New Roman;serif"/>
          <w:color w:val="000000"/>
          <w:spacing w:val="2"/>
          <w:lang w:eastAsia="lt-LT"/>
        </w:rPr>
        <w:t>, kuriuo būtų vertinama visuomenės poreikiams paimamų gyvenamosios pa</w:t>
      </w:r>
      <w:r>
        <w:rPr>
          <w:rFonts w:ascii="Times New Roman;serif" w:hAnsi="Times New Roman;serif"/>
          <w:color w:val="000000"/>
          <w:spacing w:val="2"/>
          <w:lang w:eastAsia="lt-LT"/>
        </w:rPr>
        <w:t>skirties pastatų vertė.“</w:t>
      </w:r>
    </w:p>
    <w:p w14:paraId="2F7AA3A5" w14:textId="77777777" w:rsidR="003948B1" w:rsidRDefault="008435B5">
      <w:pPr>
        <w:tabs>
          <w:tab w:val="left" w:pos="739"/>
          <w:tab w:val="left" w:pos="1075"/>
        </w:tabs>
        <w:jc w:val="both"/>
        <w:rPr>
          <w:rFonts w:ascii="Times New Roman;serif" w:hAnsi="Times New Roman;serif" w:hint="eastAsia"/>
          <w:color w:val="000000"/>
          <w:spacing w:val="2"/>
          <w:lang w:eastAsia="lt-LT"/>
        </w:rPr>
      </w:pPr>
      <w:r>
        <w:rPr>
          <w:rFonts w:ascii="Times New Roman;serif" w:hAnsi="Times New Roman;serif"/>
          <w:color w:val="000000"/>
          <w:spacing w:val="2"/>
          <w:lang w:eastAsia="lt-LT"/>
        </w:rPr>
        <w:tab/>
        <w:t>7. Kartu siūlytina Įstatymo projektu keičiamą Paėmimo įstatymą patikslinti šiais teisės technikos aspektais: Įstatymo projektu keičiamoje Paėmimo įstatymo 6 str. 3 d. siūlytina nuorodą į šio įstatymo 6 str. 2 d. 1</w:t>
      </w:r>
      <w:r>
        <w:rPr>
          <w:rFonts w:ascii="Symbol" w:eastAsia="Symbol" w:hAnsi="Symbol" w:cs="Symbol"/>
          <w:color w:val="000000"/>
          <w:spacing w:val="2"/>
          <w:lang w:eastAsia="lt-LT"/>
        </w:rPr>
        <w:t></w:t>
      </w:r>
      <w:r>
        <w:rPr>
          <w:rFonts w:ascii="Times New Roman;serif" w:hAnsi="Times New Roman;serif"/>
          <w:color w:val="000000"/>
          <w:spacing w:val="2"/>
          <w:lang w:eastAsia="lt-LT"/>
        </w:rPr>
        <w:t>6 p. pakeisti nu</w:t>
      </w:r>
      <w:r>
        <w:rPr>
          <w:rFonts w:ascii="Times New Roman;serif" w:hAnsi="Times New Roman;serif"/>
          <w:color w:val="000000"/>
          <w:spacing w:val="2"/>
          <w:lang w:eastAsia="lt-LT"/>
        </w:rPr>
        <w:t>oroda į „šio straipsnio 2 dalį“; Įstatymo projektu keičiamo Paėmimo įstatymo 13 str. 4 d. atsisakyti Lietuvos Respublikos turto ir verslo vertinimo pagrindų įstatymo trumpinio; Įstatymo projektu daromą Paėmimo įstatymo 14 str. keitimą išdėstyti taip: „Papi</w:t>
      </w:r>
      <w:r>
        <w:rPr>
          <w:rFonts w:ascii="Times New Roman;serif" w:hAnsi="Times New Roman;serif"/>
          <w:color w:val="000000"/>
          <w:spacing w:val="2"/>
          <w:lang w:eastAsia="lt-LT"/>
        </w:rPr>
        <w:t>ldyti 14 straipsnį 2 dalimi ir visą straipsnį išdėstyti taip:“ (pagal Teisės aktų projektų rengimo rekomendacijų, patvirtintų Lietuvos Respublikos teisingumo ministro 2013 m. gruodžio 23 d. įsakymu Nr. 1R-298, 89.4 p. reikalavimus).</w:t>
      </w:r>
    </w:p>
    <w:p w14:paraId="2F7AA3A6" w14:textId="77777777" w:rsidR="003948B1" w:rsidRDefault="003948B1">
      <w:pPr>
        <w:tabs>
          <w:tab w:val="left" w:pos="739"/>
          <w:tab w:val="left" w:pos="1075"/>
        </w:tabs>
        <w:jc w:val="both"/>
      </w:pPr>
    </w:p>
    <w:p w14:paraId="2F7AA3A7" w14:textId="77777777" w:rsidR="003948B1" w:rsidRDefault="003948B1">
      <w:pPr>
        <w:tabs>
          <w:tab w:val="left" w:pos="739"/>
          <w:tab w:val="left" w:pos="1075"/>
        </w:tabs>
        <w:spacing w:line="276" w:lineRule="auto"/>
        <w:ind w:left="1459"/>
        <w:jc w:val="both"/>
        <w:rPr>
          <w:rFonts w:ascii="Times New Roman;serif" w:hAnsi="Times New Roman;serif" w:hint="eastAsia"/>
          <w:color w:val="000000"/>
          <w:spacing w:val="2"/>
          <w:lang w:eastAsia="lt-LT"/>
        </w:rPr>
      </w:pPr>
    </w:p>
    <w:p w14:paraId="2F7AA3A8" w14:textId="77777777" w:rsidR="003948B1" w:rsidRDefault="003948B1">
      <w:pPr>
        <w:tabs>
          <w:tab w:val="left" w:pos="720"/>
          <w:tab w:val="left" w:pos="1260"/>
        </w:tabs>
        <w:spacing w:line="276" w:lineRule="auto"/>
        <w:ind w:firstLine="720"/>
        <w:jc w:val="both"/>
        <w:rPr>
          <w:rFonts w:ascii="Times New (W1)" w:hAnsi="Times New (W1)" w:hint="eastAsia"/>
          <w:lang w:eastAsia="lt-LT"/>
        </w:rPr>
      </w:pPr>
    </w:p>
    <w:p w14:paraId="2F7AA3A9" w14:textId="77777777" w:rsidR="003948B1" w:rsidRDefault="008435B5">
      <w:pPr>
        <w:tabs>
          <w:tab w:val="right" w:pos="9638"/>
        </w:tabs>
        <w:jc w:val="both"/>
        <w:textAlignment w:val="top"/>
        <w:rPr>
          <w:sz w:val="20"/>
          <w:szCs w:val="20"/>
        </w:rPr>
      </w:pPr>
      <w:r>
        <w:rPr>
          <w:color w:val="000000"/>
          <w:szCs w:val="20"/>
        </w:rPr>
        <w:t xml:space="preserve">Teisingumo </w:t>
      </w:r>
      <w:r>
        <w:rPr>
          <w:color w:val="000000"/>
          <w:szCs w:val="20"/>
        </w:rPr>
        <w:t xml:space="preserve">ministrė                                                                                           Evelina </w:t>
      </w:r>
      <w:proofErr w:type="spellStart"/>
      <w:r>
        <w:rPr>
          <w:color w:val="000000"/>
          <w:szCs w:val="20"/>
        </w:rPr>
        <w:t>Dobrovolska</w:t>
      </w:r>
      <w:proofErr w:type="spellEnd"/>
    </w:p>
    <w:p w14:paraId="2F7AA3AA" w14:textId="77777777" w:rsidR="003948B1" w:rsidRDefault="008435B5">
      <w:pPr>
        <w:tabs>
          <w:tab w:val="right" w:pos="9638"/>
        </w:tabs>
        <w:jc w:val="both"/>
        <w:textAlignment w:val="top"/>
        <w:rPr>
          <w:sz w:val="20"/>
          <w:szCs w:val="20"/>
        </w:rPr>
      </w:pPr>
      <w:r>
        <w:t xml:space="preserve">                   </w:t>
      </w:r>
    </w:p>
    <w:p w14:paraId="2F7AA3AB" w14:textId="77777777" w:rsidR="003948B1" w:rsidRDefault="008435B5">
      <w:pPr>
        <w:tabs>
          <w:tab w:val="right" w:pos="9638"/>
        </w:tabs>
        <w:jc w:val="both"/>
        <w:textAlignment w:val="top"/>
        <w:rPr>
          <w:sz w:val="20"/>
          <w:szCs w:val="20"/>
        </w:rPr>
      </w:pPr>
      <w:r>
        <w:t xml:space="preserve">      </w:t>
      </w:r>
    </w:p>
    <w:p w14:paraId="2F7AA3AC" w14:textId="77777777" w:rsidR="003948B1" w:rsidRDefault="003948B1">
      <w:pPr>
        <w:tabs>
          <w:tab w:val="right" w:pos="9638"/>
        </w:tabs>
        <w:jc w:val="both"/>
        <w:textAlignment w:val="top"/>
        <w:rPr>
          <w:sz w:val="20"/>
          <w:szCs w:val="20"/>
        </w:rPr>
      </w:pPr>
    </w:p>
    <w:p w14:paraId="2F7AA3AD" w14:textId="77777777" w:rsidR="003948B1" w:rsidRDefault="003948B1">
      <w:pPr>
        <w:tabs>
          <w:tab w:val="left" w:pos="709"/>
          <w:tab w:val="left" w:pos="993"/>
          <w:tab w:val="left" w:pos="1134"/>
        </w:tabs>
        <w:textAlignment w:val="top"/>
        <w:rPr>
          <w:sz w:val="20"/>
          <w:szCs w:val="20"/>
        </w:rPr>
      </w:pPr>
      <w:bookmarkStart w:id="5" w:name="_GoBack1"/>
      <w:bookmarkEnd w:id="5"/>
    </w:p>
    <w:p w14:paraId="2F7AA3AE" w14:textId="77777777" w:rsidR="003948B1" w:rsidRDefault="008435B5">
      <w:pPr>
        <w:tabs>
          <w:tab w:val="left" w:pos="709"/>
          <w:tab w:val="left" w:pos="993"/>
          <w:tab w:val="left" w:pos="1134"/>
        </w:tabs>
        <w:textAlignment w:val="top"/>
        <w:rPr>
          <w:sz w:val="20"/>
          <w:szCs w:val="20"/>
        </w:rPr>
      </w:pPr>
      <w:r>
        <w:rPr>
          <w:sz w:val="20"/>
          <w:szCs w:val="20"/>
        </w:rPr>
        <w:t xml:space="preserve">Andrius Miliūnas, (8 5) 266 29 06, el. p. </w:t>
      </w:r>
      <w:r>
        <w:rPr>
          <w:rStyle w:val="Hipersaitas"/>
          <w:sz w:val="20"/>
          <w:szCs w:val="20"/>
        </w:rPr>
        <w:t>andrius.miliunas@tm.lt</w:t>
      </w:r>
    </w:p>
    <w:p w14:paraId="2F7AA3AF" w14:textId="77777777" w:rsidR="003948B1" w:rsidRDefault="008435B5">
      <w:pPr>
        <w:tabs>
          <w:tab w:val="left" w:pos="709"/>
          <w:tab w:val="left" w:pos="993"/>
          <w:tab w:val="left" w:pos="1134"/>
        </w:tabs>
        <w:jc w:val="both"/>
        <w:textAlignment w:val="top"/>
        <w:rPr>
          <w:color w:val="000000" w:themeColor="text1"/>
        </w:rPr>
      </w:pPr>
      <w:r>
        <w:rPr>
          <w:color w:val="000000"/>
          <w:sz w:val="20"/>
          <w:szCs w:val="20"/>
        </w:rPr>
        <w:t xml:space="preserve">Asta </w:t>
      </w:r>
      <w:proofErr w:type="spellStart"/>
      <w:r>
        <w:rPr>
          <w:color w:val="000000"/>
          <w:sz w:val="20"/>
          <w:szCs w:val="20"/>
        </w:rPr>
        <w:t>Gedzevičiūtė</w:t>
      </w:r>
      <w:proofErr w:type="spellEnd"/>
      <w:r>
        <w:rPr>
          <w:color w:val="000000"/>
          <w:sz w:val="20"/>
          <w:szCs w:val="20"/>
        </w:rPr>
        <w:t xml:space="preserve">, (8 5) 266 2881, el. </w:t>
      </w:r>
      <w:r>
        <w:rPr>
          <w:color w:val="000000"/>
          <w:sz w:val="20"/>
          <w:szCs w:val="20"/>
        </w:rPr>
        <w:t>p. </w:t>
      </w:r>
      <w:hyperlink r:id="rId10" w:tgtFrame="_parent">
        <w:r>
          <w:rPr>
            <w:rStyle w:val="Hipersaitas"/>
            <w:sz w:val="20"/>
            <w:szCs w:val="20"/>
          </w:rPr>
          <w:t>asta.gedzeviciute@tm.lt</w:t>
        </w:r>
      </w:hyperlink>
      <w:r>
        <w:rPr>
          <w:sz w:val="20"/>
          <w:szCs w:val="20"/>
        </w:rPr>
        <w:t xml:space="preserve"> </w:t>
      </w:r>
    </w:p>
    <w:sectPr w:rsidR="003948B1">
      <w:headerReference w:type="default" r:id="rId11"/>
      <w:footerReference w:type="default" r:id="rId12"/>
      <w:headerReference w:type="first" r:id="rId13"/>
      <w:footerReference w:type="first" r:id="rId14"/>
      <w:pgSz w:w="11906" w:h="16838"/>
      <w:pgMar w:top="1134" w:right="707" w:bottom="1418" w:left="1701" w:header="567" w:footer="39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A3C1" w14:textId="77777777" w:rsidR="00000000" w:rsidRDefault="008435B5">
      <w:r>
        <w:separator/>
      </w:r>
    </w:p>
  </w:endnote>
  <w:endnote w:type="continuationSeparator" w:id="0">
    <w:p w14:paraId="2F7AA3C3" w14:textId="77777777" w:rsidR="00000000" w:rsidRDefault="0084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Baltic"/>
    <w:panose1 w:val="020B0604020202020204"/>
    <w:charset w:val="BA"/>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W1)">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A3B2" w14:textId="77777777" w:rsidR="003948B1" w:rsidRDefault="003948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A3BB" w14:textId="77777777" w:rsidR="003948B1" w:rsidRDefault="008435B5">
    <w:pPr>
      <w:pStyle w:val="Porat"/>
      <w:tabs>
        <w:tab w:val="clear" w:pos="8306"/>
        <w:tab w:val="left" w:pos="3069"/>
        <w:tab w:val="left" w:pos="6921"/>
        <w:tab w:val="left" w:pos="7200"/>
        <w:tab w:val="left" w:pos="7593"/>
      </w:tabs>
      <w:jc w:val="left"/>
    </w:pPr>
    <w:r>
      <w:tab/>
    </w:r>
    <w:r>
      <w:tab/>
    </w:r>
    <w:r>
      <w:tab/>
    </w:r>
    <w:r>
      <w:tab/>
    </w:r>
  </w:p>
  <w:p w14:paraId="2F7AA3BC" w14:textId="77777777" w:rsidR="003948B1" w:rsidRDefault="003948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A3BD" w14:textId="77777777" w:rsidR="00000000" w:rsidRDefault="008435B5">
      <w:r>
        <w:separator/>
      </w:r>
    </w:p>
  </w:footnote>
  <w:footnote w:type="continuationSeparator" w:id="0">
    <w:p w14:paraId="2F7AA3BF" w14:textId="77777777" w:rsidR="00000000" w:rsidRDefault="0084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096275"/>
      <w:docPartObj>
        <w:docPartGallery w:val="AutoText"/>
      </w:docPartObj>
    </w:sdtPr>
    <w:sdtEndPr/>
    <w:sdtContent>
      <w:p w14:paraId="2F7AA3B0" w14:textId="77777777" w:rsidR="003948B1" w:rsidRDefault="008435B5">
        <w:pPr>
          <w:pStyle w:val="Antrats"/>
          <w:jc w:val="center"/>
        </w:pPr>
        <w:r>
          <w:fldChar w:fldCharType="begin"/>
        </w:r>
        <w:r>
          <w:instrText>PAGE</w:instrText>
        </w:r>
        <w:r>
          <w:fldChar w:fldCharType="separate"/>
        </w:r>
        <w:r>
          <w:t>2</w:t>
        </w:r>
        <w:r>
          <w:fldChar w:fldCharType="end"/>
        </w:r>
      </w:p>
    </w:sdtContent>
  </w:sdt>
  <w:p w14:paraId="2F7AA3B1" w14:textId="77777777" w:rsidR="003948B1" w:rsidRDefault="003948B1">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A3B3" w14:textId="77777777" w:rsidR="003948B1" w:rsidRDefault="008435B5">
    <w:pPr>
      <w:tabs>
        <w:tab w:val="right" w:pos="8306"/>
      </w:tabs>
      <w:suppressAutoHyphens w:val="0"/>
      <w:jc w:val="center"/>
      <w:rPr>
        <w:sz w:val="20"/>
        <w:lang w:eastAsia="en-US"/>
      </w:rPr>
    </w:pPr>
    <w:r>
      <w:rPr>
        <w:noProof/>
      </w:rPr>
      <w:drawing>
        <wp:inline distT="0" distB="0" distL="0" distR="0" wp14:anchorId="2F7AA3BD" wp14:editId="2F7AA3BE">
          <wp:extent cx="563880" cy="556260"/>
          <wp:effectExtent l="0" t="0" r="0" b="0"/>
          <wp:docPr id="1" name="Paveikslėlis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2F7AA3B4" w14:textId="77777777" w:rsidR="003948B1" w:rsidRDefault="003948B1">
    <w:pPr>
      <w:tabs>
        <w:tab w:val="right" w:pos="8306"/>
      </w:tabs>
      <w:suppressAutoHyphens w:val="0"/>
      <w:jc w:val="center"/>
      <w:rPr>
        <w:sz w:val="16"/>
        <w:lang w:eastAsia="en-US"/>
      </w:rPr>
    </w:pPr>
  </w:p>
  <w:p w14:paraId="2F7AA3B5" w14:textId="77777777" w:rsidR="003948B1" w:rsidRDefault="008435B5">
    <w:pPr>
      <w:suppressAutoHyphens w:val="0"/>
      <w:jc w:val="center"/>
      <w:rPr>
        <w:b/>
        <w:bCs/>
        <w:sz w:val="26"/>
        <w:lang w:eastAsia="en-US"/>
      </w:rPr>
    </w:pPr>
    <w:r>
      <w:rPr>
        <w:b/>
        <w:bCs/>
        <w:sz w:val="26"/>
        <w:lang w:eastAsia="en-US"/>
      </w:rPr>
      <w:t>LIETUVOS RESPUBLIKOS TEISINGUMO MINISTERIJA</w:t>
    </w:r>
  </w:p>
  <w:p w14:paraId="2F7AA3B6" w14:textId="77777777" w:rsidR="003948B1" w:rsidRDefault="003948B1">
    <w:pPr>
      <w:suppressAutoHyphens w:val="0"/>
      <w:jc w:val="center"/>
      <w:rPr>
        <w:b/>
        <w:bCs/>
        <w:sz w:val="26"/>
        <w:lang w:eastAsia="en-US"/>
      </w:rPr>
    </w:pPr>
  </w:p>
  <w:p w14:paraId="2F7AA3B7" w14:textId="77777777" w:rsidR="003948B1" w:rsidRDefault="008435B5">
    <w:pPr>
      <w:pBdr>
        <w:bottom w:val="single" w:sz="4" w:space="1" w:color="000000"/>
      </w:pBdr>
      <w:suppressAutoHyphens w:val="0"/>
      <w:jc w:val="center"/>
      <w:rPr>
        <w:sz w:val="20"/>
        <w:lang w:eastAsia="en-US"/>
      </w:rPr>
    </w:pPr>
    <w:r>
      <w:rPr>
        <w:sz w:val="20"/>
        <w:lang w:eastAsia="en-US"/>
      </w:rPr>
      <w:t xml:space="preserve">Biudžetinė įstaiga, Gedimino pr. 30, LT-01104 Vilnius, </w:t>
    </w:r>
  </w:p>
  <w:p w14:paraId="2F7AA3B8" w14:textId="77777777" w:rsidR="003948B1" w:rsidRDefault="008435B5">
    <w:pPr>
      <w:pBdr>
        <w:bottom w:val="single" w:sz="4" w:space="1" w:color="000000"/>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2F7AA3B9" w14:textId="77777777" w:rsidR="003948B1" w:rsidRDefault="008435B5">
    <w:pPr>
      <w:pBdr>
        <w:bottom w:val="single" w:sz="4" w:space="1" w:color="000000"/>
      </w:pBdr>
      <w:suppressAutoHyphens w:val="0"/>
      <w:jc w:val="center"/>
      <w:rPr>
        <w:sz w:val="20"/>
        <w:lang w:eastAsia="en-US"/>
      </w:rPr>
    </w:pPr>
    <w:r>
      <w:rPr>
        <w:sz w:val="20"/>
        <w:lang w:eastAsia="en-US"/>
      </w:rPr>
      <w:t>Duomenys kaupiami ir saugomi Juridinių asmenų registre, kodas 188604955</w:t>
    </w:r>
  </w:p>
  <w:p w14:paraId="2F7AA3BA" w14:textId="77777777" w:rsidR="003948B1" w:rsidRDefault="003948B1">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B65"/>
    <w:multiLevelType w:val="multilevel"/>
    <w:tmpl w:val="F0D6C820"/>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69E523A"/>
    <w:multiLevelType w:val="multilevel"/>
    <w:tmpl w:val="6AF8366A"/>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gita Jakavičiūtė">
    <w15:presenceInfo w15:providerId="None" w15:userId="Jurgita Jaka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087"/>
  <w:autoHyphenation/>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B1"/>
    <w:rsid w:val="003948B1"/>
    <w:rsid w:val="008435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A398"/>
  <w15:docId w15:val="{BEC5F5A7-D3A9-4BEF-9890-39C10CBB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ar-SA" w:bidi="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character" w:styleId="Grietas">
    <w:name w:val="Strong"/>
    <w:uiPriority w:val="22"/>
    <w:qFormat/>
    <w:rPr>
      <w:b/>
      <w:bCs/>
    </w:rPr>
  </w:style>
  <w:style w:type="character" w:customStyle="1" w:styleId="Numeravimosimboliai">
    <w:name w:val="Numeravimo simboliai"/>
    <w:qFormat/>
  </w:style>
  <w:style w:type="character" w:customStyle="1" w:styleId="PoratDiagrama">
    <w:name w:val="Poraštė Diagrama"/>
    <w:basedOn w:val="Numatytasispastraiposriftas"/>
    <w:uiPriority w:val="99"/>
    <w:qFormat/>
    <w:rPr>
      <w:sz w:val="16"/>
      <w:szCs w:val="24"/>
      <w:lang w:eastAsia="ar-SA"/>
    </w:rPr>
  </w:style>
  <w:style w:type="character" w:customStyle="1" w:styleId="DebesliotekstasDiagrama">
    <w:name w:val="Debesėlio tekstas Diagrama"/>
    <w:basedOn w:val="Numatytasispastraiposriftas"/>
    <w:qFormat/>
    <w:rPr>
      <w:rFonts w:ascii="Tahoma" w:hAnsi="Tahoma" w:cs="Tahoma"/>
      <w:sz w:val="16"/>
      <w:szCs w:val="16"/>
      <w:lang w:eastAsia="ar-SA"/>
    </w:rPr>
  </w:style>
  <w:style w:type="character" w:customStyle="1" w:styleId="AntratsDiagrama">
    <w:name w:val="Antraštės Diagrama"/>
    <w:basedOn w:val="Numatytasispastraiposriftas"/>
    <w:uiPriority w:val="99"/>
    <w:qFormat/>
    <w:rPr>
      <w:sz w:val="24"/>
      <w:szCs w:val="24"/>
      <w:lang w:eastAsia="ar-SA"/>
    </w:rPr>
  </w:style>
  <w:style w:type="character" w:customStyle="1" w:styleId="clear">
    <w:name w:val="clear"/>
    <w:basedOn w:val="Numatytasispastraiposriftas"/>
    <w:qFormat/>
  </w:style>
  <w:style w:type="character" w:customStyle="1" w:styleId="bold">
    <w:name w:val="bold"/>
    <w:basedOn w:val="Numatytasispastraiposriftas"/>
    <w:qFormat/>
  </w:style>
  <w:style w:type="character" w:customStyle="1" w:styleId="clear1">
    <w:name w:val="clear1"/>
    <w:basedOn w:val="Numatytasispastraiposriftas"/>
    <w:qFormat/>
  </w:style>
  <w:style w:type="character" w:customStyle="1" w:styleId="bold1">
    <w:name w:val="bold1"/>
    <w:basedOn w:val="Numatytasispastraiposriftas"/>
    <w:qFormat/>
    <w:rPr>
      <w:b/>
      <w:bCs/>
    </w:rPr>
  </w:style>
  <w:style w:type="character" w:customStyle="1" w:styleId="dnr">
    <w:name w:val="dnr"/>
    <w:basedOn w:val="Numatytasispastraiposriftas"/>
    <w:qFormat/>
  </w:style>
  <w:style w:type="character" w:customStyle="1" w:styleId="PaprastasistekstasDiagrama">
    <w:name w:val="Paprastasis tekstas Diagrama"/>
    <w:basedOn w:val="Numatytasispastraiposriftas"/>
    <w:uiPriority w:val="99"/>
    <w:qFormat/>
    <w:rPr>
      <w:rFonts w:ascii="Calibri" w:eastAsiaTheme="minorHAnsi" w:hAnsi="Calibri" w:cstheme="minorBidi"/>
      <w:sz w:val="22"/>
      <w:szCs w:val="21"/>
      <w:lang w:eastAsia="en-US"/>
    </w:rPr>
  </w:style>
  <w:style w:type="character" w:customStyle="1" w:styleId="dpav">
    <w:name w:val="dpav"/>
    <w:basedOn w:val="Numatytasispastraiposriftas"/>
    <w:qFormat/>
    <w:rPr>
      <w:sz w:val="26"/>
      <w:szCs w:val="26"/>
    </w:rPr>
  </w:style>
  <w:style w:type="character" w:customStyle="1" w:styleId="Bodytext2">
    <w:name w:val="Body text (2)_"/>
    <w:basedOn w:val="Numatytasispastraiposriftas"/>
    <w:qFormat/>
    <w:rPr>
      <w:shd w:val="clear" w:color="auto" w:fill="FFFFFF"/>
    </w:rPr>
  </w:style>
  <w:style w:type="character" w:customStyle="1" w:styleId="bkg-highlight-red1">
    <w:name w:val="bkg-highlight-red1"/>
    <w:basedOn w:val="Numatytasispastraiposriftas"/>
    <w:qFormat/>
    <w:rPr>
      <w:shd w:val="clear" w:color="auto" w:fill="FBCCA2"/>
    </w:rPr>
  </w:style>
  <w:style w:type="character" w:customStyle="1" w:styleId="namewithinfo2">
    <w:name w:val="namewithinfo2"/>
    <w:basedOn w:val="Numatytasispastraiposriftas"/>
    <w:qFormat/>
  </w:style>
  <w:style w:type="character" w:customStyle="1" w:styleId="KomentarotekstasDiagrama">
    <w:name w:val="Komentaro tekstas Diagrama"/>
    <w:basedOn w:val="Numatytasispastraiposriftas"/>
    <w:semiHidden/>
    <w:qFormat/>
    <w:rPr>
      <w:lang w:eastAsia="ar-SA"/>
    </w:rPr>
  </w:style>
  <w:style w:type="character" w:customStyle="1" w:styleId="KomentarotemaDiagrama">
    <w:name w:val="Komentaro tema Diagrama"/>
    <w:basedOn w:val="KomentarotekstasDiagrama"/>
    <w:semiHidden/>
    <w:qFormat/>
    <w:rPr>
      <w:b/>
      <w:bCs/>
      <w:lang w:eastAsia="ar-SA"/>
    </w:rPr>
  </w:style>
  <w:style w:type="character" w:customStyle="1" w:styleId="SraopastraipaDiagrama">
    <w:name w:val="Sąrašo pastraipa Diagrama"/>
    <w:basedOn w:val="Numatytasispastraiposriftas"/>
    <w:uiPriority w:val="34"/>
    <w:qFormat/>
    <w:rPr>
      <w:sz w:val="24"/>
      <w:szCs w:val="24"/>
      <w:lang w:eastAsia="ar-SA"/>
    </w:rPr>
  </w:style>
  <w:style w:type="character" w:customStyle="1" w:styleId="ddat">
    <w:name w:val="ddat"/>
    <w:basedOn w:val="Numatytasispastraiposriftas"/>
    <w:qFormat/>
  </w:style>
  <w:style w:type="character" w:customStyle="1" w:styleId="PuslapioinaostekstasDiagrama">
    <w:name w:val="Puslapio išnašos tekstas Diagrama"/>
    <w:basedOn w:val="Numatytasispastraiposriftas"/>
    <w:semiHidden/>
    <w:qFormat/>
    <w:rPr>
      <w:lang w:eastAsia="ar-SA"/>
    </w:rPr>
  </w:style>
  <w:style w:type="character" w:customStyle="1" w:styleId="FootnoteCharacters">
    <w:name w:val="Footnote Characters"/>
    <w:uiPriority w:val="99"/>
    <w:semiHidden/>
    <w:qFormat/>
    <w:rPr>
      <w:rFonts w:cs="Times New Roman"/>
      <w:vertAlign w:val="superscript"/>
    </w:rPr>
  </w:style>
  <w:style w:type="character" w:customStyle="1" w:styleId="FootnoteAnchor">
    <w:name w:val="Footnote Anchor"/>
    <w:qFormat/>
    <w:rPr>
      <w:rFonts w:cs="Times New Roman"/>
      <w:vertAlign w:val="superscript"/>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qFormat/>
    <w:pPr>
      <w:spacing w:after="120"/>
    </w:pPr>
  </w:style>
  <w:style w:type="paragraph" w:styleId="Sraas">
    <w:name w:val="List"/>
    <w:basedOn w:val="Tekstas"/>
    <w:qFormat/>
    <w:rPr>
      <w:rFonts w:cs="Tahoma"/>
    </w:rPr>
  </w:style>
  <w:style w:type="paragraph" w:styleId="Antrat">
    <w:name w:val="caption"/>
    <w:basedOn w:val="prastasis"/>
    <w:next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semiHidden/>
    <w:unhideWhenUsed/>
    <w:qFormat/>
    <w:rPr>
      <w:sz w:val="20"/>
      <w:szCs w:val="20"/>
    </w:rPr>
  </w:style>
  <w:style w:type="paragraph" w:styleId="Komentarotema">
    <w:name w:val="annotation subject"/>
    <w:basedOn w:val="Komentarotekstas"/>
    <w:next w:val="Komentarotekstas"/>
    <w:semiHidden/>
    <w:unhideWhenUsed/>
    <w:qFormat/>
    <w:rPr>
      <w:b/>
      <w:bCs/>
    </w:rPr>
  </w:style>
  <w:style w:type="paragraph" w:customStyle="1" w:styleId="HeaderandFooter">
    <w:name w:val="Header and Footer"/>
    <w:basedOn w:val="prastasis"/>
    <w:qFormat/>
  </w:style>
  <w:style w:type="paragraph" w:styleId="Porat">
    <w:name w:val="footer"/>
    <w:basedOn w:val="prastasis"/>
    <w:uiPriority w:val="99"/>
    <w:qFormat/>
    <w:pPr>
      <w:tabs>
        <w:tab w:val="right" w:pos="8306"/>
      </w:tabs>
      <w:jc w:val="right"/>
    </w:pPr>
    <w:rPr>
      <w:sz w:val="16"/>
    </w:rPr>
  </w:style>
  <w:style w:type="paragraph" w:styleId="Puslapioinaostekstas">
    <w:name w:val="footnote text"/>
    <w:basedOn w:val="prastasis"/>
    <w:semiHidden/>
    <w:unhideWhenUsed/>
    <w:rPr>
      <w:sz w:val="20"/>
      <w:szCs w:val="20"/>
    </w:rPr>
  </w:style>
  <w:style w:type="paragraph" w:styleId="Antrats">
    <w:name w:val="header"/>
    <w:basedOn w:val="prastasis"/>
    <w:uiPriority w:val="99"/>
    <w:pPr>
      <w:suppressLineNumbers/>
      <w:tabs>
        <w:tab w:val="right" w:pos="-1135"/>
        <w:tab w:val="center" w:pos="-568"/>
      </w:tabs>
    </w:pPr>
  </w:style>
  <w:style w:type="paragraph" w:customStyle="1" w:styleId="Tekstas">
    <w:name w:val="Tekstas"/>
    <w:basedOn w:val="prastasis"/>
    <w:qFormat/>
    <w:pPr>
      <w:spacing w:before="40" w:after="40"/>
      <w:ind w:right="40" w:firstLine="1247"/>
      <w:jc w:val="both"/>
    </w:pPr>
  </w:style>
  <w:style w:type="paragraph" w:styleId="Paprastasistekstas">
    <w:name w:val="Plain Text"/>
    <w:basedOn w:val="prastasis"/>
    <w:uiPriority w:val="99"/>
    <w:unhideWhenUsed/>
    <w:qFormat/>
    <w:pPr>
      <w:suppressAutoHyphens w:val="0"/>
    </w:pPr>
    <w:rPr>
      <w:rFonts w:ascii="Calibri" w:eastAsiaTheme="minorHAnsi" w:hAnsi="Calibri" w:cstheme="minorBidi"/>
      <w:sz w:val="22"/>
      <w:szCs w:val="21"/>
      <w:lang w:eastAsia="en-US"/>
    </w:r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Paantrat"/>
    <w:qFormat/>
  </w:style>
  <w:style w:type="paragraph" w:customStyle="1" w:styleId="Bodytext20">
    <w:name w:val="Body text (2)"/>
    <w:basedOn w:val="prastasis"/>
    <w:qFormat/>
    <w:pPr>
      <w:shd w:val="clear" w:color="auto" w:fill="FFFFFF"/>
      <w:suppressAutoHyphens w:val="0"/>
      <w:spacing w:line="274" w:lineRule="atLeast"/>
      <w:jc w:val="both"/>
    </w:pPr>
    <w:rPr>
      <w:sz w:val="20"/>
      <w:szCs w:val="20"/>
      <w:lang w:eastAsia="lt-LT"/>
    </w:rPr>
  </w:style>
  <w:style w:type="paragraph" w:styleId="Sraopastraipa">
    <w:name w:val="List Paragraph"/>
    <w:basedOn w:val="prastasis"/>
    <w:uiPriority w:val="34"/>
    <w:qFormat/>
    <w:pPr>
      <w:ind w:left="720"/>
      <w:contextualSpacing/>
    </w:pPr>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ind w:right="0"/>
    </w:pPr>
  </w:style>
  <w:style w:type="paragraph" w:customStyle="1" w:styleId="RATOPAVADINIMAS">
    <w:name w:val="RAŠTO PAVADINIMAS"/>
    <w:basedOn w:val="Pavadinimas1"/>
    <w:qFormat/>
    <w:rPr>
      <w:b/>
      <w:bCs/>
    </w:rPr>
  </w:style>
  <w:style w:type="paragraph" w:customStyle="1" w:styleId="tip">
    <w:name w:val="tip"/>
    <w:basedOn w:val="prastasis"/>
    <w:qFormat/>
    <w:pPr>
      <w:suppressAutoHyphens w:val="0"/>
      <w:spacing w:beforeAutospacing="1" w:afterAutospacing="1"/>
    </w:pPr>
    <w:rPr>
      <w:lang w:eastAsia="lt-LT"/>
    </w:rPr>
  </w:style>
  <w:style w:type="paragraph" w:customStyle="1" w:styleId="tajtipfb">
    <w:name w:val="tajtipfb"/>
    <w:basedOn w:val="prastasis"/>
    <w:qFormat/>
    <w:pPr>
      <w:suppressAutoHyphens w:val="0"/>
      <w:spacing w:beforeAutospacing="1" w:afterAutospacing="1"/>
    </w:pPr>
    <w:rPr>
      <w:lang w:eastAsia="lt-LT"/>
    </w:rPr>
  </w:style>
  <w:style w:type="paragraph" w:customStyle="1" w:styleId="tajtip">
    <w:name w:val="tajtip"/>
    <w:basedOn w:val="prastasis"/>
    <w:qFormat/>
    <w:pPr>
      <w:suppressAutoHyphens w:val="0"/>
      <w:spacing w:beforeAutospacing="1" w:afterAutospacing="1"/>
    </w:pPr>
    <w:rPr>
      <w:lang w:eastAsia="lt-LT"/>
    </w:rPr>
  </w:style>
  <w:style w:type="paragraph" w:customStyle="1" w:styleId="tartip">
    <w:name w:val="tartip"/>
    <w:basedOn w:val="prastasis"/>
    <w:qFormat/>
    <w:pPr>
      <w:suppressAutoHyphens w:val="0"/>
      <w:spacing w:beforeAutospacing="1" w:afterAutospacing="1"/>
    </w:pPr>
    <w:rPr>
      <w:lang w:eastAsia="lt-LT"/>
    </w:rPr>
  </w:style>
  <w:style w:type="paragraph" w:customStyle="1" w:styleId="tartin">
    <w:name w:val="tartin"/>
    <w:basedOn w:val="prastasis"/>
    <w:qFormat/>
    <w:pPr>
      <w:suppressAutoHyphens w:val="0"/>
      <w:spacing w:beforeAutospacing="1" w:afterAutospacing="1"/>
    </w:pPr>
    <w:rPr>
      <w:lang w:eastAsia="lt-LT"/>
    </w:rPr>
  </w:style>
  <w:style w:type="paragraph" w:customStyle="1" w:styleId="tactin">
    <w:name w:val="tactin"/>
    <w:basedOn w:val="prastasis"/>
    <w:qFormat/>
    <w:pPr>
      <w:suppressAutoHyphens w:val="0"/>
      <w:spacing w:beforeAutospacing="1" w:afterAutospacing="1"/>
    </w:pPr>
    <w:rPr>
      <w:lang w:eastAsia="lt-LT"/>
    </w:rPr>
  </w:style>
  <w:style w:type="paragraph" w:customStyle="1" w:styleId="taltipfb">
    <w:name w:val="taltipfb"/>
    <w:basedOn w:val="prastasis"/>
    <w:qFormat/>
    <w:pPr>
      <w:suppressAutoHyphens w:val="0"/>
      <w:spacing w:beforeAutospacing="1" w:afterAutospacing="1"/>
    </w:pPr>
    <w:rPr>
      <w:lang w:eastAsia="lt-LT"/>
    </w:rPr>
  </w:style>
  <w:style w:type="paragraph" w:customStyle="1" w:styleId="tajtin">
    <w:name w:val="tajtin"/>
    <w:basedOn w:val="prastasis"/>
    <w:qFormat/>
    <w:pPr>
      <w:suppressAutoHyphens w:val="0"/>
      <w:spacing w:after="150"/>
    </w:pPr>
    <w:rPr>
      <w:rFonts w:eastAsia="Times New Roman"/>
      <w:lang w:eastAsia="lt-LT"/>
    </w:rPr>
  </w:style>
  <w:style w:type="paragraph" w:styleId="Betarp">
    <w:name w:val="No Spacing"/>
    <w:basedOn w:val="prastasis"/>
    <w:uiPriority w:val="1"/>
    <w:qFormat/>
    <w:pPr>
      <w:suppressAutoHyphens w:val="0"/>
    </w:pPr>
    <w:rPr>
      <w:rFonts w:ascii="Calibri" w:eastAsiaTheme="minorHAnsi" w:hAnsi="Calibri"/>
      <w:sz w:val="22"/>
      <w:szCs w:val="22"/>
      <w:lang w:eastAsia="en-US"/>
    </w:rPr>
  </w:style>
  <w:style w:type="paragraph" w:customStyle="1" w:styleId="norm4">
    <w:name w:val="norm4"/>
    <w:basedOn w:val="prastasis"/>
    <w:qFormat/>
    <w:pPr>
      <w:suppressAutoHyphens w:val="0"/>
      <w:spacing w:before="120" w:line="312" w:lineRule="atLeast"/>
      <w:jc w:val="both"/>
    </w:pPr>
    <w:rPr>
      <w:rFonts w:eastAsia="Times New Roman"/>
      <w:lang w:eastAsia="lt-LT"/>
    </w:rPr>
  </w:style>
  <w:style w:type="paragraph" w:customStyle="1" w:styleId="Pataisymai1">
    <w:name w:val="Pataisymai1"/>
    <w:uiPriority w:val="99"/>
    <w:semiHidden/>
    <w:qFormat/>
    <w:rPr>
      <w:sz w:val="24"/>
      <w:szCs w:val="24"/>
      <w:lang w:eastAsia="ar-SA" w:bidi="ar-SA"/>
    </w:rPr>
  </w:style>
  <w:style w:type="paragraph" w:customStyle="1" w:styleId="normal2">
    <w:name w:val="normal2"/>
    <w:basedOn w:val="prastasis"/>
    <w:qFormat/>
    <w:pPr>
      <w:suppressAutoHyphens w:val="0"/>
      <w:spacing w:before="120" w:line="312" w:lineRule="atLeast"/>
      <w:jc w:val="both"/>
    </w:pPr>
    <w:rPr>
      <w:rFonts w:eastAsia="Times New Roman"/>
      <w:lang w:eastAsia="lt-LT"/>
    </w:rPr>
  </w:style>
  <w:style w:type="paragraph" w:customStyle="1" w:styleId="tin">
    <w:name w:val="tin"/>
    <w:basedOn w:val="prastasis"/>
    <w:qFormat/>
    <w:pPr>
      <w:suppressAutoHyphens w:val="0"/>
      <w:spacing w:after="150"/>
    </w:pPr>
    <w:rPr>
      <w:rFonts w:eastAsia="Times New Roman"/>
      <w:lang w:eastAsia="lt-LT"/>
    </w:rPr>
  </w:style>
  <w:style w:type="paragraph" w:customStyle="1" w:styleId="n">
    <w:name w:val="n"/>
    <w:basedOn w:val="prastasis"/>
    <w:qFormat/>
    <w:pPr>
      <w:suppressAutoHyphens w:val="0"/>
      <w:spacing w:after="150"/>
    </w:pPr>
    <w:rPr>
      <w:rFonts w:eastAsia="Times New Roman"/>
      <w:lang w:eastAsia="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DefinitionTerm">
    <w:name w:val="Definition Term"/>
    <w:basedOn w:val="prastasis"/>
    <w:qFormat/>
  </w:style>
  <w:style w:type="paragraph" w:customStyle="1" w:styleId="DefinitionList">
    <w:name w:val="Definition List"/>
    <w:basedOn w:val="prastasis"/>
    <w:qFormat/>
    <w:pPr>
      <w:ind w:left="360"/>
    </w:pPr>
  </w:style>
  <w:style w:type="paragraph" w:customStyle="1" w:styleId="H1">
    <w:name w:val="H1"/>
    <w:basedOn w:val="prastasis"/>
    <w:qFormat/>
    <w:pPr>
      <w:keepNext/>
      <w:spacing w:before="100" w:after="100"/>
      <w:outlineLvl w:val="1"/>
    </w:pPr>
    <w:rPr>
      <w:b/>
      <w:kern w:val="2"/>
      <w:sz w:val="48"/>
    </w:rPr>
  </w:style>
  <w:style w:type="paragraph" w:customStyle="1" w:styleId="H2">
    <w:name w:val="H2"/>
    <w:basedOn w:val="prastasis"/>
    <w:qFormat/>
    <w:pPr>
      <w:keepNext/>
      <w:spacing w:before="100" w:after="100"/>
      <w:outlineLvl w:val="2"/>
    </w:pPr>
    <w:rPr>
      <w:b/>
      <w:sz w:val="36"/>
    </w:rPr>
  </w:style>
  <w:style w:type="paragraph" w:customStyle="1" w:styleId="H3">
    <w:name w:val="H3"/>
    <w:basedOn w:val="prastasis"/>
    <w:qFormat/>
    <w:pPr>
      <w:keepNext/>
      <w:spacing w:before="100" w:after="100"/>
      <w:outlineLvl w:val="3"/>
    </w:pPr>
    <w:rPr>
      <w:b/>
      <w:sz w:val="28"/>
    </w:rPr>
  </w:style>
  <w:style w:type="paragraph" w:customStyle="1" w:styleId="H4">
    <w:name w:val="H4"/>
    <w:basedOn w:val="prastasis"/>
    <w:qFormat/>
    <w:pPr>
      <w:keepNext/>
      <w:spacing w:before="100" w:after="100"/>
      <w:outlineLvl w:val="4"/>
    </w:pPr>
    <w:rPr>
      <w:b/>
    </w:rPr>
  </w:style>
  <w:style w:type="paragraph" w:customStyle="1" w:styleId="H5">
    <w:name w:val="H5"/>
    <w:basedOn w:val="prastasis"/>
    <w:qFormat/>
    <w:pPr>
      <w:keepNext/>
      <w:spacing w:before="100" w:after="100"/>
      <w:outlineLvl w:val="5"/>
    </w:pPr>
    <w:rPr>
      <w:b/>
      <w:sz w:val="20"/>
    </w:rPr>
  </w:style>
  <w:style w:type="paragraph" w:customStyle="1" w:styleId="H6">
    <w:name w:val="H6"/>
    <w:basedOn w:val="prastasis"/>
    <w:qFormat/>
    <w:pPr>
      <w:keepNext/>
      <w:spacing w:before="100" w:after="100"/>
      <w:outlineLvl w:val="6"/>
    </w:pPr>
    <w:rPr>
      <w:b/>
      <w:sz w:val="16"/>
    </w:rPr>
  </w:style>
  <w:style w:type="paragraph" w:customStyle="1" w:styleId="Address">
    <w:name w:val="Address"/>
    <w:basedOn w:val="prastasis"/>
    <w:qFormat/>
    <w:rPr>
      <w:i/>
    </w:rPr>
  </w:style>
  <w:style w:type="paragraph" w:customStyle="1" w:styleId="Blockquote">
    <w:name w:val="Blockquote"/>
    <w:basedOn w:val="prastasis"/>
    <w:qFormat/>
    <w:pPr>
      <w:spacing w:before="100" w:after="100"/>
      <w:ind w:left="360" w:right="360"/>
    </w:pPr>
  </w:style>
  <w:style w:type="paragraph" w:customStyle="1" w:styleId="Preformatted">
    <w:name w:val="Preformatted"/>
    <w:basedOn w:val="prastasis"/>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lang w:eastAsia="lt-LT" w:bidi="ar-SA"/>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lang w:eastAsia="lt-LT" w:bidi="ar-SA"/>
    </w:rPr>
  </w:style>
  <w:style w:type="paragraph" w:customStyle="1" w:styleId="prastojilentel1">
    <w:name w:val="Įprastoji lentelė1"/>
    <w:qFormat/>
    <w:pPr>
      <w:spacing w:line="271" w:lineRule="auto"/>
    </w:pPr>
    <w:rPr>
      <w:sz w:val="22"/>
    </w:rPr>
  </w:style>
  <w:style w:type="paragraph" w:customStyle="1" w:styleId="LentelPaprasta11">
    <w:name w:val="Lentelė — Paprasta 11"/>
    <w:basedOn w:val="prastojilentel1"/>
    <w:qFormat/>
  </w:style>
  <w:style w:type="paragraph" w:customStyle="1" w:styleId="prastojilentel2">
    <w:name w:val="Įprastoji lentelė2"/>
    <w:qFormat/>
    <w:pPr>
      <w:spacing w:line="252" w:lineRule="auto"/>
    </w:pPr>
    <w:rPr>
      <w:sz w:val="22"/>
    </w:rPr>
  </w:style>
  <w:style w:type="paragraph" w:customStyle="1" w:styleId="LentelPaprasta12">
    <w:name w:val="Lentelė — Paprasta 12"/>
    <w:basedOn w:val="prastojilentel2"/>
    <w:qFormat/>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asta.gedzeviciute@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d4ab6731a7ee11eb98ccba226c8a14d7"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2FB86-BE04-4F84-9FC6-5BFF79C1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2021-05-07T10:18:00Z</dcterms:created>
  <dc:creator>D.Glodenis</dc:creator>
  <dc:language>lt-LT</dc:language>
  <cp:lastModifiedBy>Jurgita Jakavičiūtė</cp:lastModifiedBy>
  <cp:lastPrinted>2019-08-27T12:58:00Z</cp:lastPrinted>
  <dcterms:modified xsi:type="dcterms:W3CDTF">2021-05-07T10:18:00Z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KSOProductBuildVer">
    <vt:lpwstr>2057-11.2.0.8684</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