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C43A" w14:textId="50461E39" w:rsidR="00FA4886" w:rsidRPr="004666F6" w:rsidRDefault="004666F6" w:rsidP="00833202">
      <w:pPr>
        <w:spacing w:after="0" w:line="240" w:lineRule="auto"/>
        <w:jc w:val="center"/>
        <w:outlineLvl w:val="0"/>
        <w:rPr>
          <w:rFonts w:eastAsia="Calibri" w:cs="Times New Roman"/>
          <w:b/>
          <w:caps/>
          <w:szCs w:val="24"/>
        </w:rPr>
      </w:pPr>
      <w:r w:rsidRPr="004666F6">
        <w:rPr>
          <w:rFonts w:eastAsia="Calibri" w:cs="Times New Roman"/>
          <w:b/>
          <w:szCs w:val="24"/>
        </w:rPr>
        <w:t>DERINIMO PAŽYMA</w:t>
      </w:r>
    </w:p>
    <w:p w14:paraId="6584B95F" w14:textId="70C9A087" w:rsidR="005F43FA" w:rsidRPr="004666F6" w:rsidRDefault="004666F6" w:rsidP="004666F6">
      <w:pPr>
        <w:spacing w:after="0" w:line="240" w:lineRule="auto"/>
        <w:jc w:val="center"/>
        <w:outlineLvl w:val="0"/>
        <w:rPr>
          <w:b/>
        </w:rPr>
      </w:pPr>
      <w:r w:rsidRPr="004666F6">
        <w:rPr>
          <w:b/>
          <w:szCs w:val="24"/>
          <w:lang w:eastAsia="lt-LT"/>
        </w:rPr>
        <w:t xml:space="preserve">DĖL </w:t>
      </w:r>
      <w:bookmarkStart w:id="0" w:name="_Hlk75503356"/>
      <w:r w:rsidRPr="004666F6">
        <w:rPr>
          <w:b/>
        </w:rPr>
        <w:t>LIETUVOS RESPUBLIKOS</w:t>
      </w:r>
      <w:bookmarkEnd w:id="0"/>
      <w:r w:rsidRPr="004666F6">
        <w:rPr>
          <w:b/>
        </w:rPr>
        <w:t xml:space="preserve"> VYRIAUSYBĖS KANCELIARIJOS VIEŠOJO VALDYMO GRUPĖS 2021 M. RUGSĖJO 13 D. </w:t>
      </w:r>
      <w:r w:rsidR="00AA0912">
        <w:rPr>
          <w:b/>
        </w:rPr>
        <w:t>PAŽYMOJE</w:t>
      </w:r>
      <w:r w:rsidRPr="004666F6">
        <w:rPr>
          <w:b/>
        </w:rPr>
        <w:t xml:space="preserve"> NR. NV-2187 PATEIKTŲ PASTABŲ</w:t>
      </w:r>
    </w:p>
    <w:p w14:paraId="69C3254B" w14:textId="77777777" w:rsidR="004666F6" w:rsidRPr="004666F6" w:rsidRDefault="004666F6" w:rsidP="004666F6">
      <w:pPr>
        <w:spacing w:after="0" w:line="240" w:lineRule="auto"/>
        <w:jc w:val="center"/>
        <w:outlineLvl w:val="0"/>
        <w:rPr>
          <w:b/>
        </w:rPr>
      </w:pPr>
    </w:p>
    <w:tbl>
      <w:tblPr>
        <w:tblStyle w:val="TableGrid"/>
        <w:tblW w:w="13892" w:type="dxa"/>
        <w:tblInd w:w="137" w:type="dxa"/>
        <w:tblLayout w:type="fixed"/>
        <w:tblLook w:val="04A0" w:firstRow="1" w:lastRow="0" w:firstColumn="1" w:lastColumn="0" w:noHBand="0" w:noVBand="1"/>
      </w:tblPr>
      <w:tblGrid>
        <w:gridCol w:w="8363"/>
        <w:gridCol w:w="5529"/>
      </w:tblGrid>
      <w:tr w:rsidR="004666F6" w:rsidRPr="005F43FA" w14:paraId="0E6B0BAE" w14:textId="77777777" w:rsidTr="0069649D">
        <w:tc>
          <w:tcPr>
            <w:tcW w:w="8363" w:type="dxa"/>
            <w:tcBorders>
              <w:top w:val="single" w:sz="4" w:space="0" w:color="auto"/>
              <w:left w:val="single" w:sz="4" w:space="0" w:color="auto"/>
              <w:bottom w:val="single" w:sz="4" w:space="0" w:color="auto"/>
              <w:right w:val="single" w:sz="4" w:space="0" w:color="auto"/>
            </w:tcBorders>
          </w:tcPr>
          <w:p w14:paraId="334A1E7F" w14:textId="34D1C1E1" w:rsidR="004666F6" w:rsidRPr="00FA4886" w:rsidRDefault="004666F6" w:rsidP="00FA4886">
            <w:pPr>
              <w:pStyle w:val="Preformatted"/>
              <w:tabs>
                <w:tab w:val="clear" w:pos="959"/>
                <w:tab w:val="clear" w:pos="1918"/>
                <w:tab w:val="left" w:pos="1276"/>
              </w:tabs>
              <w:jc w:val="center"/>
              <w:rPr>
                <w:rFonts w:ascii="Times New Roman" w:hAnsi="Times New Roman"/>
                <w:b/>
                <w:sz w:val="24"/>
                <w:szCs w:val="24"/>
              </w:rPr>
            </w:pPr>
            <w:r w:rsidRPr="00FA4886">
              <w:rPr>
                <w:rFonts w:ascii="Times New Roman" w:hAnsi="Times New Roman"/>
                <w:b/>
                <w:sz w:val="24"/>
                <w:szCs w:val="24"/>
              </w:rPr>
              <w:t>Pastab</w:t>
            </w:r>
            <w:r>
              <w:rPr>
                <w:rFonts w:ascii="Times New Roman" w:hAnsi="Times New Roman"/>
                <w:b/>
                <w:sz w:val="24"/>
                <w:szCs w:val="24"/>
              </w:rPr>
              <w:t>a</w:t>
            </w:r>
          </w:p>
        </w:tc>
        <w:tc>
          <w:tcPr>
            <w:tcW w:w="5529" w:type="dxa"/>
            <w:tcBorders>
              <w:top w:val="single" w:sz="4" w:space="0" w:color="auto"/>
              <w:left w:val="single" w:sz="4" w:space="0" w:color="auto"/>
              <w:bottom w:val="single" w:sz="4" w:space="0" w:color="auto"/>
              <w:right w:val="single" w:sz="4" w:space="0" w:color="auto"/>
            </w:tcBorders>
          </w:tcPr>
          <w:p w14:paraId="3D80B9F7" w14:textId="77777777" w:rsidR="004666F6" w:rsidRPr="00FA4886" w:rsidRDefault="004666F6" w:rsidP="00FA4886">
            <w:pPr>
              <w:jc w:val="center"/>
              <w:rPr>
                <w:rFonts w:cs="Times New Roman"/>
                <w:b/>
                <w:szCs w:val="24"/>
              </w:rPr>
            </w:pPr>
            <w:r w:rsidRPr="00FA4886">
              <w:rPr>
                <w:rFonts w:cs="Times New Roman"/>
                <w:b/>
                <w:szCs w:val="24"/>
              </w:rPr>
              <w:t>Įvertinimas</w:t>
            </w:r>
          </w:p>
        </w:tc>
      </w:tr>
      <w:tr w:rsidR="004666F6" w:rsidRPr="005F43FA" w14:paraId="32D37FCD" w14:textId="77777777" w:rsidTr="0069649D">
        <w:tc>
          <w:tcPr>
            <w:tcW w:w="8363" w:type="dxa"/>
            <w:tcBorders>
              <w:top w:val="single" w:sz="4" w:space="0" w:color="auto"/>
              <w:left w:val="single" w:sz="4" w:space="0" w:color="auto"/>
              <w:bottom w:val="single" w:sz="4" w:space="0" w:color="auto"/>
              <w:right w:val="single" w:sz="4" w:space="0" w:color="auto"/>
            </w:tcBorders>
          </w:tcPr>
          <w:p w14:paraId="2598CC13" w14:textId="77777777" w:rsidR="004666F6" w:rsidRPr="004666F6" w:rsidRDefault="004666F6" w:rsidP="004666F6">
            <w:pPr>
              <w:shd w:val="clear" w:color="auto" w:fill="FFFFFF"/>
              <w:contextualSpacing/>
              <w:jc w:val="both"/>
              <w:rPr>
                <w:rFonts w:cs="Times New Roman"/>
                <w:szCs w:val="24"/>
              </w:rPr>
            </w:pPr>
            <w:r w:rsidRPr="004666F6">
              <w:rPr>
                <w:rFonts w:cs="Times New Roman"/>
                <w:bCs/>
                <w:szCs w:val="24"/>
              </w:rPr>
              <w:t xml:space="preserve">1. </w:t>
            </w:r>
            <w:r w:rsidRPr="004666F6">
              <w:rPr>
                <w:rStyle w:val="normaltextrun1"/>
                <w:rFonts w:cs="Times New Roman"/>
                <w:szCs w:val="24"/>
              </w:rPr>
              <w:t xml:space="preserve">1. Projekto 1.8 punkte formuluojama pozicija, kurioje siūloma išvis atsisakyti TĮ projektu 1 siūlomo Teismų įstatymo naujo 66 str. 2 d. nuostatos, kad </w:t>
            </w:r>
            <w:bookmarkStart w:id="1" w:name="_Hlk72849330"/>
            <w:r w:rsidRPr="004666F6">
              <w:rPr>
                <w:rFonts w:cs="Times New Roman"/>
                <w:szCs w:val="24"/>
              </w:rPr>
              <w:t xml:space="preserve">Apygardos administracinio teismo teisėjais gali būti skiriami nustatytus reikalavimus atitinkantys </w:t>
            </w:r>
            <w:bookmarkEnd w:id="1"/>
            <w:r w:rsidRPr="004666F6">
              <w:rPr>
                <w:rFonts w:cs="Times New Roman"/>
                <w:szCs w:val="24"/>
              </w:rPr>
              <w:t xml:space="preserve">asmenys, </w:t>
            </w:r>
            <w:r w:rsidRPr="004666F6">
              <w:rPr>
                <w:rFonts w:cs="Times New Roman"/>
                <w:i/>
                <w:iCs/>
                <w:szCs w:val="24"/>
              </w:rPr>
              <w:t>turintys ne mažesnį kaip 10 metų teisinio darbo viešojo administravimo srityje stažą</w:t>
            </w:r>
            <w:r w:rsidRPr="004666F6">
              <w:rPr>
                <w:rFonts w:cs="Times New Roman"/>
                <w:szCs w:val="24"/>
              </w:rPr>
              <w:t xml:space="preserve">. Siūlome tikslinti Projekto 1.8 punktą suformuluojant siūlymą rengėjams tiksliau (siauriau) apibrėžti kategorijas asmenų, kurie, turėdami reikiamą teisinio darbo viešojo administravimo srityje stažą bei atitikdami nustatytus reikalavimus, galėtų būti skiriami Apygardos administracinio teismo teisėjais dėl šių argumentų: </w:t>
            </w:r>
          </w:p>
          <w:p w14:paraId="71D9C9DE" w14:textId="77777777" w:rsidR="004666F6" w:rsidRPr="004666F6" w:rsidRDefault="004666F6" w:rsidP="004666F6">
            <w:pPr>
              <w:shd w:val="clear" w:color="auto" w:fill="FFFFFF"/>
              <w:contextualSpacing/>
              <w:jc w:val="both"/>
              <w:rPr>
                <w:rFonts w:cs="Times New Roman"/>
                <w:szCs w:val="24"/>
              </w:rPr>
            </w:pPr>
            <w:r w:rsidRPr="004666F6">
              <w:rPr>
                <w:rFonts w:cs="Times New Roman"/>
                <w:szCs w:val="24"/>
              </w:rPr>
              <w:t xml:space="preserve">a) Kaip vienintelis Teisingumo ministerijos siūlymą pagrindžiantis argumentas Projekte nurodoma tai, kad „darbas viešojo administravimo srityje apima santykinai plačią veiklos sritį, kurioje nebūtinai įgyjama teisėjo darbui reikalinga patirtis ar žinios“. Atkreiptinas dėmesys, kad teiginys, jog „nebūtinai įgyjama“, nereiškia, kad </w:t>
            </w:r>
            <w:r w:rsidRPr="004666F6">
              <w:rPr>
                <w:rFonts w:cs="Times New Roman"/>
                <w:szCs w:val="24"/>
                <w:u w:val="single"/>
              </w:rPr>
              <w:t>būtinai neįgyjama</w:t>
            </w:r>
            <w:r w:rsidRPr="004666F6">
              <w:rPr>
                <w:rFonts w:cs="Times New Roman"/>
                <w:szCs w:val="24"/>
              </w:rPr>
              <w:t xml:space="preserve"> tokia patirtis, kas išplauktų iš siūlymo išvis atsisakyti tokios nuostatos. Prielaida, kad asmuo, turintis 10 metų teisinio darbo viešojo administravimo srityje stažą, jokiais atvejais neįgyja reikiamos kompetencijos būti Apygardos administracinio teismo teisėju reikštų, pavyzdžiui, ir tai, kad asmuo, kuris 10 metų dirbo ministerijoje politikos formavimo (</w:t>
            </w:r>
            <w:proofErr w:type="spellStart"/>
            <w:r w:rsidRPr="004666F6">
              <w:rPr>
                <w:rFonts w:cs="Times New Roman"/>
                <w:szCs w:val="24"/>
              </w:rPr>
              <w:t>i.e</w:t>
            </w:r>
            <w:proofErr w:type="spellEnd"/>
            <w:r w:rsidRPr="004666F6">
              <w:rPr>
                <w:rFonts w:cs="Times New Roman"/>
                <w:szCs w:val="24"/>
              </w:rPr>
              <w:t xml:space="preserve">. teisėkūros) srityje – pats </w:t>
            </w:r>
            <w:r w:rsidRPr="004666F6">
              <w:rPr>
                <w:rFonts w:cs="Times New Roman"/>
                <w:i/>
                <w:iCs/>
                <w:szCs w:val="24"/>
              </w:rPr>
              <w:t>de facto</w:t>
            </w:r>
            <w:r w:rsidRPr="004666F6">
              <w:rPr>
                <w:rFonts w:cs="Times New Roman"/>
                <w:szCs w:val="24"/>
              </w:rPr>
              <w:t xml:space="preserve"> kūrė įstatymus ir poįstatyminius teisės aktus - yra nekompetentingas vertinti, ar jie teisingai taikomi. </w:t>
            </w:r>
          </w:p>
          <w:p w14:paraId="4B22491A" w14:textId="77777777" w:rsidR="004666F6" w:rsidRPr="004666F6" w:rsidRDefault="004666F6" w:rsidP="004666F6">
            <w:pPr>
              <w:shd w:val="clear" w:color="auto" w:fill="FFFFFF"/>
              <w:contextualSpacing/>
              <w:jc w:val="both"/>
              <w:rPr>
                <w:rFonts w:cs="Times New Roman"/>
                <w:szCs w:val="24"/>
              </w:rPr>
            </w:pPr>
            <w:r w:rsidRPr="004666F6">
              <w:rPr>
                <w:rFonts w:cs="Times New Roman"/>
                <w:szCs w:val="24"/>
              </w:rPr>
              <w:t>b) Juo labiau, kad tiek galiojančiame įstatyme, tiek siūlomuose pakeitimuose numatoma galimybė teisėju (dargi aukštesnės instancijos nei aptariamas Apygardos administracinis teismas) būti skiriamam teisės mokslininkui, turinčiam 8 metų teisinio pedagoginio darbo stažą. Manytina, kad galima teigti, kad dirbant pedagoginį darbą irgi „nebūtinai įgyjama teisėjo darbui reikalinga patirtis ar žinios“.</w:t>
            </w:r>
          </w:p>
          <w:p w14:paraId="7D5B433B" w14:textId="77777777" w:rsidR="004666F6" w:rsidRPr="004666F6" w:rsidRDefault="004666F6" w:rsidP="004666F6">
            <w:pPr>
              <w:shd w:val="clear" w:color="auto" w:fill="FFFFFF"/>
              <w:contextualSpacing/>
              <w:jc w:val="both"/>
              <w:rPr>
                <w:rFonts w:cs="Times New Roman"/>
                <w:szCs w:val="24"/>
              </w:rPr>
            </w:pPr>
            <w:r w:rsidRPr="004666F6">
              <w:rPr>
                <w:rFonts w:cs="Times New Roman"/>
                <w:szCs w:val="24"/>
              </w:rPr>
              <w:t>c) Pabrėžtina taip pat, kad vien asmens turėjimas darbo viešojo administravimo srityje patirties nereiškia, kad jis automatiškai taps Apygardos administracinio teismo teisėju – TĮ numato kitas papildomas sąlygas ir saugiklius, kad teisėjais taptų tik asmenys turintys tam pakankamą kompetenciją (kaip antai: pretendentai turės išlaikyti egzaminą į teisėjus ir būti vertinami atrankos komisijos bendra tvarka; į pareigas jie galės būti skiriami tik Respublikos Prezidento sprendimu, gavus Teisėjų tarybos patarimą etc.).</w:t>
            </w:r>
          </w:p>
          <w:p w14:paraId="312F3801" w14:textId="77777777" w:rsidR="004666F6" w:rsidRPr="004666F6" w:rsidRDefault="004666F6" w:rsidP="004666F6">
            <w:pPr>
              <w:shd w:val="clear" w:color="auto" w:fill="FFFFFF"/>
              <w:contextualSpacing/>
              <w:jc w:val="both"/>
              <w:rPr>
                <w:rFonts w:cs="Times New Roman"/>
                <w:szCs w:val="24"/>
              </w:rPr>
            </w:pPr>
            <w:r w:rsidRPr="004666F6">
              <w:rPr>
                <w:rFonts w:cs="Times New Roman"/>
                <w:szCs w:val="24"/>
              </w:rPr>
              <w:lastRenderedPageBreak/>
              <w:t xml:space="preserve">d) Atkreiptinas dėmesys, kad Viešojo administravimo įstatymas įtvirtina viešojo administravimo (toliau - VA) sisteminį „skirstymą“ įvairiais aspektais. Pavyzdžiui, VAĮ 4 str. 1d. nustato, kad VA subjektų sistemą sudaro valstybinio administravimo subjektai, regioninio administravimo subjektai ir savivaldybių administravimo subjektai; VAĮ 6 str. nustato VA sritis: administracinis reglamentavimas; administracinių sprendimų priėmimas; administracinių paslaugų teikimas; teisės aktų ir administracinių sprendimų įgyvendinimo ir laikymosi priežiūra; viešųjų paslaugų teikimo administravimas. Savo ruožtu pvz. Valstybės tarnybos (kuri yra neatsiejama VA sistemos dalis) įstatymas nustato reikalavimus valstybės tarnautojams bei valstybės ir savivaldybių institucijų ir įstaigų suskirstymą į grupes vadovaujantis įvairiais kriterijais. </w:t>
            </w:r>
          </w:p>
          <w:p w14:paraId="7B8444B8" w14:textId="77777777" w:rsidR="004666F6" w:rsidRPr="004666F6" w:rsidRDefault="004666F6" w:rsidP="004666F6">
            <w:pPr>
              <w:shd w:val="clear" w:color="auto" w:fill="FFFFFF"/>
              <w:contextualSpacing/>
              <w:jc w:val="both"/>
              <w:rPr>
                <w:rFonts w:cs="Times New Roman"/>
                <w:szCs w:val="24"/>
              </w:rPr>
            </w:pPr>
            <w:r w:rsidRPr="004666F6">
              <w:rPr>
                <w:rFonts w:cs="Times New Roman"/>
                <w:szCs w:val="24"/>
              </w:rPr>
              <w:t xml:space="preserve">Manytina, kad vadovaujantis šiomis įstatymų normomis (arba pačiame Teismų įstatyme nustatant tam tikrus kriterijus), yra įmanoma įtvirtinti pakankamai apibrėžtą teisinį reguliavimą tam, kad užtikrinti, jog Apygardos administracinio teismo teisėjais būtų skiriami tik tie 10 metų teisinio darbo viešojo administravimo srityje stažą turintys asmenys, kurie turi įgiję reikalingą patirtį ar žinias (kaip pvz. nustatant, kad Apygardos administracinio teismo teisėjais gali būti skiriami nustatytus reikalavimus atitinkantys </w:t>
            </w:r>
            <w:r w:rsidRPr="004666F6">
              <w:rPr>
                <w:rFonts w:cs="Times New Roman"/>
                <w:i/>
                <w:iCs/>
                <w:szCs w:val="24"/>
              </w:rPr>
              <w:t>karjeros</w:t>
            </w:r>
            <w:r w:rsidRPr="004666F6">
              <w:rPr>
                <w:rFonts w:cs="Times New Roman"/>
                <w:szCs w:val="24"/>
              </w:rPr>
              <w:t xml:space="preserve"> </w:t>
            </w:r>
            <w:r w:rsidRPr="004666F6">
              <w:rPr>
                <w:rFonts w:cs="Times New Roman"/>
                <w:i/>
                <w:iCs/>
                <w:szCs w:val="24"/>
              </w:rPr>
              <w:t xml:space="preserve">valstybės tarnautojai </w:t>
            </w:r>
            <w:r w:rsidRPr="004666F6">
              <w:rPr>
                <w:rFonts w:cs="Times New Roman"/>
                <w:szCs w:val="24"/>
              </w:rPr>
              <w:t xml:space="preserve">(pirmas kriterijus), turintys ne mažesnį kaip 10 metų teisinio darbo </w:t>
            </w:r>
            <w:r w:rsidRPr="004666F6">
              <w:rPr>
                <w:rFonts w:cs="Times New Roman"/>
                <w:i/>
                <w:iCs/>
                <w:szCs w:val="24"/>
              </w:rPr>
              <w:t>valstybinio administravimo subjektuose (</w:t>
            </w:r>
            <w:r w:rsidRPr="004666F6">
              <w:rPr>
                <w:rFonts w:cs="Times New Roman"/>
                <w:szCs w:val="24"/>
              </w:rPr>
              <w:t>antras kriterijus),</w:t>
            </w:r>
            <w:r w:rsidRPr="004666F6">
              <w:rPr>
                <w:rFonts w:cs="Times New Roman"/>
                <w:i/>
                <w:iCs/>
                <w:szCs w:val="24"/>
              </w:rPr>
              <w:t xml:space="preserve"> administracinio reglamentavimo srityje</w:t>
            </w:r>
            <w:r w:rsidRPr="004666F6">
              <w:rPr>
                <w:rFonts w:cs="Times New Roman"/>
                <w:szCs w:val="24"/>
              </w:rPr>
              <w:t xml:space="preserve"> (trečias kriterijus), stažą).</w:t>
            </w:r>
          </w:p>
          <w:p w14:paraId="25A21985" w14:textId="1C4D3631" w:rsidR="004666F6" w:rsidRPr="004666F6" w:rsidRDefault="004666F6" w:rsidP="004666F6">
            <w:pPr>
              <w:pStyle w:val="Preformatted"/>
              <w:tabs>
                <w:tab w:val="clear" w:pos="959"/>
                <w:tab w:val="clear" w:pos="1918"/>
                <w:tab w:val="left" w:pos="1276"/>
              </w:tabs>
              <w:jc w:val="both"/>
              <w:rPr>
                <w:rFonts w:ascii="Times New Roman" w:hAnsi="Times New Roman"/>
                <w:bCs/>
                <w:sz w:val="24"/>
                <w:szCs w:val="24"/>
              </w:rPr>
            </w:pPr>
          </w:p>
        </w:tc>
        <w:tc>
          <w:tcPr>
            <w:tcW w:w="5529" w:type="dxa"/>
            <w:tcBorders>
              <w:top w:val="single" w:sz="4" w:space="0" w:color="auto"/>
              <w:left w:val="single" w:sz="4" w:space="0" w:color="auto"/>
              <w:bottom w:val="single" w:sz="4" w:space="0" w:color="auto"/>
              <w:right w:val="single" w:sz="4" w:space="0" w:color="auto"/>
            </w:tcBorders>
          </w:tcPr>
          <w:p w14:paraId="76C46E57" w14:textId="77777777" w:rsidR="004666F6" w:rsidRDefault="00D26854" w:rsidP="004666F6">
            <w:pPr>
              <w:jc w:val="both"/>
              <w:rPr>
                <w:rFonts w:cs="Times New Roman"/>
                <w:b/>
                <w:szCs w:val="24"/>
              </w:rPr>
            </w:pPr>
            <w:r>
              <w:rPr>
                <w:rFonts w:cs="Times New Roman"/>
                <w:b/>
                <w:szCs w:val="24"/>
              </w:rPr>
              <w:lastRenderedPageBreak/>
              <w:t>Neatsižvelgta</w:t>
            </w:r>
          </w:p>
          <w:p w14:paraId="33DEA8E4" w14:textId="1F2258E4" w:rsidR="00D26854" w:rsidRDefault="00DD1F1E" w:rsidP="004666F6">
            <w:pPr>
              <w:jc w:val="both"/>
            </w:pPr>
            <w:r>
              <w:t>Įvertinus pastaboje pateiktus argumentus, visgi m</w:t>
            </w:r>
            <w:r w:rsidR="00D26854" w:rsidRPr="00435FFC">
              <w:t>anytina, kad 10 metų teisinio darbo stažą viešojo administravimo srityje gali turėti neapibrėžtai platus asmenų ratas, o jų įgyta dalykinė patirtis nebūtinai naudinga teisėjo darbui. Šie asmenys iškart galėtų pretenduoti tapti apygardos administracinio teismo teisėjais (aplenkdami apylinkės teismo grandį). Todėl kompromiso dėlei siūlytina apsiriboti kitomis Teismų įstatymo pakeitimo projekte išvardytomis pareigybėmis, kurios didžiąja dalimi yra susijusios ir su patirtimi nagrinėjant ginčus: kadenciją baigę Seimo kontrolieriai, Lietuvos administracinių ginčų komisijos, Vyriausiosios tarnybinės etikos komisijos, Vyriausiosios rinkimų komisijos, Valstybinės energetikos reguliavimo tarybos, Mokestinių ginčų komisijos, Konkurencijos tarybos pirmininkai, jų pavaduotojai ir nariai.</w:t>
            </w:r>
          </w:p>
          <w:p w14:paraId="495BCA2D" w14:textId="15A5FB95" w:rsidR="00D26854" w:rsidRDefault="00D26854" w:rsidP="00D26854">
            <w:pPr>
              <w:shd w:val="clear" w:color="auto" w:fill="FFFFFF"/>
              <w:contextualSpacing/>
              <w:jc w:val="both"/>
              <w:rPr>
                <w:rFonts w:cs="Times New Roman"/>
                <w:szCs w:val="24"/>
              </w:rPr>
            </w:pPr>
            <w:r>
              <w:t xml:space="preserve">Pastaboje siūlomi papildomi kriterijai, t. y. darbas </w:t>
            </w:r>
            <w:r w:rsidRPr="004666F6">
              <w:rPr>
                <w:rFonts w:cs="Times New Roman"/>
                <w:i/>
                <w:iCs/>
                <w:szCs w:val="24"/>
              </w:rPr>
              <w:t>valstybinio administravimo subjektuose administracinio reglamentavimo srityje</w:t>
            </w:r>
            <w:r>
              <w:rPr>
                <w:rFonts w:cs="Times New Roman"/>
                <w:szCs w:val="24"/>
              </w:rPr>
              <w:t>, manytina, taip pat neleistų užtikrinti, kad asmuo yra įgijęs būtent teisėjo darbui reikalingos patirties. Be to, liktų neaišku, kodėl manoma, kad darbo valstybinio administravimo subjektuose patirtis yra vertingesnė nei darbo savivaldybių administravimo subjektuose patirtis, taip pat kuo konkrečiai teisėjo darbui būtų vertinga būtent patirtis, įgyta administracinio reglamentavimo srityje.</w:t>
            </w:r>
          </w:p>
          <w:p w14:paraId="1BB15015" w14:textId="473222D1" w:rsidR="00DD1F1E" w:rsidRPr="004666F6" w:rsidRDefault="00DD1F1E" w:rsidP="00D26854">
            <w:pPr>
              <w:shd w:val="clear" w:color="auto" w:fill="FFFFFF"/>
              <w:contextualSpacing/>
              <w:jc w:val="both"/>
              <w:rPr>
                <w:rFonts w:cs="Times New Roman"/>
                <w:szCs w:val="24"/>
              </w:rPr>
            </w:pPr>
            <w:r>
              <w:rPr>
                <w:rFonts w:cs="Times New Roman"/>
                <w:szCs w:val="24"/>
              </w:rPr>
              <w:t xml:space="preserve">Papildomai pastebėtina, kad teisės mokslininkų pritraukimas į teisėjų korpusą yra vertingas ir skatinamas tuo tikslu, kad teisės mokslo žinios būtų </w:t>
            </w:r>
            <w:r>
              <w:rPr>
                <w:rFonts w:cs="Times New Roman"/>
                <w:szCs w:val="24"/>
              </w:rPr>
              <w:lastRenderedPageBreak/>
              <w:t xml:space="preserve">plačiau pritaikomos praktikoje, būtų stiprinamas teismo sprendimų argumentavimas, skleidžiamas inovatyvus požiūris ir pan. </w:t>
            </w:r>
          </w:p>
          <w:p w14:paraId="56B9D955" w14:textId="61680008" w:rsidR="00D26854" w:rsidRPr="00D26854" w:rsidRDefault="00D26854" w:rsidP="004666F6">
            <w:pPr>
              <w:jc w:val="both"/>
              <w:rPr>
                <w:rFonts w:cs="Times New Roman"/>
                <w:b/>
                <w:szCs w:val="24"/>
              </w:rPr>
            </w:pPr>
          </w:p>
        </w:tc>
      </w:tr>
      <w:tr w:rsidR="004666F6" w:rsidRPr="005F43FA" w14:paraId="5696432A" w14:textId="77777777" w:rsidTr="0069649D">
        <w:tc>
          <w:tcPr>
            <w:tcW w:w="8363" w:type="dxa"/>
            <w:tcBorders>
              <w:top w:val="single" w:sz="4" w:space="0" w:color="auto"/>
              <w:left w:val="single" w:sz="4" w:space="0" w:color="auto"/>
              <w:bottom w:val="single" w:sz="4" w:space="0" w:color="auto"/>
              <w:right w:val="single" w:sz="4" w:space="0" w:color="auto"/>
            </w:tcBorders>
          </w:tcPr>
          <w:p w14:paraId="5D020C9C" w14:textId="66F69777" w:rsidR="004666F6" w:rsidRPr="004666F6" w:rsidRDefault="004666F6" w:rsidP="004666F6">
            <w:pPr>
              <w:pStyle w:val="Preformatted"/>
              <w:tabs>
                <w:tab w:val="clear" w:pos="959"/>
                <w:tab w:val="clear" w:pos="1918"/>
                <w:tab w:val="left" w:pos="1276"/>
              </w:tabs>
              <w:jc w:val="both"/>
              <w:rPr>
                <w:rFonts w:ascii="Times New Roman" w:hAnsi="Times New Roman"/>
                <w:bCs/>
                <w:sz w:val="24"/>
                <w:szCs w:val="24"/>
              </w:rPr>
            </w:pPr>
            <w:r w:rsidRPr="004666F6">
              <w:rPr>
                <w:rFonts w:ascii="Times New Roman" w:eastAsiaTheme="minorHAnsi" w:hAnsi="Times New Roman"/>
                <w:sz w:val="24"/>
                <w:szCs w:val="24"/>
              </w:rPr>
              <w:lastRenderedPageBreak/>
              <w:t xml:space="preserve">2. Toje pačioje </w:t>
            </w:r>
            <w:r w:rsidRPr="004666F6">
              <w:rPr>
                <w:rStyle w:val="normaltextrun1"/>
                <w:rFonts w:ascii="Times New Roman" w:hAnsi="Times New Roman"/>
                <w:sz w:val="24"/>
                <w:szCs w:val="24"/>
              </w:rPr>
              <w:t xml:space="preserve">Teismų įstatymo naujo 66 str. 2 d. iš institucijų, kurių kadenciją baigę pirmininkai, jų pavaduotojai ir nariai </w:t>
            </w:r>
            <w:r w:rsidRPr="004666F6">
              <w:rPr>
                <w:rFonts w:ascii="Times New Roman" w:hAnsi="Times New Roman"/>
                <w:sz w:val="24"/>
                <w:szCs w:val="24"/>
              </w:rPr>
              <w:t xml:space="preserve">gali būti skiriami Apygardos administracinio teismo teisėjais, sąrašo, </w:t>
            </w:r>
            <w:r w:rsidRPr="004666F6">
              <w:rPr>
                <w:rStyle w:val="normaltextrun1"/>
                <w:rFonts w:ascii="Times New Roman" w:hAnsi="Times New Roman"/>
                <w:sz w:val="24"/>
                <w:szCs w:val="24"/>
              </w:rPr>
              <w:t xml:space="preserve">siūlome išbraukti Vyriausiąją rinkimų komisiją atsižvelgiant į tai, kad didžioji šios komisijos narių dalis yra deleguojama partijų, </w:t>
            </w:r>
            <w:proofErr w:type="spellStart"/>
            <w:r w:rsidRPr="004666F6">
              <w:rPr>
                <w:rStyle w:val="normaltextrun1"/>
                <w:rFonts w:ascii="Times New Roman" w:hAnsi="Times New Roman"/>
                <w:sz w:val="24"/>
                <w:szCs w:val="24"/>
              </w:rPr>
              <w:t>t.y</w:t>
            </w:r>
            <w:proofErr w:type="spellEnd"/>
            <w:r w:rsidRPr="004666F6">
              <w:rPr>
                <w:rStyle w:val="normaltextrun1"/>
                <w:rFonts w:ascii="Times New Roman" w:hAnsi="Times New Roman"/>
                <w:sz w:val="24"/>
                <w:szCs w:val="24"/>
              </w:rPr>
              <w:t>. savo esme yra grynai politiniai paskyrimai, kuriems nėra keliami jokie kompetencijos reikalavimai (išskyrus formalų darbo rinkimų komisijose patirties). Arba bent jau reikėtų numatyti išimtį partijų deleguotų šios komisijos narių atžvilgiu.</w:t>
            </w:r>
          </w:p>
        </w:tc>
        <w:tc>
          <w:tcPr>
            <w:tcW w:w="5529" w:type="dxa"/>
            <w:tcBorders>
              <w:top w:val="single" w:sz="4" w:space="0" w:color="auto"/>
              <w:left w:val="single" w:sz="4" w:space="0" w:color="auto"/>
              <w:bottom w:val="single" w:sz="4" w:space="0" w:color="auto"/>
              <w:right w:val="single" w:sz="4" w:space="0" w:color="auto"/>
            </w:tcBorders>
          </w:tcPr>
          <w:p w14:paraId="40B654F3" w14:textId="3D06C14B" w:rsidR="00D26854" w:rsidRPr="00D26854" w:rsidRDefault="00D26854" w:rsidP="004666F6">
            <w:pPr>
              <w:jc w:val="both"/>
              <w:rPr>
                <w:b/>
                <w:bCs/>
              </w:rPr>
            </w:pPr>
            <w:r w:rsidRPr="00D26854">
              <w:rPr>
                <w:b/>
                <w:bCs/>
              </w:rPr>
              <w:t>Neatsižvelgta</w:t>
            </w:r>
          </w:p>
          <w:p w14:paraId="32AA9EAE" w14:textId="2EB6D386" w:rsidR="004666F6" w:rsidRPr="004666F6" w:rsidRDefault="00D26854" w:rsidP="004666F6">
            <w:pPr>
              <w:jc w:val="both"/>
              <w:rPr>
                <w:rFonts w:cs="Times New Roman"/>
                <w:bCs/>
                <w:szCs w:val="24"/>
              </w:rPr>
            </w:pPr>
            <w:r>
              <w:t>Manytina, kad, atsižvelgus į pastabą, asmenys būtų diskriminuojami pagal priklausymo politinei partijai kriterijų. Be to, įvertinus rinkimų įstatymuose įtvirtintą Vyriausiosios rinkimų komisijos kompetenciją, laikytina, kad visi šios komisijos nariai (nepriklausomai nuo to, kas juos delegavo) įgyja vertingų žinių rinkimų įstatymų taikymo ir atitinkamai ginčytinų klausimų nagrinėjimo srityje. Svarbu pažymėti ir tai, kad, siekdami kandidatuoti į apygardos administracinio teismo teisėjus, tokie asmenys privalėtų atitikti ir kitus Teismų įstatyme įtvirtintus reikalavimus – be kita ko, turėti aukštąjį universitetinį teisinį išsilavinimą (Teismų įstatymo 51 straipsnio 1 dalis).</w:t>
            </w:r>
          </w:p>
        </w:tc>
      </w:tr>
    </w:tbl>
    <w:p w14:paraId="4772808B" w14:textId="2E3FC8D9" w:rsidR="00415F87" w:rsidRPr="005F43FA" w:rsidRDefault="00415F87" w:rsidP="00FA4886">
      <w:pPr>
        <w:spacing w:line="240" w:lineRule="auto"/>
        <w:jc w:val="center"/>
        <w:rPr>
          <w:rFonts w:cs="Times New Roman"/>
          <w:szCs w:val="24"/>
        </w:rPr>
      </w:pPr>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9651" w14:textId="77777777" w:rsidR="00BD0A1B" w:rsidRDefault="00BD0A1B" w:rsidP="001A74E1">
      <w:pPr>
        <w:spacing w:after="0" w:line="240" w:lineRule="auto"/>
      </w:pPr>
      <w:r>
        <w:separator/>
      </w:r>
    </w:p>
  </w:endnote>
  <w:endnote w:type="continuationSeparator" w:id="0">
    <w:p w14:paraId="546DE844" w14:textId="77777777" w:rsidR="00BD0A1B" w:rsidRDefault="00BD0A1B" w:rsidP="001A74E1">
      <w:pPr>
        <w:spacing w:after="0" w:line="240" w:lineRule="auto"/>
      </w:pPr>
      <w:r>
        <w:continuationSeparator/>
      </w:r>
    </w:p>
  </w:endnote>
  <w:endnote w:type="continuationNotice" w:id="1">
    <w:p w14:paraId="64925009" w14:textId="77777777" w:rsidR="00BD0A1B" w:rsidRDefault="00BD0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D6EE" w14:textId="77777777" w:rsidR="00BD0A1B" w:rsidRDefault="00BD0A1B" w:rsidP="001A74E1">
      <w:pPr>
        <w:spacing w:after="0" w:line="240" w:lineRule="auto"/>
      </w:pPr>
      <w:r>
        <w:separator/>
      </w:r>
    </w:p>
  </w:footnote>
  <w:footnote w:type="continuationSeparator" w:id="0">
    <w:p w14:paraId="1BAEC083" w14:textId="77777777" w:rsidR="00BD0A1B" w:rsidRDefault="00BD0A1B" w:rsidP="001A74E1">
      <w:pPr>
        <w:spacing w:after="0" w:line="240" w:lineRule="auto"/>
      </w:pPr>
      <w:r>
        <w:continuationSeparator/>
      </w:r>
    </w:p>
  </w:footnote>
  <w:footnote w:type="continuationNotice" w:id="1">
    <w:p w14:paraId="458E7A40" w14:textId="77777777" w:rsidR="00BD0A1B" w:rsidRDefault="00BD0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502967"/>
      <w:docPartObj>
        <w:docPartGallery w:val="Page Numbers (Top of Page)"/>
        <w:docPartUnique/>
      </w:docPartObj>
    </w:sdtPr>
    <w:sdtEndPr/>
    <w:sdtContent>
      <w:p w14:paraId="2FF43E3E" w14:textId="77777777" w:rsidR="00991676" w:rsidRDefault="00991676">
        <w:pPr>
          <w:pStyle w:val="Header"/>
          <w:jc w:val="center"/>
        </w:pPr>
        <w:r>
          <w:fldChar w:fldCharType="begin"/>
        </w:r>
        <w:r>
          <w:instrText>PAGE   \* MERGEFORMAT</w:instrText>
        </w:r>
        <w:r>
          <w:fldChar w:fldCharType="separate"/>
        </w:r>
        <w:r w:rsidR="00A14E4C">
          <w:rPr>
            <w:noProof/>
          </w:rPr>
          <w:t>2</w:t>
        </w:r>
        <w:r>
          <w:fldChar w:fldCharType="end"/>
        </w:r>
      </w:p>
    </w:sdtContent>
  </w:sdt>
  <w:p w14:paraId="480493F5" w14:textId="77777777" w:rsidR="00991676" w:rsidRDefault="0099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543337"/>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1"/>
  </w:num>
  <w:num w:numId="5">
    <w:abstractNumId w:val="7"/>
  </w:num>
  <w:num w:numId="6">
    <w:abstractNumId w:val="15"/>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80"/>
    <w:rsid w:val="00006D83"/>
    <w:rsid w:val="000105C5"/>
    <w:rsid w:val="00011F89"/>
    <w:rsid w:val="0001325B"/>
    <w:rsid w:val="00017BA5"/>
    <w:rsid w:val="00023C51"/>
    <w:rsid w:val="00027F2B"/>
    <w:rsid w:val="00030121"/>
    <w:rsid w:val="00032FAB"/>
    <w:rsid w:val="00032FF1"/>
    <w:rsid w:val="0004761D"/>
    <w:rsid w:val="00050DA5"/>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77AB"/>
    <w:rsid w:val="000B7CCA"/>
    <w:rsid w:val="000D0F2E"/>
    <w:rsid w:val="000E0A46"/>
    <w:rsid w:val="000E210B"/>
    <w:rsid w:val="000E2BB0"/>
    <w:rsid w:val="000E4DC0"/>
    <w:rsid w:val="000E72BC"/>
    <w:rsid w:val="000F0F3C"/>
    <w:rsid w:val="000F75D9"/>
    <w:rsid w:val="00110461"/>
    <w:rsid w:val="00113D18"/>
    <w:rsid w:val="001215A5"/>
    <w:rsid w:val="00126745"/>
    <w:rsid w:val="0012778F"/>
    <w:rsid w:val="0013472B"/>
    <w:rsid w:val="001371A4"/>
    <w:rsid w:val="001427A4"/>
    <w:rsid w:val="00142C80"/>
    <w:rsid w:val="0014586D"/>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617C"/>
    <w:rsid w:val="001A6C8B"/>
    <w:rsid w:val="001A74E1"/>
    <w:rsid w:val="001D2DD0"/>
    <w:rsid w:val="001D35C4"/>
    <w:rsid w:val="001D4560"/>
    <w:rsid w:val="001E14C1"/>
    <w:rsid w:val="001E1DAC"/>
    <w:rsid w:val="001E2FB6"/>
    <w:rsid w:val="001E5AEB"/>
    <w:rsid w:val="001E7F07"/>
    <w:rsid w:val="001F0BA8"/>
    <w:rsid w:val="001F6612"/>
    <w:rsid w:val="001F6E6F"/>
    <w:rsid w:val="001F778B"/>
    <w:rsid w:val="00200687"/>
    <w:rsid w:val="0020288F"/>
    <w:rsid w:val="00205F8A"/>
    <w:rsid w:val="002119D5"/>
    <w:rsid w:val="00214BFC"/>
    <w:rsid w:val="0022091E"/>
    <w:rsid w:val="0022363D"/>
    <w:rsid w:val="00224081"/>
    <w:rsid w:val="00225B5E"/>
    <w:rsid w:val="0022668A"/>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A94"/>
    <w:rsid w:val="0029778E"/>
    <w:rsid w:val="002A29E9"/>
    <w:rsid w:val="002A2B6C"/>
    <w:rsid w:val="002B0257"/>
    <w:rsid w:val="002B2907"/>
    <w:rsid w:val="002C0530"/>
    <w:rsid w:val="002C207F"/>
    <w:rsid w:val="002C2E9F"/>
    <w:rsid w:val="002C6F16"/>
    <w:rsid w:val="002D0FCC"/>
    <w:rsid w:val="002D4903"/>
    <w:rsid w:val="002D73F5"/>
    <w:rsid w:val="002E25C3"/>
    <w:rsid w:val="002F17B1"/>
    <w:rsid w:val="002F2214"/>
    <w:rsid w:val="002F3DC2"/>
    <w:rsid w:val="002F4AB6"/>
    <w:rsid w:val="002F7932"/>
    <w:rsid w:val="002F7F81"/>
    <w:rsid w:val="003039D3"/>
    <w:rsid w:val="00305EBB"/>
    <w:rsid w:val="00305ECB"/>
    <w:rsid w:val="00315E70"/>
    <w:rsid w:val="00321ED9"/>
    <w:rsid w:val="00323D6E"/>
    <w:rsid w:val="0032769A"/>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B0F36"/>
    <w:rsid w:val="003B510B"/>
    <w:rsid w:val="003B579F"/>
    <w:rsid w:val="003C014A"/>
    <w:rsid w:val="003C3524"/>
    <w:rsid w:val="003C744D"/>
    <w:rsid w:val="003D228D"/>
    <w:rsid w:val="003E0AE9"/>
    <w:rsid w:val="003E297F"/>
    <w:rsid w:val="003E5E33"/>
    <w:rsid w:val="003F1A58"/>
    <w:rsid w:val="003F3309"/>
    <w:rsid w:val="003F5015"/>
    <w:rsid w:val="003F5C06"/>
    <w:rsid w:val="003F5DD9"/>
    <w:rsid w:val="003F6EBC"/>
    <w:rsid w:val="00415F87"/>
    <w:rsid w:val="004223AE"/>
    <w:rsid w:val="00424471"/>
    <w:rsid w:val="004245E2"/>
    <w:rsid w:val="004315DD"/>
    <w:rsid w:val="004418C5"/>
    <w:rsid w:val="00446752"/>
    <w:rsid w:val="0044766B"/>
    <w:rsid w:val="00450C04"/>
    <w:rsid w:val="004514C5"/>
    <w:rsid w:val="004569A7"/>
    <w:rsid w:val="004613DB"/>
    <w:rsid w:val="00463DFA"/>
    <w:rsid w:val="00465171"/>
    <w:rsid w:val="00465845"/>
    <w:rsid w:val="004666F6"/>
    <w:rsid w:val="004678DD"/>
    <w:rsid w:val="00467DB0"/>
    <w:rsid w:val="00472335"/>
    <w:rsid w:val="00475450"/>
    <w:rsid w:val="00475C34"/>
    <w:rsid w:val="004830CE"/>
    <w:rsid w:val="0048369F"/>
    <w:rsid w:val="004848A2"/>
    <w:rsid w:val="0048580D"/>
    <w:rsid w:val="00485D4A"/>
    <w:rsid w:val="00487CAE"/>
    <w:rsid w:val="004A21A2"/>
    <w:rsid w:val="004A2827"/>
    <w:rsid w:val="004B1773"/>
    <w:rsid w:val="004B4169"/>
    <w:rsid w:val="004B6F82"/>
    <w:rsid w:val="004C0AAF"/>
    <w:rsid w:val="004C15D1"/>
    <w:rsid w:val="004C20A2"/>
    <w:rsid w:val="004C39F0"/>
    <w:rsid w:val="004E04BF"/>
    <w:rsid w:val="004E4314"/>
    <w:rsid w:val="004E7E18"/>
    <w:rsid w:val="00500D1F"/>
    <w:rsid w:val="00502D19"/>
    <w:rsid w:val="00502EF6"/>
    <w:rsid w:val="00503E7F"/>
    <w:rsid w:val="0050418F"/>
    <w:rsid w:val="005046A5"/>
    <w:rsid w:val="005066C9"/>
    <w:rsid w:val="005144AA"/>
    <w:rsid w:val="005209CC"/>
    <w:rsid w:val="00522A95"/>
    <w:rsid w:val="00526545"/>
    <w:rsid w:val="00527807"/>
    <w:rsid w:val="005341DB"/>
    <w:rsid w:val="00534CB6"/>
    <w:rsid w:val="005403AC"/>
    <w:rsid w:val="005409AE"/>
    <w:rsid w:val="00540D33"/>
    <w:rsid w:val="00540F3C"/>
    <w:rsid w:val="00544C0C"/>
    <w:rsid w:val="00545038"/>
    <w:rsid w:val="00546C48"/>
    <w:rsid w:val="00547615"/>
    <w:rsid w:val="00552A71"/>
    <w:rsid w:val="00554089"/>
    <w:rsid w:val="00557F5F"/>
    <w:rsid w:val="00564B20"/>
    <w:rsid w:val="00565A80"/>
    <w:rsid w:val="005727C3"/>
    <w:rsid w:val="00580044"/>
    <w:rsid w:val="005817D1"/>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6C03"/>
    <w:rsid w:val="00611AF4"/>
    <w:rsid w:val="00616125"/>
    <w:rsid w:val="006170C6"/>
    <w:rsid w:val="006413E3"/>
    <w:rsid w:val="006524B2"/>
    <w:rsid w:val="0065644C"/>
    <w:rsid w:val="00660946"/>
    <w:rsid w:val="00663DEF"/>
    <w:rsid w:val="00664061"/>
    <w:rsid w:val="006647C4"/>
    <w:rsid w:val="006820D1"/>
    <w:rsid w:val="00682617"/>
    <w:rsid w:val="006840AE"/>
    <w:rsid w:val="006856B9"/>
    <w:rsid w:val="006861FF"/>
    <w:rsid w:val="006873EF"/>
    <w:rsid w:val="00690382"/>
    <w:rsid w:val="0069127D"/>
    <w:rsid w:val="00695516"/>
    <w:rsid w:val="006959FE"/>
    <w:rsid w:val="0069649D"/>
    <w:rsid w:val="006A149D"/>
    <w:rsid w:val="006A2E6E"/>
    <w:rsid w:val="006A4D02"/>
    <w:rsid w:val="006B24AB"/>
    <w:rsid w:val="006B490C"/>
    <w:rsid w:val="006B5E89"/>
    <w:rsid w:val="006B69B3"/>
    <w:rsid w:val="006B77C9"/>
    <w:rsid w:val="006D0FDD"/>
    <w:rsid w:val="006D502A"/>
    <w:rsid w:val="006D6029"/>
    <w:rsid w:val="006E006D"/>
    <w:rsid w:val="006E3884"/>
    <w:rsid w:val="006E79EB"/>
    <w:rsid w:val="006F2138"/>
    <w:rsid w:val="006F62D6"/>
    <w:rsid w:val="006F6385"/>
    <w:rsid w:val="006F68BD"/>
    <w:rsid w:val="006F7970"/>
    <w:rsid w:val="00720BA1"/>
    <w:rsid w:val="00723C27"/>
    <w:rsid w:val="00725EF0"/>
    <w:rsid w:val="00725F5D"/>
    <w:rsid w:val="00726020"/>
    <w:rsid w:val="00726899"/>
    <w:rsid w:val="007335D4"/>
    <w:rsid w:val="007408F8"/>
    <w:rsid w:val="0074312A"/>
    <w:rsid w:val="007445EE"/>
    <w:rsid w:val="0074631F"/>
    <w:rsid w:val="00754BCF"/>
    <w:rsid w:val="00755252"/>
    <w:rsid w:val="00755E2A"/>
    <w:rsid w:val="00762159"/>
    <w:rsid w:val="00765D32"/>
    <w:rsid w:val="00770554"/>
    <w:rsid w:val="00771E6A"/>
    <w:rsid w:val="007738DA"/>
    <w:rsid w:val="007777DA"/>
    <w:rsid w:val="00784FCE"/>
    <w:rsid w:val="00790F32"/>
    <w:rsid w:val="007952DD"/>
    <w:rsid w:val="007B62A7"/>
    <w:rsid w:val="007C0600"/>
    <w:rsid w:val="007D0685"/>
    <w:rsid w:val="007D104B"/>
    <w:rsid w:val="007D3929"/>
    <w:rsid w:val="007D3B2B"/>
    <w:rsid w:val="007D4D8F"/>
    <w:rsid w:val="007E557A"/>
    <w:rsid w:val="007E6A58"/>
    <w:rsid w:val="007F1063"/>
    <w:rsid w:val="007F2C38"/>
    <w:rsid w:val="00801012"/>
    <w:rsid w:val="008012F0"/>
    <w:rsid w:val="00803F6D"/>
    <w:rsid w:val="00813CB8"/>
    <w:rsid w:val="0081420F"/>
    <w:rsid w:val="00815438"/>
    <w:rsid w:val="00821186"/>
    <w:rsid w:val="008218C0"/>
    <w:rsid w:val="00825705"/>
    <w:rsid w:val="0082582E"/>
    <w:rsid w:val="00833202"/>
    <w:rsid w:val="00835A5F"/>
    <w:rsid w:val="008469E9"/>
    <w:rsid w:val="00850C3F"/>
    <w:rsid w:val="00852655"/>
    <w:rsid w:val="00855382"/>
    <w:rsid w:val="00855CF3"/>
    <w:rsid w:val="0085798D"/>
    <w:rsid w:val="00864415"/>
    <w:rsid w:val="008668F2"/>
    <w:rsid w:val="00867271"/>
    <w:rsid w:val="008814BE"/>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F1304"/>
    <w:rsid w:val="008F6F21"/>
    <w:rsid w:val="00902171"/>
    <w:rsid w:val="00902CFB"/>
    <w:rsid w:val="00906CCC"/>
    <w:rsid w:val="009071CC"/>
    <w:rsid w:val="00911B39"/>
    <w:rsid w:val="00912AA7"/>
    <w:rsid w:val="0091433E"/>
    <w:rsid w:val="00917022"/>
    <w:rsid w:val="00923F33"/>
    <w:rsid w:val="0093046F"/>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91676"/>
    <w:rsid w:val="00991FA1"/>
    <w:rsid w:val="00993425"/>
    <w:rsid w:val="00993B6E"/>
    <w:rsid w:val="00994D28"/>
    <w:rsid w:val="00995443"/>
    <w:rsid w:val="009A1005"/>
    <w:rsid w:val="009A6788"/>
    <w:rsid w:val="009B0744"/>
    <w:rsid w:val="009B1261"/>
    <w:rsid w:val="009B231D"/>
    <w:rsid w:val="009B5580"/>
    <w:rsid w:val="009C0BBA"/>
    <w:rsid w:val="009C1D86"/>
    <w:rsid w:val="009C35C0"/>
    <w:rsid w:val="009C5F86"/>
    <w:rsid w:val="009D6985"/>
    <w:rsid w:val="009D747A"/>
    <w:rsid w:val="009E009E"/>
    <w:rsid w:val="009E19C1"/>
    <w:rsid w:val="009E635F"/>
    <w:rsid w:val="009F385C"/>
    <w:rsid w:val="00A05FDA"/>
    <w:rsid w:val="00A10A05"/>
    <w:rsid w:val="00A118AE"/>
    <w:rsid w:val="00A12215"/>
    <w:rsid w:val="00A123C2"/>
    <w:rsid w:val="00A14E4C"/>
    <w:rsid w:val="00A2150A"/>
    <w:rsid w:val="00A24232"/>
    <w:rsid w:val="00A25966"/>
    <w:rsid w:val="00A316E8"/>
    <w:rsid w:val="00A31BE9"/>
    <w:rsid w:val="00A3349B"/>
    <w:rsid w:val="00A42182"/>
    <w:rsid w:val="00A507E5"/>
    <w:rsid w:val="00A61D8E"/>
    <w:rsid w:val="00A6392A"/>
    <w:rsid w:val="00A70843"/>
    <w:rsid w:val="00A71B8B"/>
    <w:rsid w:val="00A75550"/>
    <w:rsid w:val="00A77384"/>
    <w:rsid w:val="00A865FF"/>
    <w:rsid w:val="00A91F16"/>
    <w:rsid w:val="00A93B20"/>
    <w:rsid w:val="00A944D3"/>
    <w:rsid w:val="00A96432"/>
    <w:rsid w:val="00A9772A"/>
    <w:rsid w:val="00AA0912"/>
    <w:rsid w:val="00AA3556"/>
    <w:rsid w:val="00AA4C8A"/>
    <w:rsid w:val="00AA7736"/>
    <w:rsid w:val="00AB06D1"/>
    <w:rsid w:val="00AB1525"/>
    <w:rsid w:val="00AB3CA6"/>
    <w:rsid w:val="00AB4F7D"/>
    <w:rsid w:val="00AB6AE9"/>
    <w:rsid w:val="00AD0F49"/>
    <w:rsid w:val="00AD2C91"/>
    <w:rsid w:val="00AD2DB7"/>
    <w:rsid w:val="00AD6A50"/>
    <w:rsid w:val="00AE0995"/>
    <w:rsid w:val="00AE44A2"/>
    <w:rsid w:val="00AE4530"/>
    <w:rsid w:val="00AE50AE"/>
    <w:rsid w:val="00AF195A"/>
    <w:rsid w:val="00AF2744"/>
    <w:rsid w:val="00AF4FF3"/>
    <w:rsid w:val="00AF77AD"/>
    <w:rsid w:val="00AF7FB4"/>
    <w:rsid w:val="00B01443"/>
    <w:rsid w:val="00B075C4"/>
    <w:rsid w:val="00B16CE3"/>
    <w:rsid w:val="00B178B2"/>
    <w:rsid w:val="00B2004A"/>
    <w:rsid w:val="00B2009F"/>
    <w:rsid w:val="00B26615"/>
    <w:rsid w:val="00B306C8"/>
    <w:rsid w:val="00B3072D"/>
    <w:rsid w:val="00B34F32"/>
    <w:rsid w:val="00B3735E"/>
    <w:rsid w:val="00B418E1"/>
    <w:rsid w:val="00B46BDA"/>
    <w:rsid w:val="00B544F6"/>
    <w:rsid w:val="00B566BF"/>
    <w:rsid w:val="00B60A02"/>
    <w:rsid w:val="00B77D1A"/>
    <w:rsid w:val="00B82E77"/>
    <w:rsid w:val="00B850BE"/>
    <w:rsid w:val="00B85312"/>
    <w:rsid w:val="00B85949"/>
    <w:rsid w:val="00B86100"/>
    <w:rsid w:val="00B9174F"/>
    <w:rsid w:val="00B92D18"/>
    <w:rsid w:val="00BA4A2A"/>
    <w:rsid w:val="00BB0456"/>
    <w:rsid w:val="00BB5ECF"/>
    <w:rsid w:val="00BC062D"/>
    <w:rsid w:val="00BC0996"/>
    <w:rsid w:val="00BC12F9"/>
    <w:rsid w:val="00BC1366"/>
    <w:rsid w:val="00BC3FF8"/>
    <w:rsid w:val="00BC46A4"/>
    <w:rsid w:val="00BD0A1B"/>
    <w:rsid w:val="00BD0E85"/>
    <w:rsid w:val="00BD236E"/>
    <w:rsid w:val="00BD3DEA"/>
    <w:rsid w:val="00BD74DA"/>
    <w:rsid w:val="00BE2040"/>
    <w:rsid w:val="00BE39B7"/>
    <w:rsid w:val="00BF0E28"/>
    <w:rsid w:val="00BF1FFC"/>
    <w:rsid w:val="00BF4091"/>
    <w:rsid w:val="00BF48AA"/>
    <w:rsid w:val="00BF7827"/>
    <w:rsid w:val="00C033D6"/>
    <w:rsid w:val="00C068F1"/>
    <w:rsid w:val="00C07266"/>
    <w:rsid w:val="00C1265A"/>
    <w:rsid w:val="00C13260"/>
    <w:rsid w:val="00C166CB"/>
    <w:rsid w:val="00C2670F"/>
    <w:rsid w:val="00C31CCD"/>
    <w:rsid w:val="00C322A6"/>
    <w:rsid w:val="00C3560F"/>
    <w:rsid w:val="00C46820"/>
    <w:rsid w:val="00C53F8C"/>
    <w:rsid w:val="00C544FD"/>
    <w:rsid w:val="00C54764"/>
    <w:rsid w:val="00C54BE8"/>
    <w:rsid w:val="00C56F94"/>
    <w:rsid w:val="00C66F54"/>
    <w:rsid w:val="00C7315D"/>
    <w:rsid w:val="00C77144"/>
    <w:rsid w:val="00C83BA5"/>
    <w:rsid w:val="00C866C0"/>
    <w:rsid w:val="00C923B7"/>
    <w:rsid w:val="00C97074"/>
    <w:rsid w:val="00CA058C"/>
    <w:rsid w:val="00CA2A03"/>
    <w:rsid w:val="00CA2DBB"/>
    <w:rsid w:val="00CA3C23"/>
    <w:rsid w:val="00CB116C"/>
    <w:rsid w:val="00CB21A4"/>
    <w:rsid w:val="00CB383F"/>
    <w:rsid w:val="00CB6CBF"/>
    <w:rsid w:val="00CB793C"/>
    <w:rsid w:val="00CC4B98"/>
    <w:rsid w:val="00CC4D08"/>
    <w:rsid w:val="00CD1376"/>
    <w:rsid w:val="00CE2213"/>
    <w:rsid w:val="00CE5AB2"/>
    <w:rsid w:val="00CF2553"/>
    <w:rsid w:val="00CF2E99"/>
    <w:rsid w:val="00D01541"/>
    <w:rsid w:val="00D02223"/>
    <w:rsid w:val="00D0449A"/>
    <w:rsid w:val="00D1683C"/>
    <w:rsid w:val="00D208C9"/>
    <w:rsid w:val="00D20B2D"/>
    <w:rsid w:val="00D26169"/>
    <w:rsid w:val="00D26854"/>
    <w:rsid w:val="00D41389"/>
    <w:rsid w:val="00D43E3B"/>
    <w:rsid w:val="00D4424F"/>
    <w:rsid w:val="00D46783"/>
    <w:rsid w:val="00D50909"/>
    <w:rsid w:val="00D561BD"/>
    <w:rsid w:val="00D61EE7"/>
    <w:rsid w:val="00D677CC"/>
    <w:rsid w:val="00D67D95"/>
    <w:rsid w:val="00D74576"/>
    <w:rsid w:val="00D76E1B"/>
    <w:rsid w:val="00D8283E"/>
    <w:rsid w:val="00D87A33"/>
    <w:rsid w:val="00D91E25"/>
    <w:rsid w:val="00D93BC5"/>
    <w:rsid w:val="00D97B72"/>
    <w:rsid w:val="00DA4B43"/>
    <w:rsid w:val="00DA75F3"/>
    <w:rsid w:val="00DB3C1B"/>
    <w:rsid w:val="00DB522C"/>
    <w:rsid w:val="00DB5ABD"/>
    <w:rsid w:val="00DB76BD"/>
    <w:rsid w:val="00DC5961"/>
    <w:rsid w:val="00DC7AFD"/>
    <w:rsid w:val="00DD0288"/>
    <w:rsid w:val="00DD11C8"/>
    <w:rsid w:val="00DD1E48"/>
    <w:rsid w:val="00DD1F1E"/>
    <w:rsid w:val="00DD5105"/>
    <w:rsid w:val="00DD6376"/>
    <w:rsid w:val="00DE2D8E"/>
    <w:rsid w:val="00DE3519"/>
    <w:rsid w:val="00DF2E0E"/>
    <w:rsid w:val="00DF3D22"/>
    <w:rsid w:val="00DF7E14"/>
    <w:rsid w:val="00E01ADA"/>
    <w:rsid w:val="00E06B5A"/>
    <w:rsid w:val="00E103DC"/>
    <w:rsid w:val="00E1069D"/>
    <w:rsid w:val="00E211B9"/>
    <w:rsid w:val="00E2712E"/>
    <w:rsid w:val="00E2729C"/>
    <w:rsid w:val="00E3338D"/>
    <w:rsid w:val="00E33891"/>
    <w:rsid w:val="00E35C93"/>
    <w:rsid w:val="00E4005E"/>
    <w:rsid w:val="00E42DAD"/>
    <w:rsid w:val="00E43484"/>
    <w:rsid w:val="00E462F3"/>
    <w:rsid w:val="00E548F8"/>
    <w:rsid w:val="00E57042"/>
    <w:rsid w:val="00E61906"/>
    <w:rsid w:val="00E65CE1"/>
    <w:rsid w:val="00E8329A"/>
    <w:rsid w:val="00E902BA"/>
    <w:rsid w:val="00E96008"/>
    <w:rsid w:val="00EA32F3"/>
    <w:rsid w:val="00EA36CD"/>
    <w:rsid w:val="00EA6FA6"/>
    <w:rsid w:val="00EA72B7"/>
    <w:rsid w:val="00EB0966"/>
    <w:rsid w:val="00EB1862"/>
    <w:rsid w:val="00EB3EFF"/>
    <w:rsid w:val="00EB49CA"/>
    <w:rsid w:val="00EB4C67"/>
    <w:rsid w:val="00EB6DD3"/>
    <w:rsid w:val="00EB732B"/>
    <w:rsid w:val="00EB7719"/>
    <w:rsid w:val="00EC26B7"/>
    <w:rsid w:val="00EC60B5"/>
    <w:rsid w:val="00EC6986"/>
    <w:rsid w:val="00ED194E"/>
    <w:rsid w:val="00ED32D3"/>
    <w:rsid w:val="00ED378C"/>
    <w:rsid w:val="00ED58B6"/>
    <w:rsid w:val="00EE1DEE"/>
    <w:rsid w:val="00EF1D29"/>
    <w:rsid w:val="00F00E92"/>
    <w:rsid w:val="00F01520"/>
    <w:rsid w:val="00F02B57"/>
    <w:rsid w:val="00F03D30"/>
    <w:rsid w:val="00F047CE"/>
    <w:rsid w:val="00F17DAF"/>
    <w:rsid w:val="00F234FB"/>
    <w:rsid w:val="00F24F7D"/>
    <w:rsid w:val="00F3282F"/>
    <w:rsid w:val="00F353DB"/>
    <w:rsid w:val="00F3632D"/>
    <w:rsid w:val="00F4038E"/>
    <w:rsid w:val="00F41C92"/>
    <w:rsid w:val="00F42D02"/>
    <w:rsid w:val="00F456BE"/>
    <w:rsid w:val="00F46E54"/>
    <w:rsid w:val="00F4777A"/>
    <w:rsid w:val="00F47BB9"/>
    <w:rsid w:val="00F539A6"/>
    <w:rsid w:val="00F53B3A"/>
    <w:rsid w:val="00F54396"/>
    <w:rsid w:val="00F55493"/>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A2988"/>
    <w:rsid w:val="00FA42CB"/>
    <w:rsid w:val="00FA4886"/>
    <w:rsid w:val="00FA7254"/>
    <w:rsid w:val="00FB1199"/>
    <w:rsid w:val="00FB39F5"/>
    <w:rsid w:val="00FB4DC3"/>
    <w:rsid w:val="00FB4FA5"/>
    <w:rsid w:val="00FC5D30"/>
    <w:rsid w:val="00FC6128"/>
    <w:rsid w:val="00FC7789"/>
    <w:rsid w:val="00FD2BD4"/>
    <w:rsid w:val="00FD31AA"/>
    <w:rsid w:val="00FD38EB"/>
    <w:rsid w:val="00FD3CA9"/>
    <w:rsid w:val="00FD714E"/>
    <w:rsid w:val="00FE14C3"/>
    <w:rsid w:val="00FE48C2"/>
    <w:rsid w:val="00FE601B"/>
    <w:rsid w:val="00FF05BA"/>
    <w:rsid w:val="00FF0F20"/>
    <w:rsid w:val="00FF15C9"/>
    <w:rsid w:val="00FF1C79"/>
    <w:rsid w:val="00FF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C6"/>
  </w:style>
  <w:style w:type="paragraph" w:styleId="Heading1">
    <w:name w:val="heading 1"/>
    <w:basedOn w:val="Normal"/>
    <w:next w:val="Normal"/>
    <w:link w:val="Heading1Char"/>
    <w:qFormat/>
    <w:rsid w:val="00FF0F20"/>
    <w:pPr>
      <w:keepNext/>
      <w:numPr>
        <w:numId w:val="16"/>
      </w:numPr>
      <w:spacing w:after="0" w:line="240" w:lineRule="auto"/>
      <w:jc w:val="center"/>
      <w:outlineLvl w:val="0"/>
    </w:pPr>
    <w:rPr>
      <w:rFonts w:eastAsia="Times New Roman" w:cs="Times New Roman"/>
      <w:szCs w:val="20"/>
    </w:rPr>
  </w:style>
  <w:style w:type="paragraph" w:styleId="Heading2">
    <w:name w:val="heading 2"/>
    <w:basedOn w:val="Normal"/>
    <w:next w:val="Normal"/>
    <w:link w:val="Heading2Char"/>
    <w:qFormat/>
    <w:rsid w:val="00FF0F20"/>
    <w:pPr>
      <w:keepNext/>
      <w:numPr>
        <w:ilvl w:val="1"/>
        <w:numId w:val="16"/>
      </w:numPr>
      <w:spacing w:after="0" w:line="240" w:lineRule="auto"/>
      <w:jc w:val="center"/>
      <w:outlineLvl w:val="1"/>
    </w:pPr>
    <w:rPr>
      <w:rFonts w:eastAsia="Times New Roman" w:cs="Times New Roman"/>
      <w:b/>
      <w:szCs w:val="20"/>
    </w:rPr>
  </w:style>
  <w:style w:type="paragraph" w:styleId="Heading3">
    <w:name w:val="heading 3"/>
    <w:basedOn w:val="Normal"/>
    <w:next w:val="Normal"/>
    <w:link w:val="Heading3Char"/>
    <w:qFormat/>
    <w:rsid w:val="00FF0F20"/>
    <w:pPr>
      <w:keepNext/>
      <w:numPr>
        <w:ilvl w:val="2"/>
        <w:numId w:val="16"/>
      </w:numPr>
      <w:spacing w:after="0" w:line="360" w:lineRule="auto"/>
      <w:jc w:val="center"/>
      <w:outlineLvl w:val="2"/>
    </w:pPr>
    <w:rPr>
      <w:rFonts w:eastAsia="Times New Roman" w:cs="Times New Roman"/>
      <w:b/>
      <w:szCs w:val="20"/>
    </w:rPr>
  </w:style>
  <w:style w:type="paragraph" w:styleId="Heading4">
    <w:name w:val="heading 4"/>
    <w:basedOn w:val="Normal"/>
    <w:next w:val="Normal"/>
    <w:link w:val="Heading4Char"/>
    <w:qFormat/>
    <w:rsid w:val="00FF0F20"/>
    <w:pPr>
      <w:keepNext/>
      <w:numPr>
        <w:ilvl w:val="3"/>
        <w:numId w:val="16"/>
      </w:numPr>
      <w:spacing w:after="0" w:line="240" w:lineRule="auto"/>
      <w:outlineLvl w:val="3"/>
    </w:pPr>
    <w:rPr>
      <w:rFonts w:eastAsia="Times New Roman" w:cs="Times New Roman"/>
      <w:sz w:val="28"/>
      <w:szCs w:val="20"/>
    </w:rPr>
  </w:style>
  <w:style w:type="paragraph" w:styleId="Heading5">
    <w:name w:val="heading 5"/>
    <w:basedOn w:val="Normal"/>
    <w:next w:val="Normal"/>
    <w:link w:val="Heading5Char"/>
    <w:qFormat/>
    <w:rsid w:val="00FF0F20"/>
    <w:pPr>
      <w:keepNext/>
      <w:numPr>
        <w:ilvl w:val="4"/>
        <w:numId w:val="16"/>
      </w:numPr>
      <w:spacing w:after="0" w:line="360" w:lineRule="auto"/>
      <w:jc w:val="both"/>
      <w:outlineLvl w:val="4"/>
    </w:pPr>
    <w:rPr>
      <w:rFonts w:eastAsia="Times New Roman" w:cs="Times New Roman"/>
      <w:sz w:val="28"/>
      <w:szCs w:val="20"/>
    </w:rPr>
  </w:style>
  <w:style w:type="paragraph" w:styleId="Heading6">
    <w:name w:val="heading 6"/>
    <w:basedOn w:val="Normal"/>
    <w:next w:val="Normal"/>
    <w:link w:val="Heading6Char"/>
    <w:qFormat/>
    <w:rsid w:val="00FF0F20"/>
    <w:pPr>
      <w:keepNext/>
      <w:numPr>
        <w:ilvl w:val="5"/>
        <w:numId w:val="16"/>
      </w:numPr>
      <w:spacing w:after="0" w:line="240" w:lineRule="auto"/>
      <w:outlineLvl w:val="5"/>
    </w:pPr>
    <w:rPr>
      <w:rFonts w:eastAsia="Times New Roman" w:cs="Times New Roman"/>
      <w:b/>
      <w:sz w:val="20"/>
      <w:szCs w:val="20"/>
      <w:lang w:val="en-US"/>
    </w:rPr>
  </w:style>
  <w:style w:type="paragraph" w:styleId="Heading7">
    <w:name w:val="heading 7"/>
    <w:basedOn w:val="Normal"/>
    <w:next w:val="Normal"/>
    <w:link w:val="Heading7Char"/>
    <w:uiPriority w:val="9"/>
    <w:semiHidden/>
    <w:unhideWhenUsed/>
    <w:qFormat/>
    <w:rsid w:val="00FF0F20"/>
    <w:pPr>
      <w:keepNext/>
      <w:keepLines/>
      <w:numPr>
        <w:ilvl w:val="6"/>
        <w:numId w:val="16"/>
      </w:numPr>
      <w:spacing w:before="40" w:after="0" w:line="240" w:lineRule="auto"/>
      <w:outlineLvl w:val="6"/>
    </w:pPr>
    <w:rPr>
      <w:rFonts w:asciiTheme="majorHAnsi" w:eastAsiaTheme="majorEastAsia" w:hAnsiTheme="majorHAnsi" w:cstheme="majorBidi"/>
      <w:i/>
      <w:iCs/>
      <w:color w:val="1F4D78" w:themeColor="accent1" w:themeShade="7F"/>
      <w:sz w:val="20"/>
      <w:szCs w:val="20"/>
      <w:lang w:val="en-US"/>
    </w:rPr>
  </w:style>
  <w:style w:type="paragraph" w:styleId="Heading8">
    <w:name w:val="heading 8"/>
    <w:basedOn w:val="Normal"/>
    <w:next w:val="Normal"/>
    <w:link w:val="Heading8Char"/>
    <w:uiPriority w:val="9"/>
    <w:semiHidden/>
    <w:unhideWhenUsed/>
    <w:qFormat/>
    <w:rsid w:val="00FF0F20"/>
    <w:pPr>
      <w:keepNext/>
      <w:keepLines/>
      <w:numPr>
        <w:ilvl w:val="7"/>
        <w:numId w:val="16"/>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FF0F20"/>
    <w:pPr>
      <w:keepNext/>
      <w:keepLines/>
      <w:numPr>
        <w:ilvl w:val="8"/>
        <w:numId w:val="16"/>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eader">
    <w:name w:val="header"/>
    <w:aliases w:val="Char,Diagrama Diagrama Diagrama, Char"/>
    <w:basedOn w:val="Normal"/>
    <w:link w:val="HeaderChar"/>
    <w:uiPriority w:val="99"/>
    <w:unhideWhenUsed/>
    <w:rsid w:val="001A74E1"/>
    <w:pPr>
      <w:tabs>
        <w:tab w:val="center" w:pos="4819"/>
        <w:tab w:val="right" w:pos="9638"/>
      </w:tabs>
      <w:spacing w:after="0" w:line="240" w:lineRule="auto"/>
    </w:pPr>
  </w:style>
  <w:style w:type="character" w:customStyle="1" w:styleId="HeaderChar">
    <w:name w:val="Header Char"/>
    <w:aliases w:val="Char Char,Diagrama Diagrama Diagrama Char, Char Char"/>
    <w:basedOn w:val="DefaultParagraphFont"/>
    <w:link w:val="Header"/>
    <w:uiPriority w:val="99"/>
    <w:rsid w:val="001A74E1"/>
  </w:style>
  <w:style w:type="paragraph" w:styleId="Footer">
    <w:name w:val="footer"/>
    <w:basedOn w:val="Normal"/>
    <w:link w:val="FooterChar"/>
    <w:uiPriority w:val="99"/>
    <w:unhideWhenUsed/>
    <w:rsid w:val="001A74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4E1"/>
  </w:style>
  <w:style w:type="paragraph" w:styleId="NormalWeb">
    <w:name w:val="Normal (Web)"/>
    <w:basedOn w:val="Normal"/>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ageNumber">
    <w:name w:val="page number"/>
    <w:basedOn w:val="DefaultParagraphFont"/>
    <w:rsid w:val="008B1782"/>
  </w:style>
  <w:style w:type="character" w:styleId="Strong">
    <w:name w:val="Strong"/>
    <w:basedOn w:val="DefaultParagraphFont"/>
    <w:uiPriority w:val="22"/>
    <w:qFormat/>
    <w:rsid w:val="008B1782"/>
    <w:rPr>
      <w:b/>
      <w:bCs/>
    </w:rPr>
  </w:style>
  <w:style w:type="paragraph" w:styleId="BalloonText">
    <w:name w:val="Balloon Text"/>
    <w:basedOn w:val="Normal"/>
    <w:link w:val="BalloonTextChar"/>
    <w:uiPriority w:val="99"/>
    <w:semiHidden/>
    <w:unhideWhenUsed/>
    <w:rsid w:val="00C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08"/>
    <w:rPr>
      <w:rFonts w:ascii="Segoe UI" w:hAnsi="Segoe UI" w:cs="Segoe UI"/>
      <w:sz w:val="18"/>
      <w:szCs w:val="18"/>
    </w:rPr>
  </w:style>
  <w:style w:type="paragraph" w:styleId="ListParagraph">
    <w:name w:val="List Paragraph"/>
    <w:basedOn w:val="Normal"/>
    <w:uiPriority w:val="34"/>
    <w:qFormat/>
    <w:rsid w:val="00D1683C"/>
    <w:pPr>
      <w:ind w:left="720"/>
      <w:contextualSpacing/>
    </w:pPr>
  </w:style>
  <w:style w:type="character" w:styleId="CommentReference">
    <w:name w:val="annotation reference"/>
    <w:basedOn w:val="DefaultParagraphFont"/>
    <w:uiPriority w:val="99"/>
    <w:unhideWhenUsed/>
    <w:rsid w:val="00FF25D9"/>
    <w:rPr>
      <w:sz w:val="16"/>
      <w:szCs w:val="16"/>
    </w:rPr>
  </w:style>
  <w:style w:type="paragraph" w:styleId="CommentText">
    <w:name w:val="annotation text"/>
    <w:basedOn w:val="Normal"/>
    <w:link w:val="CommentTextChar"/>
    <w:uiPriority w:val="99"/>
    <w:unhideWhenUsed/>
    <w:rsid w:val="00FF25D9"/>
    <w:pPr>
      <w:spacing w:line="240" w:lineRule="auto"/>
    </w:pPr>
    <w:rPr>
      <w:sz w:val="20"/>
      <w:szCs w:val="20"/>
    </w:rPr>
  </w:style>
  <w:style w:type="character" w:customStyle="1" w:styleId="CommentTextChar">
    <w:name w:val="Comment Text Char"/>
    <w:basedOn w:val="DefaultParagraphFont"/>
    <w:link w:val="CommentText"/>
    <w:uiPriority w:val="99"/>
    <w:rsid w:val="00FF25D9"/>
    <w:rPr>
      <w:sz w:val="20"/>
      <w:szCs w:val="20"/>
    </w:rPr>
  </w:style>
  <w:style w:type="paragraph" w:styleId="CommentSubject">
    <w:name w:val="annotation subject"/>
    <w:basedOn w:val="CommentText"/>
    <w:next w:val="CommentText"/>
    <w:link w:val="CommentSubjectChar"/>
    <w:uiPriority w:val="99"/>
    <w:semiHidden/>
    <w:unhideWhenUsed/>
    <w:rsid w:val="00FF25D9"/>
    <w:rPr>
      <w:b/>
      <w:bCs/>
    </w:rPr>
  </w:style>
  <w:style w:type="character" w:customStyle="1" w:styleId="CommentSubjectChar">
    <w:name w:val="Comment Subject Char"/>
    <w:basedOn w:val="CommentTextChar"/>
    <w:link w:val="CommentSubject"/>
    <w:uiPriority w:val="99"/>
    <w:semiHidden/>
    <w:rsid w:val="00FF25D9"/>
    <w:rPr>
      <w:b/>
      <w:bCs/>
      <w:sz w:val="20"/>
      <w:szCs w:val="20"/>
    </w:rPr>
  </w:style>
  <w:style w:type="paragraph" w:styleId="Revision">
    <w:name w:val="Revision"/>
    <w:hidden/>
    <w:uiPriority w:val="99"/>
    <w:semiHidden/>
    <w:rsid w:val="00D02223"/>
    <w:pPr>
      <w:spacing w:after="0" w:line="240" w:lineRule="auto"/>
    </w:pPr>
  </w:style>
  <w:style w:type="paragraph" w:styleId="PlainText">
    <w:name w:val="Plain Text"/>
    <w:basedOn w:val="Normal"/>
    <w:link w:val="PlainTextChar"/>
    <w:uiPriority w:val="99"/>
    <w:semiHidden/>
    <w:unhideWhenUsed/>
    <w:rsid w:val="005864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customStyle="1" w:styleId="CM4">
    <w:name w:val="CM4"/>
    <w:basedOn w:val="Normal"/>
    <w:next w:val="Normal"/>
    <w:uiPriority w:val="99"/>
    <w:rsid w:val="00CA2A03"/>
    <w:pPr>
      <w:autoSpaceDE w:val="0"/>
      <w:autoSpaceDN w:val="0"/>
      <w:adjustRightInd w:val="0"/>
      <w:spacing w:after="0" w:line="240" w:lineRule="auto"/>
    </w:pPr>
    <w:rPr>
      <w:rFonts w:ascii="EUAlbertina" w:hAnsi="EUAlbertina"/>
      <w:szCs w:val="24"/>
    </w:rPr>
  </w:style>
  <w:style w:type="character" w:customStyle="1" w:styleId="Heading1Char">
    <w:name w:val="Heading 1 Char"/>
    <w:basedOn w:val="DefaultParagraphFont"/>
    <w:link w:val="Heading1"/>
    <w:rsid w:val="00FF0F20"/>
    <w:rPr>
      <w:rFonts w:eastAsia="Times New Roman" w:cs="Times New Roman"/>
      <w:szCs w:val="20"/>
    </w:rPr>
  </w:style>
  <w:style w:type="character" w:customStyle="1" w:styleId="Heading2Char">
    <w:name w:val="Heading 2 Char"/>
    <w:basedOn w:val="DefaultParagraphFont"/>
    <w:link w:val="Heading2"/>
    <w:rsid w:val="00FF0F20"/>
    <w:rPr>
      <w:rFonts w:eastAsia="Times New Roman" w:cs="Times New Roman"/>
      <w:b/>
      <w:szCs w:val="20"/>
    </w:rPr>
  </w:style>
  <w:style w:type="character" w:customStyle="1" w:styleId="Heading3Char">
    <w:name w:val="Heading 3 Char"/>
    <w:basedOn w:val="DefaultParagraphFont"/>
    <w:link w:val="Heading3"/>
    <w:rsid w:val="00FF0F20"/>
    <w:rPr>
      <w:rFonts w:eastAsia="Times New Roman" w:cs="Times New Roman"/>
      <w:b/>
      <w:szCs w:val="20"/>
    </w:rPr>
  </w:style>
  <w:style w:type="character" w:customStyle="1" w:styleId="Heading4Char">
    <w:name w:val="Heading 4 Char"/>
    <w:basedOn w:val="DefaultParagraphFont"/>
    <w:link w:val="Heading4"/>
    <w:rsid w:val="00FF0F20"/>
    <w:rPr>
      <w:rFonts w:eastAsia="Times New Roman" w:cs="Times New Roman"/>
      <w:sz w:val="28"/>
      <w:szCs w:val="20"/>
    </w:rPr>
  </w:style>
  <w:style w:type="character" w:customStyle="1" w:styleId="Heading5Char">
    <w:name w:val="Heading 5 Char"/>
    <w:basedOn w:val="DefaultParagraphFont"/>
    <w:link w:val="Heading5"/>
    <w:rsid w:val="00FF0F20"/>
    <w:rPr>
      <w:rFonts w:eastAsia="Times New Roman" w:cs="Times New Roman"/>
      <w:sz w:val="28"/>
      <w:szCs w:val="20"/>
    </w:rPr>
  </w:style>
  <w:style w:type="character" w:customStyle="1" w:styleId="Heading6Char">
    <w:name w:val="Heading 6 Char"/>
    <w:basedOn w:val="DefaultParagraphFont"/>
    <w:link w:val="Heading6"/>
    <w:rsid w:val="00FF0F20"/>
    <w:rPr>
      <w:rFonts w:eastAsia="Times New Roman" w:cs="Times New Roman"/>
      <w:b/>
      <w:sz w:val="20"/>
      <w:szCs w:val="20"/>
      <w:lang w:val="en-US"/>
    </w:rPr>
  </w:style>
  <w:style w:type="character" w:customStyle="1" w:styleId="Heading7Char">
    <w:name w:val="Heading 7 Char"/>
    <w:basedOn w:val="DefaultParagraphFont"/>
    <w:link w:val="Heading7"/>
    <w:uiPriority w:val="9"/>
    <w:semiHidden/>
    <w:rsid w:val="00FF0F20"/>
    <w:rPr>
      <w:rFonts w:asciiTheme="majorHAnsi" w:eastAsiaTheme="majorEastAsia" w:hAnsiTheme="majorHAnsi" w:cstheme="majorBidi"/>
      <w:i/>
      <w:iCs/>
      <w:color w:val="1F4D78" w:themeColor="accent1" w:themeShade="7F"/>
      <w:sz w:val="20"/>
      <w:szCs w:val="20"/>
      <w:lang w:val="en-US"/>
    </w:rPr>
  </w:style>
  <w:style w:type="character" w:customStyle="1" w:styleId="Heading8Char">
    <w:name w:val="Heading 8 Char"/>
    <w:basedOn w:val="DefaultParagraphFont"/>
    <w:link w:val="Heading8"/>
    <w:uiPriority w:val="9"/>
    <w:semiHidden/>
    <w:rsid w:val="00FF0F2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F0F20"/>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qFormat/>
    <w:rsid w:val="00FF0F20"/>
    <w:pPr>
      <w:spacing w:after="0" w:line="240" w:lineRule="auto"/>
      <w:jc w:val="center"/>
    </w:pPr>
    <w:rPr>
      <w:rFonts w:eastAsia="Times New Roman" w:cs="Times New Roman"/>
      <w:b/>
      <w:szCs w:val="20"/>
    </w:rPr>
  </w:style>
  <w:style w:type="character" w:customStyle="1" w:styleId="normaltextrun1">
    <w:name w:val="normaltextrun1"/>
    <w:basedOn w:val="DefaultParagraphFont"/>
    <w:rsid w:val="0046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609553646">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3BAC-0B76-4404-921D-A4CCC883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6059</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2021-09-22T11:52:00Z</dcterms:created>
  <dc:creator>Jūratė Peciukonytė</dc:creator>
  <cp:lastModifiedBy>Tautginas Mickevicius</cp:lastModifiedBy>
  <cp:lastPrinted>2018-03-29T06:10:00Z</cp:lastPrinted>
  <dcterms:modified xsi:type="dcterms:W3CDTF">2021-09-22T11:52:00Z</dcterms:modified>
  <cp:revision>2</cp:revision>
</cp:coreProperties>
</file>