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FB" w:rsidRDefault="009C05FB">
      <w:pPr>
        <w:rPr>
          <w:rFonts w:cs="Times New Roman"/>
          <w:lang w:val="lt-LT"/>
        </w:rPr>
      </w:pPr>
    </w:p>
    <w:p w:rsidR="009C05FB" w:rsidRDefault="00EF5DC6">
      <w:pPr>
        <w:framePr w:w="826" w:h="964" w:hRule="exact" w:hSpace="180" w:wrap="around" w:vAnchor="text" w:hAnchor="page" w:x="6031" w:y="7"/>
        <w:tabs>
          <w:tab w:val="left" w:pos="8931"/>
        </w:tabs>
        <w:ind w:right="-1"/>
        <w:jc w:val="center"/>
        <w:rPr>
          <w:rFonts w:cs="Times New Roman"/>
          <w:lang w:val="lt-LT"/>
        </w:rPr>
      </w:pPr>
      <w:r>
        <w:rPr>
          <w:noProof/>
          <w:lang w:val="lt-LT" w:bidi="ar-SA"/>
        </w:rPr>
        <w:drawing>
          <wp:inline distT="0" distB="0" distL="0" distR="0">
            <wp:extent cx="524510" cy="61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24510" cy="612140"/>
                    </a:xfrm>
                    <a:prstGeom prst="rect">
                      <a:avLst/>
                    </a:prstGeom>
                  </pic:spPr>
                </pic:pic>
              </a:graphicData>
            </a:graphic>
          </wp:inline>
        </w:drawing>
      </w:r>
    </w:p>
    <w:p w:rsidR="009C05FB" w:rsidRDefault="009C05FB">
      <w:pPr>
        <w:rPr>
          <w:rFonts w:cs="Times New Roman"/>
          <w:lang w:val="lt-LT"/>
        </w:rPr>
      </w:pPr>
    </w:p>
    <w:p w:rsidR="009C05FB" w:rsidRDefault="009C05FB">
      <w:pPr>
        <w:rPr>
          <w:rFonts w:cs="Times New Roman"/>
          <w:lang w:val="lt-LT"/>
        </w:rPr>
      </w:pPr>
    </w:p>
    <w:p w:rsidR="009C05FB" w:rsidRDefault="009C05FB">
      <w:pPr>
        <w:rPr>
          <w:rFonts w:cs="Times New Roman"/>
          <w:lang w:val="lt-LT"/>
        </w:rPr>
      </w:pPr>
    </w:p>
    <w:p w:rsidR="009C05FB" w:rsidRDefault="009C05FB">
      <w:pPr>
        <w:pStyle w:val="Heading2"/>
        <w:rPr>
          <w:rFonts w:cs="Times New Roman"/>
          <w:sz w:val="12"/>
          <w:szCs w:val="12"/>
        </w:rPr>
      </w:pPr>
    </w:p>
    <w:p w:rsidR="009C05FB" w:rsidRDefault="00EF5DC6">
      <w:pPr>
        <w:pStyle w:val="Heading2"/>
        <w:rPr>
          <w:rFonts w:cs="Times New Roman"/>
        </w:rPr>
      </w:pPr>
      <w:r>
        <w:rPr>
          <w:rFonts w:cs="Times New Roman"/>
        </w:rPr>
        <w:t>LIETUVOS RESPUBLIKOS KRAŠTO APSAUGOS MINISTERIJA</w:t>
      </w:r>
    </w:p>
    <w:p w:rsidR="009C05FB" w:rsidRDefault="00EF5DC6">
      <w:pPr>
        <w:jc w:val="center"/>
        <w:rPr>
          <w:rFonts w:cs="Times New Roman"/>
          <w:sz w:val="18"/>
          <w:szCs w:val="18"/>
          <w:lang w:val="lt-LT" w:eastAsia="en-US" w:bidi="ar-SA"/>
        </w:rPr>
      </w:pPr>
      <w:r>
        <w:rPr>
          <w:rFonts w:cs="Times New Roman"/>
          <w:sz w:val="18"/>
          <w:szCs w:val="18"/>
          <w:lang w:val="lt-LT" w:eastAsia="en-US" w:bidi="ar-SA"/>
        </w:rPr>
        <w:t xml:space="preserve">Biudžetinė įstaiga, Totorių g. 25, LT-01121 Vilnius, tel.: (8 5)  </w:t>
      </w:r>
      <w:r>
        <w:rPr>
          <w:rFonts w:eastAsia="Calibri" w:cs="Times New Roman"/>
          <w:sz w:val="18"/>
          <w:szCs w:val="18"/>
          <w:lang w:val="lt-LT" w:eastAsia="en-US" w:bidi="ar-SA"/>
        </w:rPr>
        <w:t>273 5673</w:t>
      </w:r>
      <w:r>
        <w:rPr>
          <w:rFonts w:cs="Times New Roman"/>
          <w:sz w:val="18"/>
          <w:szCs w:val="18"/>
          <w:lang w:val="lt-LT" w:eastAsia="en-US" w:bidi="ar-SA"/>
        </w:rPr>
        <w:t xml:space="preserve">, 8 706 80 501, faks. (8 5)  264 8517, el. p. </w:t>
      </w:r>
      <w:hyperlink r:id="rId9">
        <w:r>
          <w:rPr>
            <w:rFonts w:cs="Times New Roman"/>
            <w:sz w:val="18"/>
            <w:szCs w:val="18"/>
            <w:lang w:val="lt-LT" w:eastAsia="en-US" w:bidi="ar-SA"/>
          </w:rPr>
          <w:t>kam@kam.lt</w:t>
        </w:r>
      </w:hyperlink>
      <w:r>
        <w:rPr>
          <w:rFonts w:cs="Times New Roman"/>
          <w:sz w:val="18"/>
          <w:szCs w:val="18"/>
          <w:lang w:val="lt-LT" w:eastAsia="en-US" w:bidi="ar-SA"/>
        </w:rPr>
        <w:t>.</w:t>
      </w:r>
    </w:p>
    <w:p w:rsidR="009C05FB" w:rsidRDefault="00EF5DC6">
      <w:pPr>
        <w:jc w:val="center"/>
        <w:rPr>
          <w:rFonts w:cs="Times New Roman"/>
          <w:sz w:val="18"/>
          <w:szCs w:val="18"/>
          <w:lang w:val="lt-LT" w:eastAsia="en-US" w:bidi="ar-SA"/>
        </w:rPr>
      </w:pPr>
      <w:r>
        <w:rPr>
          <w:rFonts w:cs="Times New Roman"/>
          <w:sz w:val="18"/>
          <w:szCs w:val="18"/>
          <w:lang w:val="lt-LT" w:eastAsia="en-US" w:bidi="ar-SA"/>
        </w:rPr>
        <w:t>Duomenys kaupiami ir saugomi Juridinių asmenų registre, kodas 188602751</w:t>
      </w:r>
    </w:p>
    <w:p w:rsidR="009C05FB" w:rsidRDefault="009C05FB">
      <w:pPr>
        <w:pStyle w:val="Caption"/>
        <w:pBdr>
          <w:bottom w:val="single" w:sz="4" w:space="1" w:color="000000"/>
        </w:pBdr>
        <w:spacing w:before="0" w:after="0" w:line="360" w:lineRule="auto"/>
        <w:rPr>
          <w:rFonts w:cs="Times New Roman"/>
          <w:sz w:val="2"/>
        </w:rPr>
      </w:pPr>
    </w:p>
    <w:p w:rsidR="009C05FB" w:rsidRDefault="009C05FB">
      <w:pPr>
        <w:rPr>
          <w:rFonts w:cs="Times New Roman"/>
          <w:lang w:val="lt-LT"/>
        </w:rPr>
      </w:pPr>
    </w:p>
    <w:tbl>
      <w:tblPr>
        <w:tblW w:w="11250" w:type="dxa"/>
        <w:tblLayout w:type="fixed"/>
        <w:tblLook w:val="0000" w:firstRow="0" w:lastRow="0" w:firstColumn="0" w:lastColumn="0" w:noHBand="0" w:noVBand="0"/>
      </w:tblPr>
      <w:tblGrid>
        <w:gridCol w:w="5637"/>
        <w:gridCol w:w="2160"/>
        <w:gridCol w:w="600"/>
        <w:gridCol w:w="783"/>
        <w:gridCol w:w="1287"/>
        <w:gridCol w:w="783"/>
      </w:tblGrid>
      <w:tr w:rsidR="009C05FB">
        <w:trPr>
          <w:cantSplit/>
          <w:trHeight w:val="347"/>
        </w:trPr>
        <w:tc>
          <w:tcPr>
            <w:tcW w:w="5637" w:type="dxa"/>
            <w:vMerge w:val="restart"/>
          </w:tcPr>
          <w:p w:rsidR="009C05FB" w:rsidRDefault="00EF5DC6">
            <w:pPr>
              <w:widowControl w:val="0"/>
              <w:spacing w:line="360" w:lineRule="atLeast"/>
              <w:ind w:hanging="100"/>
              <w:rPr>
                <w:rFonts w:ascii="TimesNewRomanPSMT" w:hAnsi="TimesNewRomanPSMT" w:cs="TimesNewRomanPSMT"/>
                <w:sz w:val="24"/>
                <w:szCs w:val="24"/>
                <w:lang w:val="lt-LT" w:bidi="ar-SA"/>
              </w:rPr>
            </w:pPr>
            <w:r>
              <w:rPr>
                <w:rFonts w:ascii="TimesNewRomanPSMT" w:hAnsi="TimesNewRomanPSMT" w:cs="TimesNewRomanPSMT"/>
                <w:sz w:val="24"/>
                <w:szCs w:val="24"/>
                <w:lang w:val="lt-LT" w:bidi="ar-SA"/>
              </w:rPr>
              <w:t>Lietuvos Respublikos Vyriausybei</w:t>
            </w:r>
          </w:p>
          <w:p w:rsidR="009C05FB" w:rsidRDefault="009C05FB">
            <w:pPr>
              <w:widowControl w:val="0"/>
              <w:spacing w:line="276" w:lineRule="auto"/>
              <w:rPr>
                <w:rFonts w:ascii="TimesNewRomanPSMT" w:hAnsi="TimesNewRomanPSMT" w:cs="TimesNewRomanPSMT"/>
                <w:sz w:val="24"/>
                <w:szCs w:val="24"/>
                <w:lang w:val="lt-LT" w:bidi="ar-SA"/>
              </w:rPr>
            </w:pPr>
          </w:p>
          <w:p w:rsidR="009C05FB" w:rsidRDefault="009C05FB">
            <w:pPr>
              <w:widowControl w:val="0"/>
              <w:spacing w:line="276" w:lineRule="auto"/>
              <w:rPr>
                <w:rFonts w:cs="Times New Roman"/>
                <w:sz w:val="24"/>
                <w:szCs w:val="24"/>
                <w:lang w:val="lt-LT"/>
              </w:rPr>
            </w:pPr>
          </w:p>
        </w:tc>
        <w:tc>
          <w:tcPr>
            <w:tcW w:w="2160" w:type="dxa"/>
          </w:tcPr>
          <w:p w:rsidR="009C05FB" w:rsidRDefault="00EF5DC6">
            <w:pPr>
              <w:widowControl w:val="0"/>
              <w:spacing w:line="276" w:lineRule="auto"/>
              <w:ind w:right="132"/>
              <w:rPr>
                <w:rFonts w:cs="Times New Roman"/>
                <w:sz w:val="24"/>
                <w:szCs w:val="24"/>
                <w:lang w:val="lt-LT"/>
              </w:rPr>
            </w:pPr>
            <w:r>
              <w:rPr>
                <w:rFonts w:cs="Times New Roman"/>
                <w:sz w:val="24"/>
                <w:szCs w:val="24"/>
                <w:lang w:val="lt-LT"/>
              </w:rPr>
              <w:t xml:space="preserve">          2021-09-              </w:t>
            </w:r>
          </w:p>
        </w:tc>
        <w:tc>
          <w:tcPr>
            <w:tcW w:w="1383" w:type="dxa"/>
            <w:gridSpan w:val="2"/>
          </w:tcPr>
          <w:p w:rsidR="009C05FB" w:rsidRDefault="00EF5DC6">
            <w:pPr>
              <w:widowControl w:val="0"/>
              <w:spacing w:line="276" w:lineRule="auto"/>
              <w:rPr>
                <w:rFonts w:cs="Times New Roman"/>
                <w:sz w:val="24"/>
                <w:szCs w:val="24"/>
                <w:lang w:val="lt-LT"/>
              </w:rPr>
            </w:pPr>
            <w:r>
              <w:rPr>
                <w:rFonts w:cs="Times New Roman"/>
                <w:sz w:val="24"/>
                <w:szCs w:val="24"/>
                <w:lang w:val="lt-LT"/>
              </w:rPr>
              <w:t>Nr. 12-01</w:t>
            </w:r>
          </w:p>
        </w:tc>
        <w:tc>
          <w:tcPr>
            <w:tcW w:w="2070" w:type="dxa"/>
            <w:gridSpan w:val="2"/>
          </w:tcPr>
          <w:p w:rsidR="009C05FB" w:rsidRDefault="009C05FB">
            <w:pPr>
              <w:widowControl w:val="0"/>
              <w:spacing w:line="276" w:lineRule="auto"/>
              <w:rPr>
                <w:rFonts w:cs="Times New Roman"/>
                <w:sz w:val="24"/>
                <w:szCs w:val="24"/>
                <w:lang w:val="lt-LT"/>
              </w:rPr>
            </w:pPr>
          </w:p>
        </w:tc>
      </w:tr>
      <w:tr w:rsidR="009C05FB">
        <w:trPr>
          <w:cantSplit/>
          <w:trHeight w:val="986"/>
        </w:trPr>
        <w:tc>
          <w:tcPr>
            <w:tcW w:w="5637" w:type="dxa"/>
            <w:vMerge/>
            <w:vAlign w:val="center"/>
          </w:tcPr>
          <w:p w:rsidR="009C05FB" w:rsidRDefault="009C05FB">
            <w:pPr>
              <w:widowControl w:val="0"/>
              <w:spacing w:line="276" w:lineRule="auto"/>
              <w:rPr>
                <w:rFonts w:cs="Times New Roman"/>
                <w:lang w:val="lt-LT"/>
              </w:rPr>
            </w:pPr>
          </w:p>
        </w:tc>
        <w:tc>
          <w:tcPr>
            <w:tcW w:w="2160" w:type="dxa"/>
          </w:tcPr>
          <w:p w:rsidR="009C05FB" w:rsidRDefault="009C05FB">
            <w:pPr>
              <w:widowControl w:val="0"/>
              <w:spacing w:line="276" w:lineRule="auto"/>
              <w:ind w:right="132"/>
              <w:jc w:val="right"/>
              <w:rPr>
                <w:rFonts w:cs="Times New Roman"/>
                <w:sz w:val="24"/>
                <w:szCs w:val="24"/>
                <w:lang w:val="lt-LT"/>
              </w:rPr>
            </w:pPr>
          </w:p>
        </w:tc>
        <w:tc>
          <w:tcPr>
            <w:tcW w:w="600" w:type="dxa"/>
          </w:tcPr>
          <w:p w:rsidR="009C05FB" w:rsidRDefault="009C05FB">
            <w:pPr>
              <w:widowControl w:val="0"/>
              <w:spacing w:line="276" w:lineRule="auto"/>
              <w:jc w:val="right"/>
              <w:rPr>
                <w:rFonts w:cs="Times New Roman"/>
                <w:sz w:val="24"/>
                <w:szCs w:val="24"/>
                <w:lang w:val="lt-LT"/>
              </w:rPr>
            </w:pPr>
          </w:p>
        </w:tc>
        <w:tc>
          <w:tcPr>
            <w:tcW w:w="2070" w:type="dxa"/>
            <w:gridSpan w:val="2"/>
          </w:tcPr>
          <w:p w:rsidR="009C05FB" w:rsidRDefault="009C05FB">
            <w:pPr>
              <w:widowControl w:val="0"/>
              <w:spacing w:line="276" w:lineRule="auto"/>
              <w:rPr>
                <w:rFonts w:cs="Times New Roman"/>
                <w:sz w:val="24"/>
                <w:szCs w:val="24"/>
                <w:lang w:val="lt-LT"/>
              </w:rPr>
            </w:pPr>
          </w:p>
        </w:tc>
        <w:tc>
          <w:tcPr>
            <w:tcW w:w="783" w:type="dxa"/>
          </w:tcPr>
          <w:p w:rsidR="009C05FB" w:rsidRDefault="009C05FB">
            <w:pPr>
              <w:widowControl w:val="0"/>
            </w:pPr>
          </w:p>
        </w:tc>
      </w:tr>
    </w:tbl>
    <w:p w:rsidR="009C05FB" w:rsidRDefault="009C05FB">
      <w:pPr>
        <w:spacing w:line="276" w:lineRule="auto"/>
        <w:rPr>
          <w:lang w:val="lt-LT"/>
        </w:rPr>
      </w:pPr>
    </w:p>
    <w:p w:rsidR="009C05FB" w:rsidRDefault="00EF5DC6">
      <w:pPr>
        <w:pStyle w:val="Heading1"/>
        <w:spacing w:line="276" w:lineRule="auto"/>
        <w:jc w:val="both"/>
        <w:rPr>
          <w:rFonts w:ascii="Times New Roman" w:hAnsi="Times New Roman" w:cs="Times New Roman"/>
          <w:b/>
          <w:caps w:val="0"/>
          <w:sz w:val="24"/>
          <w:szCs w:val="24"/>
        </w:rPr>
      </w:pPr>
      <w:r>
        <w:rPr>
          <w:rFonts w:ascii="Times New Roman" w:hAnsi="Times New Roman" w:cs="Times New Roman"/>
          <w:b/>
          <w:caps w:val="0"/>
          <w:sz w:val="24"/>
          <w:szCs w:val="24"/>
        </w:rPr>
        <w:t>DĖL LIETUVOS RESPUBLIKOS VYRIAUSYBĖS NUTARIMŲ PROJEKTŲ</w:t>
      </w:r>
    </w:p>
    <w:p w:rsidR="009C05FB" w:rsidRDefault="009C05FB">
      <w:pPr>
        <w:pStyle w:val="BodyText"/>
        <w:spacing w:line="276" w:lineRule="auto"/>
        <w:jc w:val="both"/>
        <w:rPr>
          <w:rFonts w:cs="Times New Roman"/>
          <w:bCs w:val="0"/>
        </w:rPr>
      </w:pPr>
    </w:p>
    <w:p w:rsidR="009C05FB" w:rsidRDefault="009C05FB">
      <w:pPr>
        <w:pStyle w:val="BodyText"/>
        <w:spacing w:line="276" w:lineRule="auto"/>
        <w:jc w:val="both"/>
        <w:rPr>
          <w:rFonts w:cs="Times New Roman"/>
          <w:bCs w:val="0"/>
        </w:rPr>
      </w:pPr>
    </w:p>
    <w:p w:rsidR="009C05FB" w:rsidRDefault="00EF5DC6">
      <w:pPr>
        <w:ind w:firstLine="709"/>
        <w:jc w:val="both"/>
        <w:rPr>
          <w:rFonts w:ascii="TimesNewRomanPSMT" w:hAnsi="TimesNewRomanPSMT" w:cs="TimesNewRomanPSMT"/>
          <w:sz w:val="24"/>
          <w:szCs w:val="24"/>
          <w:lang w:val="lt-LT" w:bidi="ar-SA"/>
        </w:rPr>
      </w:pPr>
      <w:r>
        <w:rPr>
          <w:rFonts w:cs="Times New Roman"/>
          <w:sz w:val="24"/>
          <w:szCs w:val="24"/>
          <w:lang w:val="lt-LT"/>
        </w:rPr>
        <w:t xml:space="preserve">Teikiame </w:t>
      </w:r>
      <w:r>
        <w:rPr>
          <w:rFonts w:ascii="TimesNewRomanPSMT" w:hAnsi="TimesNewRomanPSMT" w:cs="TimesNewRomanPSMT"/>
          <w:sz w:val="24"/>
          <w:szCs w:val="24"/>
          <w:lang w:val="lt-LT" w:bidi="ar-SA"/>
        </w:rPr>
        <w:t xml:space="preserve">Lietuvos Respublikos Vyriausybės nutarimo „Dėl Lietuvos Respublikos Vyriausybės 2006 m. lapkričio 8 d. nutarimo Nr. 1098 „Dėl tarptautinių oro uostų žemės nuomos“ pakeitimo“ ir Lietuvos Respublikos Vyriausybės nutarimo „Dėl Lietuvos Respublikos Vyriausybės 2006 m. spalio 31 d. nutarimo Nr. 1088 „Dėl Tarptautinių oro uostų žemės nuomos mokesčio apskaičiavimo tvarkos ir dydžių </w:t>
      </w:r>
      <w:bookmarkStart w:id="0" w:name="_GoBack"/>
      <w:r w:rsidR="005B2883">
        <w:rPr>
          <w:rFonts w:ascii="TimesNewRomanPSMT" w:hAnsi="TimesNewRomanPSMT" w:cs="TimesNewRomanPSMT"/>
          <w:sz w:val="24"/>
          <w:szCs w:val="24"/>
          <w:lang w:val="lt-LT" w:bidi="ar-SA"/>
        </w:rPr>
        <w:t>aprašo</w:t>
      </w:r>
      <w:r w:rsidR="005B2883">
        <w:rPr>
          <w:rFonts w:ascii="TimesNewRomanPSMT" w:hAnsi="TimesNewRomanPSMT" w:cs="TimesNewRomanPSMT"/>
          <w:sz w:val="24"/>
          <w:szCs w:val="24"/>
          <w:lang w:val="lt-LT" w:bidi="ar-SA"/>
        </w:rPr>
        <w:t xml:space="preserve"> </w:t>
      </w:r>
      <w:bookmarkEnd w:id="0"/>
      <w:r>
        <w:rPr>
          <w:rFonts w:ascii="TimesNewRomanPSMT" w:hAnsi="TimesNewRomanPSMT" w:cs="TimesNewRomanPSMT"/>
          <w:sz w:val="24"/>
          <w:szCs w:val="24"/>
          <w:lang w:val="lt-LT" w:bidi="ar-SA"/>
        </w:rPr>
        <w:t>patvirtinimo“ pakeitimo“ projektus (toliau – Nutarimų projektai).</w:t>
      </w:r>
    </w:p>
    <w:p w:rsidR="009C05FB" w:rsidRDefault="00EF5DC6">
      <w:pPr>
        <w:ind w:firstLine="709"/>
        <w:jc w:val="both"/>
        <w:rPr>
          <w:sz w:val="24"/>
          <w:szCs w:val="24"/>
          <w:lang w:val="lt-LT"/>
        </w:rPr>
      </w:pPr>
      <w:r>
        <w:rPr>
          <w:rFonts w:ascii="TimesNewRomanPSMT" w:hAnsi="TimesNewRomanPSMT" w:cs="TimesNewRomanPSMT"/>
          <w:sz w:val="24"/>
          <w:szCs w:val="24"/>
          <w:lang w:val="lt-LT" w:bidi="ar-SA"/>
        </w:rPr>
        <w:t xml:space="preserve">Nutarimų projektai parengti atsižvelgiant į </w:t>
      </w:r>
      <w:r>
        <w:rPr>
          <w:sz w:val="24"/>
          <w:szCs w:val="24"/>
          <w:lang w:val="lt-LT"/>
        </w:rPr>
        <w:t xml:space="preserve">2021 m. birželio 22 d. </w:t>
      </w:r>
      <w:r>
        <w:rPr>
          <w:rFonts w:ascii="TimesNewRomanPSMT" w:hAnsi="TimesNewRomanPSMT" w:cs="TimesNewRomanPSMT"/>
          <w:sz w:val="24"/>
          <w:szCs w:val="24"/>
          <w:lang w:val="lt-LT" w:bidi="ar-SA"/>
        </w:rPr>
        <w:t xml:space="preserve">Lietuvos Respublikos </w:t>
      </w:r>
      <w:r>
        <w:rPr>
          <w:sz w:val="24"/>
          <w:szCs w:val="24"/>
          <w:lang w:val="lt-LT"/>
        </w:rPr>
        <w:t xml:space="preserve">aviacijos įstatymo Nr. VIII-2066 2, 5, 6, 8, 12, 16, 24, 28, 33, 35, 41, 45, 46, 47, 49, 52 straipsnių ir 3 priedo pakeitimo ir Įstatymo papildymo </w:t>
      </w:r>
      <w:r>
        <w:rPr>
          <w:bCs/>
          <w:sz w:val="24"/>
          <w:szCs w:val="24"/>
        </w:rPr>
        <w:t>41</w:t>
      </w:r>
      <w:r>
        <w:rPr>
          <w:bCs/>
          <w:szCs w:val="24"/>
          <w:vertAlign w:val="superscript"/>
        </w:rPr>
        <w:t xml:space="preserve">1 </w:t>
      </w:r>
      <w:r>
        <w:rPr>
          <w:sz w:val="24"/>
          <w:szCs w:val="24"/>
          <w:lang w:val="lt-LT"/>
        </w:rPr>
        <w:t>straipsniu ir III skyriaus dešimtuoju skirsniu įstatymą Nr. XIV-439</w:t>
      </w:r>
      <w:r>
        <w:rPr>
          <w:rFonts w:ascii="TimesNewRomanPSMT" w:hAnsi="TimesNewRomanPSMT" w:cs="TimesNewRomanPSMT"/>
          <w:sz w:val="24"/>
          <w:szCs w:val="24"/>
          <w:lang w:val="lt-LT" w:bidi="ar-SA"/>
        </w:rPr>
        <w:t xml:space="preserve">. Nutarimų </w:t>
      </w:r>
      <w:r>
        <w:rPr>
          <w:bCs/>
          <w:sz w:val="24"/>
          <w:szCs w:val="24"/>
          <w:lang w:val="lt-LT"/>
        </w:rPr>
        <w:t xml:space="preserve">projektuose atliekami redakcinio pobūdžio pakeitimai </w:t>
      </w:r>
      <w:r>
        <w:rPr>
          <w:rFonts w:ascii="TimesNewRomanPSMT" w:hAnsi="TimesNewRomanPSMT" w:cs="TimesNewRomanPSMT"/>
          <w:sz w:val="24"/>
          <w:szCs w:val="24"/>
          <w:lang w:val="lt-LT" w:bidi="ar-SA"/>
        </w:rPr>
        <w:t>siekiant įgyvendinti Lietuvos Respublikos aviacijos įstatymo 33 straipsnio pakeitimus,</w:t>
      </w:r>
      <w:r>
        <w:rPr>
          <w:sz w:val="24"/>
          <w:szCs w:val="24"/>
          <w:lang w:val="lt-LT"/>
        </w:rPr>
        <w:t xml:space="preserve"> kad valstybės institucijos ar įstaigos, valdančios tarptautinius oro uostus, turėtų analogiškus įgaliojimus ir galimybes dėl </w:t>
      </w:r>
      <w:r>
        <w:rPr>
          <w:rFonts w:ascii="TimesNewRomanPSMT" w:hAnsi="TimesNewRomanPSMT" w:cs="TimesNewRomanPSMT"/>
          <w:sz w:val="24"/>
          <w:szCs w:val="24"/>
          <w:lang w:val="lt-LT" w:bidi="ar-SA"/>
        </w:rPr>
        <w:t>tarptautinių oro uostų žemės nuomos ir</w:t>
      </w:r>
      <w:r>
        <w:rPr>
          <w:rFonts w:cs="Times New Roman"/>
          <w:sz w:val="24"/>
          <w:szCs w:val="24"/>
          <w:lang w:val="lt-LT"/>
        </w:rPr>
        <w:t xml:space="preserve"> oro uosto žemės nuomos mokesčio apskaičiavimo, taip pat oro uosto žemės nuomos mokesčio dydžio nustatymo,</w:t>
      </w:r>
      <w:r>
        <w:rPr>
          <w:sz w:val="24"/>
          <w:szCs w:val="24"/>
          <w:lang w:val="lt-LT"/>
        </w:rPr>
        <w:t xml:space="preserve"> kaip ir tarptautinį oro uostą valdančios įmonės.</w:t>
      </w:r>
    </w:p>
    <w:p w:rsidR="009C05FB" w:rsidRDefault="00EF5DC6">
      <w:pPr>
        <w:ind w:firstLine="709"/>
        <w:jc w:val="both"/>
        <w:rPr>
          <w:rFonts w:ascii="TimesNewRomanPSMT" w:hAnsi="TimesNewRomanPSMT" w:cs="TimesNewRomanPSMT"/>
          <w:sz w:val="24"/>
          <w:szCs w:val="24"/>
          <w:lang w:val="lt-LT" w:bidi="ar-SA"/>
        </w:rPr>
      </w:pPr>
      <w:r>
        <w:rPr>
          <w:rFonts w:ascii="TimesNewRomanPSMT" w:hAnsi="TimesNewRomanPSMT" w:cs="TimesNewRomanPSMT"/>
          <w:sz w:val="24"/>
          <w:szCs w:val="24"/>
          <w:lang w:val="lt-LT" w:bidi="ar-SA"/>
        </w:rPr>
        <w:t xml:space="preserve">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 </w:t>
      </w:r>
    </w:p>
    <w:p w:rsidR="009C05FB" w:rsidRDefault="00EF5DC6">
      <w:pPr>
        <w:ind w:firstLine="709"/>
        <w:jc w:val="both"/>
        <w:rPr>
          <w:color w:val="000000" w:themeColor="text1"/>
          <w:sz w:val="24"/>
          <w:szCs w:val="24"/>
          <w:lang w:val="lt-LT"/>
        </w:rPr>
      </w:pPr>
      <w:r>
        <w:rPr>
          <w:sz w:val="24"/>
          <w:szCs w:val="24"/>
          <w:lang w:val="lt-LT"/>
        </w:rPr>
        <w:t>Papildomų lėšų Nutarimų projektams įgyvendinti neprireiks. Priėmus Nutarimų projektus, neigiamų pasekmių nenumatoma</w:t>
      </w:r>
      <w:r>
        <w:rPr>
          <w:color w:val="000000" w:themeColor="text1"/>
          <w:sz w:val="24"/>
          <w:szCs w:val="24"/>
          <w:lang w:val="lt-LT"/>
        </w:rPr>
        <w:t xml:space="preserve">. </w:t>
      </w:r>
    </w:p>
    <w:p w:rsidR="009C05FB" w:rsidRDefault="00EF5DC6">
      <w:pPr>
        <w:ind w:firstLine="709"/>
        <w:jc w:val="both"/>
        <w:rPr>
          <w:color w:val="000000" w:themeColor="text1"/>
          <w:sz w:val="24"/>
          <w:szCs w:val="24"/>
          <w:lang w:val="lt-LT"/>
        </w:rPr>
      </w:pPr>
      <w:r>
        <w:rPr>
          <w:sz w:val="24"/>
          <w:szCs w:val="24"/>
          <w:lang w:val="lt-LT"/>
        </w:rPr>
        <w:t xml:space="preserve">Nutarimų projektai buvo pateikti išvadoms gauti </w:t>
      </w:r>
      <w:r>
        <w:rPr>
          <w:rFonts w:ascii="TimesNewRomanPSMT" w:hAnsi="TimesNewRomanPSMT" w:cs="TimesNewRomanPSMT"/>
          <w:sz w:val="24"/>
          <w:szCs w:val="24"/>
          <w:lang w:val="lt-LT" w:bidi="ar-SA"/>
        </w:rPr>
        <w:t xml:space="preserve">Lietuvos Respublikos aplinkos, Lietuvos Respublikos finansų, Lietuvos Respublikos ekonomikos ir inovacijų, Lietuvos Respublikos susisiekimo, Lietuvos Respublikos žemės ūkio ir Lietuvos Respublikos teisingumo ministerijoms, taip pat Nacionalinei žemės tarnybai prie Žemės ūkio ministerijos, Lietuvos transporto saugos administracijai ir VšĮ Transporto kompetencijų agentūrai. Finansų, Susisiekimo ir Žemės ūkio ministerijos, Nacionalinė žemės tarnyba prie Žemės ūkio ministerijos ir VšĮ Transporto kompetencijų agentūra Nutarimų projektus derino be pastabų. Aplinkos ir Ekonomikos ir inovacijų ministerijos, taip pat Lietuvos transporto saugos administracija per nustatytą terminą išvadų nepateikė, todėl laikome, kad jos Nutarimo projektams pritaria. </w:t>
      </w:r>
      <w:r>
        <w:rPr>
          <w:sz w:val="24"/>
          <w:szCs w:val="24"/>
          <w:lang w:val="lt-LT"/>
        </w:rPr>
        <w:t xml:space="preserve">Atsižvelgiant į Teisingumo ministerijos pastabas ir pasiūlymus, Nutarimų projektuose atlikti </w:t>
      </w:r>
      <w:r>
        <w:rPr>
          <w:color w:val="000000" w:themeColor="text1"/>
          <w:sz w:val="24"/>
          <w:szCs w:val="24"/>
          <w:lang w:val="lt-LT"/>
        </w:rPr>
        <w:t xml:space="preserve">redakcinio pobūdžio pataisymai. </w:t>
      </w:r>
    </w:p>
    <w:p w:rsidR="009C05FB" w:rsidRDefault="00EF5DC6">
      <w:pPr>
        <w:ind w:firstLine="709"/>
        <w:jc w:val="both"/>
        <w:rPr>
          <w:rFonts w:cs="Times New Roman"/>
          <w:sz w:val="24"/>
          <w:szCs w:val="24"/>
          <w:lang w:val="lt-LT"/>
        </w:rPr>
      </w:pPr>
      <w:r>
        <w:rPr>
          <w:rFonts w:cs="Times New Roman"/>
          <w:color w:val="000000"/>
          <w:sz w:val="24"/>
          <w:szCs w:val="24"/>
          <w:lang w:val="lt-LT"/>
        </w:rPr>
        <w:t>Nutarimų projektai paskelbti Lietuvos Respublikos Seimo kanceliarijos teisės aktų informacinėje sistemoje</w:t>
      </w:r>
      <w:r>
        <w:rPr>
          <w:rFonts w:cs="Times New Roman"/>
          <w:sz w:val="24"/>
          <w:szCs w:val="24"/>
          <w:lang w:val="lt-LT"/>
        </w:rPr>
        <w:t xml:space="preserve">. Papildomų konsultacijų su visuomene nenumatoma. </w:t>
      </w:r>
    </w:p>
    <w:p w:rsidR="009C05FB" w:rsidRDefault="00EF5DC6">
      <w:pPr>
        <w:ind w:firstLine="709"/>
        <w:jc w:val="both"/>
        <w:rPr>
          <w:color w:val="000000" w:themeColor="text1"/>
          <w:sz w:val="24"/>
          <w:szCs w:val="24"/>
          <w:lang w:val="lt-LT"/>
        </w:rPr>
      </w:pPr>
      <w:r>
        <w:rPr>
          <w:rFonts w:cs="Times New Roman"/>
          <w:color w:val="000000" w:themeColor="text1"/>
          <w:sz w:val="24"/>
          <w:szCs w:val="24"/>
          <w:lang w:val="lt-LT" w:bidi="ar-SA"/>
        </w:rPr>
        <w:t>Nutarimų projektus parengė Lietuvos Respublikos k</w:t>
      </w:r>
      <w:r>
        <w:rPr>
          <w:color w:val="000000" w:themeColor="text1"/>
          <w:sz w:val="24"/>
          <w:szCs w:val="24"/>
          <w:lang w:val="lt-LT"/>
        </w:rPr>
        <w:t>rašto apsaugos m</w:t>
      </w:r>
      <w:r>
        <w:rPr>
          <w:sz w:val="24"/>
          <w:szCs w:val="24"/>
          <w:lang w:val="lt-LT"/>
        </w:rPr>
        <w:t xml:space="preserve">inisterijos Logistikos departamento </w:t>
      </w:r>
      <w:r>
        <w:t>(</w:t>
      </w:r>
      <w:r>
        <w:rPr>
          <w:sz w:val="24"/>
          <w:szCs w:val="24"/>
          <w:lang w:val="lt-LT"/>
        </w:rPr>
        <w:t xml:space="preserve">direktorius Eimantas Juodzevičius, tel. +370 706 80 833 el. p. </w:t>
      </w:r>
      <w:r>
        <w:rPr>
          <w:sz w:val="24"/>
          <w:szCs w:val="24"/>
          <w:lang w:val="lt-LT"/>
        </w:rPr>
        <w:lastRenderedPageBreak/>
        <w:t xml:space="preserve">Eimantas.Juodzevicius@kam.lt) Infrastruktūros valdymo skyriaus (viršininkas Algis Šlepikas, tel. +370 706 80 831, el. p. Algis.Slepikas@mil.lt) vyriausioji specialistė Rita Zurbienė (tel. +370 706 80 565, el. p. </w:t>
      </w:r>
      <w:hyperlink r:id="rId10">
        <w:r>
          <w:rPr>
            <w:sz w:val="24"/>
            <w:szCs w:val="24"/>
            <w:lang w:val="lt-LT"/>
          </w:rPr>
          <w:t>Rita.Zurbiene@kam.lt</w:t>
        </w:r>
      </w:hyperlink>
      <w:r>
        <w:t>)</w:t>
      </w:r>
      <w:r>
        <w:rPr>
          <w:color w:val="000000" w:themeColor="text1"/>
          <w:sz w:val="24"/>
          <w:szCs w:val="24"/>
        </w:rPr>
        <w:t>.</w:t>
      </w:r>
    </w:p>
    <w:p w:rsidR="009C05FB" w:rsidRDefault="00EF5DC6">
      <w:pPr>
        <w:ind w:firstLine="709"/>
        <w:jc w:val="both"/>
        <w:rPr>
          <w:sz w:val="24"/>
          <w:szCs w:val="24"/>
          <w:lang w:val="lt-LT"/>
        </w:rPr>
      </w:pPr>
      <w:r>
        <w:rPr>
          <w:sz w:val="24"/>
          <w:szCs w:val="24"/>
          <w:lang w:val="lt-LT"/>
        </w:rPr>
        <w:t xml:space="preserve">PRIDEDAMA: </w:t>
      </w:r>
    </w:p>
    <w:p w:rsidR="009C05FB" w:rsidRDefault="00EF5DC6">
      <w:pPr>
        <w:pStyle w:val="ListParagraph"/>
        <w:numPr>
          <w:ilvl w:val="0"/>
          <w:numId w:val="1"/>
        </w:numPr>
        <w:tabs>
          <w:tab w:val="left" w:pos="993"/>
        </w:tabs>
        <w:ind w:left="0" w:right="-1" w:firstLine="709"/>
        <w:jc w:val="both"/>
        <w:rPr>
          <w:rFonts w:cs="Times New Roman"/>
          <w:sz w:val="24"/>
          <w:szCs w:val="24"/>
          <w:lang w:val="lt-LT"/>
        </w:rPr>
      </w:pPr>
      <w:r>
        <w:rPr>
          <w:rFonts w:cs="Times New Roman"/>
          <w:sz w:val="24"/>
          <w:szCs w:val="24"/>
          <w:lang w:val="lt-LT"/>
        </w:rPr>
        <w:t>Lietuvos Respublikos Vyriausybės nutarimo „</w:t>
      </w:r>
      <w:r>
        <w:rPr>
          <w:rFonts w:cs="Times New Roman"/>
          <w:bCs/>
          <w:sz w:val="24"/>
          <w:szCs w:val="24"/>
          <w:lang w:val="lt-LT"/>
        </w:rPr>
        <w:t xml:space="preserve">Dėl </w:t>
      </w:r>
      <w:r>
        <w:rPr>
          <w:rFonts w:cs="Times New Roman"/>
          <w:sz w:val="24"/>
          <w:szCs w:val="24"/>
          <w:lang w:val="lt-LT"/>
        </w:rPr>
        <w:t>Lietuvos Respublikos Vyriausybės 2006 m. lapkričio 8 d. nutarimo Nr. 1098 „Dėl tarptautinių oro uostų žemės nuomos“ pakeitimo“ projektas, 11 lapų.</w:t>
      </w:r>
    </w:p>
    <w:p w:rsidR="009C05FB" w:rsidRDefault="00EF5DC6">
      <w:pPr>
        <w:ind w:firstLine="709"/>
        <w:jc w:val="both"/>
        <w:rPr>
          <w:rFonts w:ascii="TimesNewRomanPSMT" w:hAnsi="TimesNewRomanPSMT" w:cs="TimesNewRomanPSMT"/>
          <w:sz w:val="24"/>
          <w:szCs w:val="24"/>
          <w:lang w:val="lt-LT" w:bidi="ar-SA"/>
        </w:rPr>
      </w:pPr>
      <w:r>
        <w:rPr>
          <w:rFonts w:cs="Times New Roman"/>
          <w:sz w:val="24"/>
          <w:szCs w:val="24"/>
          <w:lang w:val="lt-LT" w:bidi="ar-SA"/>
        </w:rPr>
        <w:t xml:space="preserve">2. Lietuvos Respublikos Vyriausybės nutarimo „Dėl Lietuvos Respublikos Vyriausybės 2006 m. lapkričio 8 d. nutarimo Nr. 1098 „Dėl tarptautinių oro uostų žemės nuomos“ pakeitimo“ </w:t>
      </w:r>
      <w:r>
        <w:rPr>
          <w:rFonts w:ascii="TimesNewRomanPSMT" w:hAnsi="TimesNewRomanPSMT" w:cs="TimesNewRomanPSMT"/>
          <w:sz w:val="24"/>
          <w:szCs w:val="24"/>
          <w:lang w:val="lt-LT" w:bidi="ar-SA"/>
        </w:rPr>
        <w:t>projekto lyginamasis variantas, 11 lapų.</w:t>
      </w:r>
    </w:p>
    <w:p w:rsidR="009C05FB" w:rsidRDefault="00EF5DC6">
      <w:pPr>
        <w:ind w:firstLine="709"/>
        <w:jc w:val="both"/>
        <w:rPr>
          <w:rFonts w:ascii="TimesNewRomanPSMT" w:hAnsi="TimesNewRomanPSMT" w:cs="TimesNewRomanPSMT"/>
          <w:sz w:val="24"/>
          <w:szCs w:val="24"/>
          <w:lang w:val="lt-LT" w:bidi="ar-SA"/>
        </w:rPr>
      </w:pPr>
      <w:r>
        <w:rPr>
          <w:rFonts w:ascii="TimesNewRomanPSMT" w:hAnsi="TimesNewRomanPSMT" w:cs="TimesNewRomanPSMT"/>
          <w:sz w:val="24"/>
          <w:szCs w:val="24"/>
          <w:lang w:val="lt-LT" w:bidi="ar-SA"/>
        </w:rPr>
        <w:t>3. Lietuvos Respublikos Vyriausybės nutarimo „Dėl Lietuvos Respublikos Vyriausybės 2006</w:t>
      </w:r>
      <w:r>
        <w:rPr>
          <w:rFonts w:cs="Times New Roman"/>
          <w:sz w:val="24"/>
          <w:szCs w:val="24"/>
          <w:lang w:val="lt-LT" w:bidi="ar-SA"/>
        </w:rPr>
        <w:t> </w:t>
      </w:r>
      <w:r>
        <w:rPr>
          <w:rFonts w:ascii="TimesNewRomanPSMT" w:hAnsi="TimesNewRomanPSMT" w:cs="TimesNewRomanPSMT"/>
          <w:sz w:val="24"/>
          <w:szCs w:val="24"/>
          <w:lang w:val="lt-LT" w:bidi="ar-SA"/>
        </w:rPr>
        <w:t xml:space="preserve">m. spalio 31 d. nutarimo Nr. 1088 „Dėl Tarptautinių oro uostų žemės nuomos mokesčio apskaičiavimo tvarkos aprašo ir dydžių </w:t>
      </w:r>
      <w:r w:rsidR="00235B27">
        <w:rPr>
          <w:rFonts w:ascii="TimesNewRomanPSMT" w:hAnsi="TimesNewRomanPSMT" w:cs="TimesNewRomanPSMT"/>
          <w:sz w:val="24"/>
          <w:szCs w:val="24"/>
          <w:lang w:val="lt-LT" w:bidi="ar-SA"/>
        </w:rPr>
        <w:t xml:space="preserve">aprašo </w:t>
      </w:r>
      <w:r>
        <w:rPr>
          <w:rFonts w:ascii="TimesNewRomanPSMT" w:hAnsi="TimesNewRomanPSMT" w:cs="TimesNewRomanPSMT"/>
          <w:sz w:val="24"/>
          <w:szCs w:val="24"/>
          <w:lang w:val="lt-LT" w:bidi="ar-SA"/>
        </w:rPr>
        <w:t>patvirtinimo“ pakeitimo“ projektas, 1 lapas.</w:t>
      </w:r>
    </w:p>
    <w:p w:rsidR="009C05FB" w:rsidRDefault="00EF5DC6">
      <w:pPr>
        <w:ind w:firstLine="709"/>
        <w:jc w:val="both"/>
        <w:rPr>
          <w:rFonts w:ascii="TimesNewRomanPSMT" w:hAnsi="TimesNewRomanPSMT" w:cs="TimesNewRomanPSMT"/>
          <w:sz w:val="24"/>
          <w:szCs w:val="24"/>
          <w:lang w:val="lt-LT" w:bidi="ar-SA"/>
        </w:rPr>
      </w:pPr>
      <w:r>
        <w:rPr>
          <w:rFonts w:ascii="TimesNewRomanPSMT" w:hAnsi="TimesNewRomanPSMT" w:cs="TimesNewRomanPSMT"/>
          <w:sz w:val="24"/>
          <w:szCs w:val="24"/>
          <w:lang w:val="lt-LT" w:bidi="ar-SA"/>
        </w:rPr>
        <w:t>4. Lietuvos Respublikos Vyriausybės nutarimo „Dėl Lietuvos Respublikos Vyriausybės 2006</w:t>
      </w:r>
      <w:r>
        <w:rPr>
          <w:rFonts w:cs="Times New Roman"/>
          <w:sz w:val="24"/>
          <w:szCs w:val="24"/>
          <w:lang w:val="lt-LT" w:bidi="ar-SA"/>
        </w:rPr>
        <w:t> </w:t>
      </w:r>
      <w:r>
        <w:rPr>
          <w:rFonts w:ascii="TimesNewRomanPSMT" w:hAnsi="TimesNewRomanPSMT" w:cs="TimesNewRomanPSMT"/>
          <w:sz w:val="24"/>
          <w:szCs w:val="24"/>
          <w:lang w:val="lt-LT" w:bidi="ar-SA"/>
        </w:rPr>
        <w:t>m. spalio 31 d. nutarimo Nr. 1088 „Dėl Tarptautinių oro uostų žemės nuomos mokesčio apskaičiavimo tvarkos ir dydžių aprašo patvirtinimo“ pakeitimo“ projekto lyginamasis variantas, 1</w:t>
      </w:r>
      <w:r>
        <w:rPr>
          <w:rFonts w:cs="Times New Roman"/>
          <w:sz w:val="24"/>
          <w:szCs w:val="24"/>
          <w:lang w:val="lt-LT" w:bidi="ar-SA"/>
        </w:rPr>
        <w:t> </w:t>
      </w:r>
      <w:r>
        <w:rPr>
          <w:rFonts w:ascii="TimesNewRomanPSMT" w:hAnsi="TimesNewRomanPSMT" w:cs="TimesNewRomanPSMT"/>
          <w:sz w:val="24"/>
          <w:szCs w:val="24"/>
          <w:lang w:val="lt-LT" w:bidi="ar-SA"/>
        </w:rPr>
        <w:t>lapas.</w:t>
      </w:r>
    </w:p>
    <w:p w:rsidR="009C05FB" w:rsidRDefault="00EF5DC6">
      <w:pPr>
        <w:ind w:firstLine="709"/>
        <w:jc w:val="both"/>
        <w:rPr>
          <w:rFonts w:ascii="TimesNewRomanPSMT" w:hAnsi="TimesNewRomanPSMT" w:cs="TimesNewRomanPSMT"/>
          <w:sz w:val="24"/>
          <w:szCs w:val="24"/>
          <w:lang w:val="lt-LT" w:bidi="ar-SA"/>
        </w:rPr>
      </w:pPr>
      <w:r>
        <w:rPr>
          <w:rFonts w:ascii="TimesNewRomanPSMT" w:hAnsi="TimesNewRomanPSMT" w:cs="TimesNewRomanPSMT"/>
          <w:sz w:val="24"/>
          <w:szCs w:val="24"/>
          <w:lang w:val="lt-LT" w:bidi="ar-SA"/>
        </w:rPr>
        <w:t>5. Suinteresuotų institucijų pateiktos išvados, .</w:t>
      </w:r>
      <w:proofErr w:type="spellStart"/>
      <w:r>
        <w:rPr>
          <w:rFonts w:ascii="TimesNewRomanPSMT" w:hAnsi="TimesNewRomanPSMT" w:cs="TimesNewRomanPSMT"/>
          <w:sz w:val="24"/>
          <w:szCs w:val="24"/>
          <w:lang w:val="lt-LT" w:bidi="ar-SA"/>
        </w:rPr>
        <w:t>adoc</w:t>
      </w:r>
      <w:proofErr w:type="spellEnd"/>
      <w:r>
        <w:rPr>
          <w:rFonts w:ascii="TimesNewRomanPSMT" w:hAnsi="TimesNewRomanPSMT" w:cs="TimesNewRomanPSMT"/>
          <w:sz w:val="24"/>
          <w:szCs w:val="24"/>
          <w:lang w:val="lt-LT" w:bidi="ar-SA"/>
        </w:rPr>
        <w:t xml:space="preserve">.   </w:t>
      </w:r>
    </w:p>
    <w:p w:rsidR="009C05FB" w:rsidRDefault="009C05FB">
      <w:pPr>
        <w:jc w:val="both"/>
        <w:rPr>
          <w:rFonts w:cs="Times New Roman"/>
          <w:lang w:val="lt-LT"/>
        </w:rPr>
      </w:pPr>
    </w:p>
    <w:p w:rsidR="009C05FB" w:rsidRDefault="009C05FB">
      <w:pPr>
        <w:jc w:val="both"/>
        <w:rPr>
          <w:rFonts w:cs="Times New Roman"/>
          <w:lang w:val="lt-LT"/>
        </w:rPr>
      </w:pPr>
    </w:p>
    <w:p w:rsidR="009C05FB" w:rsidRDefault="009C05FB">
      <w:pPr>
        <w:pStyle w:val="Header"/>
        <w:tabs>
          <w:tab w:val="clear" w:pos="4153"/>
          <w:tab w:val="left" w:pos="7560"/>
        </w:tabs>
        <w:rPr>
          <w:rFonts w:cs="Times New Roman"/>
        </w:rPr>
      </w:pPr>
    </w:p>
    <w:p w:rsidR="009C05FB" w:rsidRDefault="009C05FB">
      <w:pPr>
        <w:pStyle w:val="Header"/>
        <w:tabs>
          <w:tab w:val="clear" w:pos="4153"/>
          <w:tab w:val="left" w:pos="7560"/>
        </w:tabs>
        <w:rPr>
          <w:rFonts w:cs="Times New Roman"/>
        </w:rPr>
      </w:pPr>
    </w:p>
    <w:p w:rsidR="009C05FB" w:rsidRDefault="00EF5DC6">
      <w:pPr>
        <w:pStyle w:val="Header"/>
        <w:tabs>
          <w:tab w:val="clear" w:pos="4153"/>
          <w:tab w:val="left" w:pos="7560"/>
        </w:tabs>
        <w:rPr>
          <w:rFonts w:cs="Times New Roman"/>
        </w:rPr>
      </w:pPr>
      <w:r>
        <w:rPr>
          <w:rFonts w:cs="Times New Roman"/>
        </w:rPr>
        <w:t>Krašto apsaugos ministras</w:t>
      </w:r>
      <w:r>
        <w:rPr>
          <w:rFonts w:cs="Times New Roman"/>
        </w:rPr>
        <w:tab/>
      </w:r>
      <w:r>
        <w:rPr>
          <w:rFonts w:cs="Times New Roman"/>
          <w:lang w:val="en-US"/>
        </w:rPr>
        <w:t xml:space="preserve">Arvydas </w:t>
      </w:r>
      <w:proofErr w:type="spellStart"/>
      <w:r>
        <w:rPr>
          <w:rFonts w:cs="Times New Roman"/>
          <w:lang w:val="en-US"/>
        </w:rPr>
        <w:t>Anušauskas</w:t>
      </w:r>
      <w:proofErr w:type="spellEnd"/>
      <w:r>
        <w:rPr>
          <w:rFonts w:cs="Times New Roman"/>
        </w:rPr>
        <w:br/>
      </w:r>
    </w:p>
    <w:p w:rsidR="009C05FB" w:rsidRDefault="009C05FB">
      <w:pPr>
        <w:pStyle w:val="Header"/>
        <w:tabs>
          <w:tab w:val="clear" w:pos="4153"/>
          <w:tab w:val="left" w:pos="7560"/>
        </w:tabs>
        <w:rPr>
          <w:rFonts w:cs="Times New Roman"/>
        </w:rPr>
      </w:pPr>
    </w:p>
    <w:p w:rsidR="009C05FB" w:rsidRDefault="009C05FB">
      <w:pPr>
        <w:pStyle w:val="BodyText"/>
        <w:jc w:val="left"/>
        <w:rPr>
          <w:rFonts w:cs="Times New Roman"/>
          <w:b w:val="0"/>
          <w:bCs w:val="0"/>
        </w:rPr>
      </w:pPr>
    </w:p>
    <w:p w:rsidR="009C05FB" w:rsidRDefault="009C05FB">
      <w:pPr>
        <w:pStyle w:val="BodyText"/>
        <w:jc w:val="left"/>
        <w:rPr>
          <w:rFonts w:cs="Times New Roman"/>
          <w:b w:val="0"/>
          <w:bCs w:val="0"/>
        </w:rPr>
      </w:pPr>
    </w:p>
    <w:p w:rsidR="009C05FB" w:rsidRDefault="009C05FB">
      <w:pPr>
        <w:pStyle w:val="BodyText"/>
        <w:jc w:val="left"/>
        <w:rPr>
          <w:rFonts w:cs="Times New Roman"/>
          <w:b w:val="0"/>
          <w:bCs w:val="0"/>
        </w:rPr>
      </w:pPr>
    </w:p>
    <w:p w:rsidR="009C05FB" w:rsidRDefault="009C05FB">
      <w:pPr>
        <w:pStyle w:val="BodyText"/>
        <w:jc w:val="left"/>
        <w:rPr>
          <w:rFonts w:cs="Times New Roman"/>
          <w:b w:val="0"/>
          <w:bCs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9C05FB">
      <w:pPr>
        <w:pStyle w:val="BodyText"/>
        <w:spacing w:line="276" w:lineRule="auto"/>
        <w:jc w:val="left"/>
        <w:rPr>
          <w:b w:val="0"/>
        </w:rPr>
      </w:pPr>
    </w:p>
    <w:p w:rsidR="009C05FB" w:rsidRDefault="00EF5DC6">
      <w:pPr>
        <w:pStyle w:val="BodyText"/>
        <w:spacing w:line="276" w:lineRule="auto"/>
        <w:jc w:val="left"/>
        <w:rPr>
          <w:rFonts w:cs="Times New Roman"/>
          <w:b w:val="0"/>
          <w:bCs w:val="0"/>
        </w:rPr>
      </w:pPr>
      <w:r>
        <w:rPr>
          <w:b w:val="0"/>
        </w:rPr>
        <w:t>Rita Zurbienė, tel. (8 5) 273 5565, el. p.</w:t>
      </w:r>
      <w:r>
        <w:rPr>
          <w:b w:val="0"/>
          <w:color w:val="000000" w:themeColor="text1"/>
        </w:rPr>
        <w:t xml:space="preserve"> </w:t>
      </w:r>
      <w:hyperlink r:id="rId11">
        <w:r>
          <w:rPr>
            <w:rStyle w:val="Hyperlink"/>
            <w:b w:val="0"/>
            <w:color w:val="000000" w:themeColor="text1"/>
            <w:u w:val="none"/>
          </w:rPr>
          <w:t>Rita.Zurbiene@kam.lt</w:t>
        </w:r>
      </w:hyperlink>
    </w:p>
    <w:sectPr w:rsidR="009C05FB">
      <w:headerReference w:type="default" r:id="rId12"/>
      <w:footerReference w:type="default" r:id="rId13"/>
      <w:pgSz w:w="11906" w:h="16838"/>
      <w:pgMar w:top="1134" w:right="567" w:bottom="1134" w:left="1701" w:header="567" w:footer="567"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C6" w:rsidRDefault="00EF5DC6">
      <w:r>
        <w:separator/>
      </w:r>
    </w:p>
  </w:endnote>
  <w:endnote w:type="continuationSeparator" w:id="0">
    <w:p w:rsidR="00EF5DC6" w:rsidRDefault="00EF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6" w:rsidRDefault="00EF5DC6">
    <w:pPr>
      <w:pStyle w:val="Footer"/>
      <w:ind w:right="360"/>
    </w:pPr>
    <w:r>
      <w:rPr>
        <w:noProof/>
        <w:lang w:bidi="ar-SA"/>
      </w:rPr>
      <mc:AlternateContent>
        <mc:Choice Requires="wps">
          <w:drawing>
            <wp:anchor distT="0" distB="0" distL="0" distR="0" simplePos="0" relativeHeight="7"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EF5DC6" w:rsidRDefault="00EF5DC6">
                          <w:pPr>
                            <w:pStyle w:val="Footer"/>
                            <w:rPr>
                              <w:rStyle w:val="PageNumber"/>
                            </w:rPr>
                          </w:pPr>
                        </w:p>
                      </w:txbxContent>
                    </wps:txbx>
                    <wps:bodyPr lIns="0" tIns="0" rIns="0" bIns="0" anchor="t">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0.75pt;mso-position-horizontal:right;mso-position-horizontal-relative:margin">
              <v:fill opacity="0f"/>
              <v:textbox inset="0in,0in,0in,0in">
                <w:txbxContent>
                  <w:p>
                    <w:pPr>
                      <w:pStyle w:val="Footer"/>
                      <w:pBdr/>
                      <w:rPr>
                        <w:rStyle w:val="Pagenumber"/>
                      </w:rPr>
                    </w:pPr>
                    <w:r>
                      <w:rPr/>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C6" w:rsidRDefault="00EF5DC6">
      <w:r>
        <w:separator/>
      </w:r>
    </w:p>
  </w:footnote>
  <w:footnote w:type="continuationSeparator" w:id="0">
    <w:p w:rsidR="00EF5DC6" w:rsidRDefault="00EF5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6" w:rsidRDefault="00EF5DC6">
    <w:pPr>
      <w:pStyle w:val="Header"/>
    </w:pPr>
    <w:r>
      <w:rPr>
        <w:noProof/>
        <w:lang w:bidi="ar-SA"/>
      </w:rPr>
      <mc:AlternateContent>
        <mc:Choice Requires="wps">
          <w:drawing>
            <wp:anchor distT="0" distB="0" distL="0" distR="0" simplePos="0" relativeHeight="5"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EF5DC6" w:rsidRDefault="00EF5DC6">
                          <w:pPr>
                            <w:pStyle w:val="Header"/>
                            <w:rPr>
                              <w:rStyle w:val="PageNumber"/>
                            </w:rPr>
                          </w:pPr>
                          <w:r>
                            <w:rPr>
                              <w:rStyle w:val="PageNumber"/>
                            </w:rPr>
                            <w:fldChar w:fldCharType="begin"/>
                          </w:r>
                          <w:r>
                            <w:rPr>
                              <w:rStyle w:val="PageNumber"/>
                            </w:rPr>
                            <w:instrText>PAGE</w:instrText>
                          </w:r>
                          <w:r>
                            <w:rPr>
                              <w:rStyle w:val="PageNumber"/>
                            </w:rPr>
                            <w:fldChar w:fldCharType="separate"/>
                          </w:r>
                          <w:r w:rsidR="00235B27">
                            <w:rPr>
                              <w:rStyle w:val="PageNumber"/>
                              <w:noProof/>
                            </w:rPr>
                            <w:t>2</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margin-left:0;margin-top:.05pt;width:6.05pt;height:13.8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Y8rtAEAAGQDAAAOAAAAZHJzL2Uyb0RvYy54bWysU81u2zAMvg/oOwi6N048NC2MOMW2wkWB YRvQ9QFkWY4FSKIgqrHz9qPkOC2221AfJP7pIz+S3t1P1rCjCqjB1XyzWnOmnIROu0PNX34313ec YRSuEwacqvlJIb/fX33ajb5SJQxgOhUYgTisRl/zIUZfFQXKQVmBK/DKkbOHYEUkNRyKLoiR0K0p yvV6W4wQOh9AKkSyPsxOvs/4fa9k/Nn3qCIzNafaYj5DPtt0FvudqA5B+EHLcxniP6qwQjtKeoF6 EFGw16D/gbJaBkDo40qCLaDvtVSZA7HZrP9i8zwIrzIXag76S5vw42Dlj+OvwHRX85IzJyyNqAl0 lakzo8eKAp49hcTpK0w04cWOZEyEpz7YdBMVRn7q8enSVzVFJsl4u737fMOZJM/m9qbc5rYXb299 wPiowLIk1DzQ1HIzxfE7RqqDQpeQlArB6K7RxmQlHNpvJrCjoAk3+ZvfGj+I2bqkwzk0473DKBLN mU6S4tROZ+4tdCeibp4cdTxtzyKERWgXQTg5AO3VXDj6L68RGp2LT6AzEmVOCo0y13Beu7Qr7/Uc 9fZz7P8AAAD//wMAUEsDBBQABgAIAAAAIQArbSAy2QAAAAMBAAAPAAAAZHJzL2Rvd25yZXYueG1s TI/NTsMwEITvSLyDtUjcqEMOFEKcqkKKRAXip8DdtZckqr2OvG4b3h7nBKfV7Kxmvq1Xk3fiiJGH QAquFwUIJBPsQJ2Cz4/26hYEJ01Wu0Co4AcZVs35Wa0rG070jsdt6kQOIa60gj6lsZKSTY9e8yKM SNn7DtHrlGXspI36lMO9k2VR3EivB8oNvR7xoUez3x68Am73/Pqyjo9vX3eOWrN53oQno9TlxbS+ B5FwSn/HMONndGgy0y4cyLJwCvIjad6K2Svz3Ckol0uQTS3/sze/AAAA//8DAFBLAQItABQABgAI AAAAIQC2gziS/gAAAOEBAAATAAAAAAAAAAAAAAAAAAAAAABbQ29udGVudF9UeXBlc10ueG1sUEsB Ai0AFAAGAAgAAAAhADj9If/WAAAAlAEAAAsAAAAAAAAAAAAAAAAALwEAAF9yZWxzLy5yZWxzUEsB Ai0AFAAGAAgAAAAhAG1Rjyu0AQAAZAMAAA4AAAAAAAAAAAAAAAAALgIAAGRycy9lMm9Eb2MueG1s UEsBAi0AFAAGAAgAAAAhACttIDLZAAAAAwEAAA8AAAAAAAAAAAAAAAAADgQAAGRycy9kb3ducmV2 LnhtbFBLBQYAAAAABAAEAPMAAAAUBQAAAAA= " o:allowincell="f" stroked="f">
              <v:fill opacity="0"/>
              <v:textbox style="mso-fit-shape-to-text:t" inset="0,0,0,0">
                <w:txbxContent>
                  <w:p w:rsidR="00EF5DC6" w:rsidRDefault="00EF5DC6">
                    <w:pPr>
                      <w:pStyle w:val="Header"/>
                      <w:rPr>
                        <w:rStyle w:val="PageNumber"/>
                      </w:rPr>
                    </w:pPr>
                    <w:r>
                      <w:rPr>
                        <w:rStyle w:val="PageNumber"/>
                      </w:rPr>
                      <w:fldChar w:fldCharType="begin"/>
                    </w:r>
                    <w:r>
                      <w:rPr>
                        <w:rStyle w:val="PageNumber"/>
                      </w:rPr>
                      <w:instrText>PAGE</w:instrText>
                    </w:r>
                    <w:r>
                      <w:rPr>
                        <w:rStyle w:val="PageNumber"/>
                      </w:rPr>
                      <w:fldChar w:fldCharType="separate"/>
                    </w:r>
                    <w:r w:rsidR="00235B27">
                      <w:rPr>
                        <w:rStyle w:val="PageNumber"/>
                        <w:noProof/>
                      </w:rPr>
                      <w:t>2</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621CD"/>
    <w:multiLevelType w:val="multilevel"/>
    <w:tmpl w:val="D47E81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84064D"/>
    <w:multiLevelType w:val="multilevel"/>
    <w:tmpl w:val="F010271C"/>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FB"/>
    <w:rsid w:val="00235B27"/>
    <w:rsid w:val="005B2883"/>
    <w:rsid w:val="009C05FB"/>
    <w:rsid w:val="00EF5D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4EE8"/>
  <w15:docId w15:val="{8AFE3BF0-E246-4448-BA1D-F8ECE16B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0C1"/>
    <w:rPr>
      <w:rFonts w:cs="Arial Unicode MS"/>
      <w:lang w:val="en-US" w:bidi="lo-LA"/>
    </w:rPr>
  </w:style>
  <w:style w:type="paragraph" w:styleId="Heading1">
    <w:name w:val="heading 1"/>
    <w:basedOn w:val="Normal"/>
    <w:next w:val="Normal"/>
    <w:qFormat/>
    <w:rsid w:val="00F330C1"/>
    <w:pPr>
      <w:keepNext/>
      <w:jc w:val="center"/>
      <w:outlineLvl w:val="0"/>
    </w:pPr>
    <w:rPr>
      <w:rFonts w:ascii="HelveticaLT" w:hAnsi="HelveticaLT"/>
      <w:caps/>
      <w:sz w:val="32"/>
      <w:szCs w:val="32"/>
      <w:lang w:val="lt-LT"/>
    </w:rPr>
  </w:style>
  <w:style w:type="paragraph" w:styleId="Heading2">
    <w:name w:val="heading 2"/>
    <w:basedOn w:val="Normal"/>
    <w:next w:val="Normal"/>
    <w:qFormat/>
    <w:rsid w:val="00F330C1"/>
    <w:pPr>
      <w:keepNext/>
      <w:spacing w:line="360" w:lineRule="auto"/>
      <w:jc w:val="center"/>
      <w:outlineLvl w:val="1"/>
    </w:pPr>
    <w:rPr>
      <w:b/>
      <w:bCs/>
      <w:sz w:val="24"/>
      <w:szCs w:val="24"/>
      <w:lang w:val="lt-LT"/>
    </w:rPr>
  </w:style>
  <w:style w:type="paragraph" w:styleId="Heading3">
    <w:name w:val="heading 3"/>
    <w:basedOn w:val="Normal"/>
    <w:next w:val="Normal"/>
    <w:qFormat/>
    <w:rsid w:val="00F330C1"/>
    <w:pPr>
      <w:keepNex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330C1"/>
  </w:style>
  <w:style w:type="character" w:styleId="CommentReference">
    <w:name w:val="annotation reference"/>
    <w:semiHidden/>
    <w:qFormat/>
    <w:rsid w:val="00664304"/>
    <w:rPr>
      <w:sz w:val="16"/>
      <w:szCs w:val="16"/>
    </w:rPr>
  </w:style>
  <w:style w:type="character" w:styleId="Hyperlink">
    <w:name w:val="Hyperlink"/>
    <w:rsid w:val="00066933"/>
    <w:rPr>
      <w:color w:val="0000FF"/>
      <w:u w:val="single"/>
    </w:rPr>
  </w:style>
  <w:style w:type="character" w:customStyle="1" w:styleId="FooterChar">
    <w:name w:val="Footer Char"/>
    <w:basedOn w:val="DefaultParagraphFont"/>
    <w:link w:val="Footer"/>
    <w:qFormat/>
    <w:rsid w:val="0026638E"/>
    <w:rPr>
      <w:rFonts w:cs="Arial Unicode MS"/>
      <w:sz w:val="24"/>
      <w:szCs w:val="24"/>
      <w:lang w:bidi="lo-LA"/>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rsid w:val="00F330C1"/>
    <w:pPr>
      <w:jc w:val="center"/>
    </w:pPr>
    <w:rPr>
      <w:b/>
      <w:bCs/>
      <w:sz w:val="24"/>
      <w:szCs w:val="24"/>
      <w:lang w:val="lt-LT"/>
    </w:rPr>
  </w:style>
  <w:style w:type="paragraph" w:styleId="List">
    <w:name w:val="List"/>
    <w:basedOn w:val="BodyText"/>
    <w:rPr>
      <w:rFonts w:cs="Mangal"/>
    </w:rPr>
  </w:style>
  <w:style w:type="paragraph" w:styleId="Caption">
    <w:name w:val="caption"/>
    <w:basedOn w:val="Normal"/>
    <w:next w:val="Normal"/>
    <w:qFormat/>
    <w:rsid w:val="00F330C1"/>
    <w:pPr>
      <w:spacing w:before="240" w:after="120"/>
      <w:jc w:val="center"/>
    </w:pPr>
    <w:rPr>
      <w:b/>
      <w:bCs/>
      <w:caps/>
      <w:sz w:val="24"/>
      <w:szCs w:val="24"/>
      <w:lang w:val="lt-LT"/>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rsid w:val="00F330C1"/>
    <w:pPr>
      <w:tabs>
        <w:tab w:val="center" w:pos="4153"/>
        <w:tab w:val="right" w:pos="8306"/>
      </w:tabs>
    </w:pPr>
    <w:rPr>
      <w:sz w:val="24"/>
      <w:szCs w:val="24"/>
      <w:lang w:val="lt-LT"/>
    </w:rPr>
  </w:style>
  <w:style w:type="paragraph" w:styleId="BodyTextIndent">
    <w:name w:val="Body Text Indent"/>
    <w:basedOn w:val="Normal"/>
    <w:rsid w:val="00F330C1"/>
    <w:pPr>
      <w:tabs>
        <w:tab w:val="left" w:pos="1134"/>
      </w:tabs>
      <w:ind w:firstLine="709"/>
      <w:jc w:val="both"/>
    </w:pPr>
    <w:rPr>
      <w:sz w:val="24"/>
      <w:szCs w:val="24"/>
      <w:lang w:val="lt-LT"/>
    </w:rPr>
  </w:style>
  <w:style w:type="paragraph" w:styleId="Footer">
    <w:name w:val="footer"/>
    <w:basedOn w:val="Normal"/>
    <w:link w:val="FooterChar"/>
    <w:rsid w:val="00F330C1"/>
    <w:pPr>
      <w:tabs>
        <w:tab w:val="center" w:pos="4153"/>
        <w:tab w:val="right" w:pos="8306"/>
      </w:tabs>
    </w:pPr>
    <w:rPr>
      <w:sz w:val="24"/>
      <w:szCs w:val="24"/>
      <w:lang w:val="lt-LT"/>
    </w:rPr>
  </w:style>
  <w:style w:type="paragraph" w:styleId="BalloonText">
    <w:name w:val="Balloon Text"/>
    <w:basedOn w:val="Normal"/>
    <w:semiHidden/>
    <w:qFormat/>
    <w:rsid w:val="00DF78BF"/>
    <w:rPr>
      <w:rFonts w:ascii="Tahoma" w:hAnsi="Tahoma" w:cs="Tahoma"/>
      <w:sz w:val="16"/>
      <w:szCs w:val="16"/>
    </w:rPr>
  </w:style>
  <w:style w:type="paragraph" w:styleId="CommentText">
    <w:name w:val="annotation text"/>
    <w:basedOn w:val="Normal"/>
    <w:semiHidden/>
    <w:qFormat/>
    <w:rsid w:val="00664304"/>
  </w:style>
  <w:style w:type="paragraph" w:styleId="CommentSubject">
    <w:name w:val="annotation subject"/>
    <w:basedOn w:val="CommentText"/>
    <w:next w:val="CommentText"/>
    <w:semiHidden/>
    <w:qFormat/>
    <w:rsid w:val="00664304"/>
    <w:rPr>
      <w:b/>
      <w:bCs/>
    </w:rPr>
  </w:style>
  <w:style w:type="paragraph" w:styleId="ListParagraph">
    <w:name w:val="List Paragraph"/>
    <w:basedOn w:val="Normal"/>
    <w:qFormat/>
    <w:rsid w:val="004A39F4"/>
    <w:pPr>
      <w:ind w:left="720"/>
      <w:contextualSpacing/>
    </w:pPr>
  </w:style>
  <w:style w:type="paragraph" w:customStyle="1" w:styleId="FrameContents">
    <w:name w:val="Frame Contents"/>
    <w:basedOn w:val="Normal"/>
    <w:qFormat/>
  </w:style>
  <w:style w:type="table" w:styleId="TableGrid">
    <w:name w:val="Table Grid"/>
    <w:basedOn w:val="TableNormal"/>
    <w:rsid w:val="00310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ta.Zurbiene@kam.lt" TargetMode="External"
                 Type="http://schemas.openxmlformats.org/officeDocument/2006/relationships/hyperlink"/>
   <Relationship Id="rId11" Target="mailto:Rita.Zurbiene@ka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kam@k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F644-FB32-40C8-85DF-DEDBF3F7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3086</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2021-09-16T09:35:00Z</dcterms:created>
  <dc:creator>ritazur</dc:creator>
  <dc:language>lt-LT</dc:language>
  <cp:lastModifiedBy>Rita Zurbiene</cp:lastModifiedBy>
  <cp:lastPrinted>2021-03-31T12:35:00Z</cp:lastPrinted>
  <dcterms:modified xsi:type="dcterms:W3CDTF">2021-09-16T09:36:00Z</dcterms:modified>
  <cp:revision>3</cp:revision>
  <dc:title> </dc:title>
</cp:coreProperties>
</file>