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AC2D" w14:textId="77777777" w:rsidR="0063075B" w:rsidRDefault="008E377E">
      <w:pPr>
        <w:suppressAutoHyphens/>
        <w:spacing w:line="242" w:lineRule="auto"/>
        <w:jc w:val="center"/>
        <w:textAlignment w:val="baseline"/>
        <w:rPr>
          <w:rFonts w:eastAsia="Calibri"/>
          <w:b/>
          <w:bCs/>
          <w:szCs w:val="24"/>
        </w:rPr>
      </w:pPr>
      <w:r>
        <w:rPr>
          <w:rFonts w:eastAsia="Calibri"/>
          <w:b/>
          <w:bCs/>
          <w:szCs w:val="24"/>
        </w:rPr>
        <w:t>DERINIMO PAŽYMA</w:t>
      </w:r>
    </w:p>
    <w:p w14:paraId="22EAF4A5" w14:textId="77777777" w:rsidR="0063075B" w:rsidRDefault="0063075B">
      <w:pPr>
        <w:rPr>
          <w:sz w:val="14"/>
          <w:szCs w:val="14"/>
        </w:rPr>
      </w:pPr>
    </w:p>
    <w:tbl>
      <w:tblPr>
        <w:tblW w:w="14596" w:type="dxa"/>
        <w:tblCellMar>
          <w:left w:w="10" w:type="dxa"/>
          <w:right w:w="10" w:type="dxa"/>
        </w:tblCellMar>
        <w:tblLook w:val="04A0" w:firstRow="1" w:lastRow="0" w:firstColumn="1" w:lastColumn="0" w:noHBand="0" w:noVBand="1"/>
      </w:tblPr>
      <w:tblGrid>
        <w:gridCol w:w="2122"/>
        <w:gridCol w:w="6237"/>
        <w:gridCol w:w="6237"/>
      </w:tblGrid>
      <w:tr w:rsidR="0063075B" w14:paraId="2D4DE820"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81D8F" w14:textId="77777777" w:rsidR="0063075B" w:rsidRDefault="008E377E">
            <w:pPr>
              <w:suppressAutoHyphens/>
              <w:textAlignment w:val="baseline"/>
              <w:rPr>
                <w:rFonts w:eastAsia="Calibri"/>
                <w:b/>
                <w:bCs/>
                <w:szCs w:val="24"/>
              </w:rPr>
            </w:pPr>
            <w:r>
              <w:rPr>
                <w:rFonts w:eastAsia="Calibri"/>
                <w:b/>
                <w:bCs/>
                <w:szCs w:val="24"/>
              </w:rPr>
              <w:t>Institucija, teikianti pastabą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C998" w14:textId="77777777" w:rsidR="0063075B" w:rsidRDefault="008E377E">
            <w:pPr>
              <w:suppressAutoHyphens/>
              <w:textAlignment w:val="baseline"/>
              <w:rPr>
                <w:rFonts w:eastAsia="Calibri"/>
                <w:b/>
                <w:bCs/>
                <w:szCs w:val="24"/>
              </w:rPr>
            </w:pPr>
            <w:r>
              <w:rPr>
                <w:rFonts w:eastAsia="Calibri"/>
                <w:b/>
                <w:bCs/>
                <w:szCs w:val="24"/>
              </w:rPr>
              <w:t>Pastaba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B379" w14:textId="77777777" w:rsidR="0063075B" w:rsidRDefault="008E377E">
            <w:pPr>
              <w:suppressAutoHyphens/>
              <w:textAlignment w:val="baseline"/>
              <w:rPr>
                <w:rFonts w:eastAsia="Calibri"/>
                <w:b/>
                <w:bCs/>
                <w:szCs w:val="24"/>
              </w:rPr>
            </w:pPr>
            <w:r>
              <w:rPr>
                <w:rFonts w:eastAsia="Calibri"/>
                <w:b/>
                <w:bCs/>
                <w:szCs w:val="24"/>
              </w:rPr>
              <w:t>Neatsižvelgimo (atsižvelgimo iš dalies) argumentai</w:t>
            </w:r>
          </w:p>
        </w:tc>
      </w:tr>
      <w:tr w:rsidR="0063075B" w14:paraId="1D155140" w14:textId="77777777">
        <w:trPr>
          <w:trHeight w:val="332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ECBD3" w14:textId="6E6A39E1" w:rsidR="0063075B" w:rsidRDefault="00444DB8">
            <w:pPr>
              <w:suppressAutoHyphens/>
              <w:textAlignment w:val="baseline"/>
              <w:rPr>
                <w:rFonts w:eastAsia="Calibri"/>
                <w:szCs w:val="24"/>
              </w:rPr>
            </w:pPr>
            <w:r>
              <w:rPr>
                <w:rFonts w:eastAsia="Calibri"/>
                <w:szCs w:val="24"/>
              </w:rPr>
              <w:t>Teisingumo</w:t>
            </w:r>
            <w:r w:rsidR="008E377E">
              <w:rPr>
                <w:rFonts w:eastAsia="Calibri"/>
                <w:szCs w:val="24"/>
              </w:rPr>
              <w:t xml:space="preserve"> ministerija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E19F8" w14:textId="0A1A31AF" w:rsidR="0063075B" w:rsidRDefault="00444DB8">
            <w:pPr>
              <w:suppressAutoHyphens/>
              <w:jc w:val="both"/>
              <w:textAlignment w:val="baseline"/>
              <w:rPr>
                <w:rFonts w:eastAsia="Calibri"/>
                <w:szCs w:val="24"/>
              </w:rPr>
            </w:pPr>
            <w:r w:rsidRPr="00444DB8">
              <w:rPr>
                <w:rFonts w:eastAsia="Calibri"/>
                <w:szCs w:val="24"/>
              </w:rPr>
              <w:t xml:space="preserve">Projekto 1.3 papunkčio nuostatos, numatančios, kad „Darbuotojų, kurie privalo pasitikrinti, sveikatos patikrinimai finansuojami darbuotojo lėšomis arba darbdavio sprendimu – darbdavio lėšomis, išskyrus atvejus, kai darbuotojai negali pasiskiepyti dėl medicininių kontraindikacijų, nurodytų sveikatos apsaugos ministro patvirtintame medicininių kontraindikacijų sąraše (toliau – medicininės kontraindikacijos)“ dubliuoja Žmonių užkrečiamųjų ligų profilaktikos ir kontrolės įstatymo 18 straipsnio 7 dalies nuostatas (redakcija, įsigaliosianti nuo 2021 m. gruodžio 1 d.), todėl iš projekto šalintinos kaip perteklinės.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2166" w14:textId="0DBAE9F2" w:rsidR="0063075B" w:rsidRDefault="00444DB8">
            <w:pPr>
              <w:suppressAutoHyphens/>
              <w:textAlignment w:val="baseline"/>
              <w:rPr>
                <w:rFonts w:eastAsia="Calibri"/>
                <w:b/>
                <w:bCs/>
                <w:szCs w:val="24"/>
              </w:rPr>
            </w:pPr>
            <w:r>
              <w:rPr>
                <w:rFonts w:eastAsia="Calibri"/>
                <w:b/>
                <w:bCs/>
                <w:szCs w:val="24"/>
              </w:rPr>
              <w:t>Iš dalies atsižvelgta</w:t>
            </w:r>
          </w:p>
          <w:p w14:paraId="27F92BE2" w14:textId="5CFC932A" w:rsidR="00444DB8" w:rsidRDefault="00444DB8">
            <w:pPr>
              <w:suppressAutoHyphens/>
              <w:jc w:val="both"/>
              <w:textAlignment w:val="baseline"/>
              <w:rPr>
                <w:rFonts w:eastAsia="Calibri"/>
                <w:szCs w:val="24"/>
              </w:rPr>
            </w:pPr>
            <w:r>
              <w:rPr>
                <w:rFonts w:eastAsia="Calibri"/>
                <w:szCs w:val="24"/>
              </w:rPr>
              <w:t xml:space="preserve">Kadangi nuo 2021 m. gruodžio 1 d. įsigaliosiančioje </w:t>
            </w:r>
            <w:r w:rsidRPr="00444DB8">
              <w:rPr>
                <w:rFonts w:eastAsia="Calibri"/>
                <w:szCs w:val="24"/>
              </w:rPr>
              <w:t>Žmonių užkrečiamųjų ligų profilaktikos ir kontrolės įstatymo 18 straipsnio 7 dalies</w:t>
            </w:r>
            <w:r>
              <w:rPr>
                <w:rFonts w:eastAsia="Calibri"/>
                <w:szCs w:val="24"/>
              </w:rPr>
              <w:t xml:space="preserve"> redakcijoje nustatyta, kad d</w:t>
            </w:r>
            <w:r w:rsidRPr="00444DB8">
              <w:rPr>
                <w:rFonts w:eastAsia="Calibri"/>
                <w:szCs w:val="24"/>
              </w:rPr>
              <w:t>arbuotojų, nurodytų šio straipsnio </w:t>
            </w:r>
            <w:bookmarkStart w:id="0" w:name="Vdd055f6cfa9444d2a7be2f2126277427"/>
            <w:r w:rsidRPr="00444DB8">
              <w:rPr>
                <w:rFonts w:eastAsia="Calibri"/>
                <w:szCs w:val="24"/>
              </w:rPr>
              <w:t>2</w:t>
            </w:r>
            <w:bookmarkEnd w:id="0"/>
            <w:r w:rsidRPr="00444DB8">
              <w:rPr>
                <w:rFonts w:eastAsia="Calibri"/>
                <w:szCs w:val="24"/>
              </w:rPr>
              <w:t> dalyje, ir darbuotojų, negalinčių pasiskiepyti dėl medicininių kontraindikacijų, sveikatos patikrinimai dėl užkrečiamosios ligos, dėl kurios Vyriausybė yra paskelbusi valstybės lygio ekstremaliąją situaciją ir (ar) karantiną visoje Lietuvos Respublikos teritorijoje, finansuojami valstybės biudžeto lėšomis Vyriausybės nustatyta tvarka</w:t>
            </w:r>
            <w:r>
              <w:rPr>
                <w:rFonts w:eastAsia="Calibri"/>
                <w:szCs w:val="24"/>
              </w:rPr>
              <w:t xml:space="preserve">, turi likti nuostata numatanti šių kategorijų darbuotojų apmokėjimo tvarką, t. y. nustatoma kad jų tyrimai finansuojami </w:t>
            </w:r>
            <w:r w:rsidRPr="00444DB8">
              <w:rPr>
                <w:rFonts w:eastAsia="Calibri"/>
                <w:szCs w:val="24"/>
              </w:rPr>
              <w:t>valstybės biudžeto lėšomis, skirtomis užkrečiamosios ligos, dėl kurios yra paskelbta valstybės lygio ekstremalioji situacija ir (ar) karantinas, padariniams šalinti</w:t>
            </w:r>
            <w:r>
              <w:rPr>
                <w:rFonts w:eastAsia="Calibri"/>
                <w:szCs w:val="24"/>
              </w:rPr>
              <w:t>.</w:t>
            </w:r>
          </w:p>
        </w:tc>
      </w:tr>
    </w:tbl>
    <w:p w14:paraId="47D358B3" w14:textId="77777777" w:rsidR="0063075B" w:rsidRDefault="0063075B">
      <w:pPr>
        <w:suppressAutoHyphens/>
        <w:spacing w:line="242" w:lineRule="auto"/>
        <w:ind w:firstLine="1296"/>
        <w:jc w:val="center"/>
        <w:textAlignment w:val="baseline"/>
        <w:rPr>
          <w:rFonts w:eastAsia="Calibri"/>
          <w:szCs w:val="24"/>
        </w:rPr>
      </w:pPr>
    </w:p>
    <w:p w14:paraId="11FEA193" w14:textId="77777777" w:rsidR="0063075B" w:rsidRDefault="0063075B">
      <w:pPr>
        <w:rPr>
          <w:sz w:val="14"/>
          <w:szCs w:val="14"/>
        </w:rPr>
      </w:pPr>
    </w:p>
    <w:p w14:paraId="70893002" w14:textId="77777777" w:rsidR="0063075B" w:rsidRDefault="008E377E">
      <w:pPr>
        <w:suppressAutoHyphens/>
        <w:spacing w:line="242" w:lineRule="auto"/>
        <w:ind w:firstLine="1296"/>
        <w:jc w:val="center"/>
        <w:textAlignment w:val="baseline"/>
        <w:rPr>
          <w:rFonts w:ascii="Calibri" w:eastAsia="Calibri" w:hAnsi="Calibri"/>
          <w:sz w:val="22"/>
          <w:szCs w:val="22"/>
        </w:rPr>
      </w:pPr>
      <w:r>
        <w:rPr>
          <w:rFonts w:eastAsia="Calibri"/>
          <w:szCs w:val="24"/>
        </w:rPr>
        <w:t>__________________</w:t>
      </w:r>
    </w:p>
    <w:sectPr w:rsidR="0063075B">
      <w:headerReference w:type="default" r:id="rId7"/>
      <w:pgSz w:w="16838" w:h="11906" w:orient="landscape"/>
      <w:pgMar w:top="1701" w:right="1701" w:bottom="567"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214F" w14:textId="77777777" w:rsidR="008E377E" w:rsidRDefault="008E377E">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10668B8F" w14:textId="77777777" w:rsidR="008E377E" w:rsidRDefault="008E377E">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EE34" w14:textId="77777777" w:rsidR="008E377E" w:rsidRDefault="008E377E">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30400315" w14:textId="77777777" w:rsidR="008E377E" w:rsidRDefault="008E377E">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478D" w14:textId="77777777" w:rsidR="0063075B" w:rsidRDefault="0063075B">
    <w:pPr>
      <w:tabs>
        <w:tab w:val="center" w:pos="4819"/>
        <w:tab w:val="right" w:pos="9638"/>
      </w:tabs>
      <w:suppressAutoHyphens/>
      <w:textAlignment w:val="baseline"/>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7DAD"/>
    <w:multiLevelType w:val="hybridMultilevel"/>
    <w:tmpl w:val="A9687B86"/>
    <w:lvl w:ilvl="0" w:tplc="45C4FC2A">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AC"/>
    <w:rsid w:val="00444DB8"/>
    <w:rsid w:val="0063075B"/>
    <w:rsid w:val="008E377E"/>
    <w:rsid w:val="00FD3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770E"/>
  <w15:docId w15:val="{863BDC9E-A070-4B56-85E1-BED423A4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44DB8"/>
    <w:pPr>
      <w:tabs>
        <w:tab w:val="center" w:pos="4819"/>
        <w:tab w:val="right" w:pos="9638"/>
      </w:tabs>
    </w:pPr>
  </w:style>
  <w:style w:type="character" w:customStyle="1" w:styleId="AntratsDiagrama">
    <w:name w:val="Antraštės Diagrama"/>
    <w:basedOn w:val="Numatytasispastraiposriftas"/>
    <w:link w:val="Antrats"/>
    <w:rsid w:val="00444DB8"/>
  </w:style>
  <w:style w:type="paragraph" w:styleId="Porat">
    <w:name w:val="footer"/>
    <w:basedOn w:val="prastasis"/>
    <w:link w:val="PoratDiagrama"/>
    <w:unhideWhenUsed/>
    <w:rsid w:val="00444DB8"/>
    <w:pPr>
      <w:tabs>
        <w:tab w:val="center" w:pos="4819"/>
        <w:tab w:val="right" w:pos="9638"/>
      </w:tabs>
    </w:pPr>
  </w:style>
  <w:style w:type="character" w:customStyle="1" w:styleId="PoratDiagrama">
    <w:name w:val="Poraštė Diagrama"/>
    <w:basedOn w:val="Numatytasispastraiposriftas"/>
    <w:link w:val="Porat"/>
    <w:rsid w:val="0044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695532">
      <w:bodyDiv w:val="1"/>
      <w:marLeft w:val="0"/>
      <w:marRight w:val="0"/>
      <w:marTop w:val="0"/>
      <w:marBottom w:val="0"/>
      <w:divBdr>
        <w:top w:val="none" w:sz="0" w:space="0" w:color="auto"/>
        <w:left w:val="none" w:sz="0" w:space="0" w:color="auto"/>
        <w:bottom w:val="none" w:sz="0" w:space="0" w:color="auto"/>
        <w:right w:val="none" w:sz="0" w:space="0" w:color="auto"/>
      </w:divBdr>
    </w:div>
    <w:div w:id="1905725429">
      <w:bodyDiv w:val="1"/>
      <w:marLeft w:val="0"/>
      <w:marRight w:val="0"/>
      <w:marTop w:val="0"/>
      <w:marBottom w:val="0"/>
      <w:divBdr>
        <w:top w:val="none" w:sz="0" w:space="0" w:color="auto"/>
        <w:left w:val="none" w:sz="0" w:space="0" w:color="auto"/>
        <w:bottom w:val="none" w:sz="0" w:space="0" w:color="auto"/>
        <w:right w:val="none" w:sz="0" w:space="0" w:color="auto"/>
      </w:divBdr>
    </w:div>
    <w:div w:id="1986935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1028</Words>
  <Characters>587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Kazys Rušinskas</dc:creator>
  <cp:lastModifiedBy>adlibuser</cp:lastModifiedBy>
  <cp:revision>2</cp:revision>
  <cp:lastPrinted>2020-02-17T13:26:00Z</cp:lastPrinted>
  <dcterms:created xsi:type="dcterms:W3CDTF">2021-07-14T07:31:00Z</dcterms:created>
  <dcterms:modified xsi:type="dcterms:W3CDTF">2021-07-14T07:31:00Z</dcterms:modified>
</cp:coreProperties>
</file>