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F320" w14:textId="77777777" w:rsidR="000434E7" w:rsidRPr="00BC5C1D" w:rsidRDefault="00C07FF7" w:rsidP="00B71E40">
      <w:pPr>
        <w:jc w:val="center"/>
        <w:rPr>
          <w:b/>
          <w:bCs/>
          <w:caps/>
        </w:rPr>
      </w:pPr>
      <w:r w:rsidRPr="00BC5C1D">
        <w:rPr>
          <w:b/>
          <w:bCs/>
          <w:caps/>
        </w:rPr>
        <w:t>20</w:t>
      </w:r>
      <w:r w:rsidR="000F655A" w:rsidRPr="00BC5C1D">
        <w:rPr>
          <w:b/>
          <w:bCs/>
          <w:caps/>
        </w:rPr>
        <w:t>09</w:t>
      </w:r>
      <w:r w:rsidRPr="00BC5C1D">
        <w:rPr>
          <w:b/>
          <w:bCs/>
          <w:caps/>
        </w:rPr>
        <w:t xml:space="preserve"> m. </w:t>
      </w:r>
      <w:r w:rsidR="00145A7C" w:rsidRPr="00BC5C1D">
        <w:rPr>
          <w:b/>
          <w:bCs/>
          <w:caps/>
        </w:rPr>
        <w:t>rugsėjo</w:t>
      </w:r>
      <w:r w:rsidRPr="00BC5C1D">
        <w:rPr>
          <w:b/>
          <w:bCs/>
          <w:caps/>
        </w:rPr>
        <w:t xml:space="preserve"> 1</w:t>
      </w:r>
      <w:r w:rsidR="00145A7C" w:rsidRPr="00BC5C1D">
        <w:rPr>
          <w:b/>
          <w:bCs/>
          <w:caps/>
        </w:rPr>
        <w:t xml:space="preserve">4 </w:t>
      </w:r>
      <w:r w:rsidRPr="00BC5C1D">
        <w:rPr>
          <w:b/>
          <w:bCs/>
          <w:caps/>
        </w:rPr>
        <w:t>d. tarybos direktyvos</w:t>
      </w:r>
      <w:r w:rsidR="003D30B5" w:rsidRPr="00BC5C1D">
        <w:rPr>
          <w:b/>
          <w:bCs/>
          <w:caps/>
        </w:rPr>
        <w:t xml:space="preserve"> 2009/119/eb</w:t>
      </w:r>
      <w:r w:rsidR="0052664A" w:rsidRPr="00BC5C1D">
        <w:rPr>
          <w:b/>
          <w:bCs/>
          <w:caps/>
        </w:rPr>
        <w:t xml:space="preserve">, </w:t>
      </w:r>
    </w:p>
    <w:p w14:paraId="44883830" w14:textId="77777777" w:rsidR="00047A66" w:rsidRDefault="0052664A" w:rsidP="00B71E40">
      <w:pPr>
        <w:jc w:val="center"/>
        <w:rPr>
          <w:b/>
          <w:bCs/>
          <w:caps/>
        </w:rPr>
      </w:pPr>
      <w:r w:rsidRPr="00BC5C1D">
        <w:rPr>
          <w:b/>
          <w:bCs/>
          <w:caps/>
        </w:rPr>
        <w:t>kuria valstybės narės įpareigojamos išlaikyti</w:t>
      </w:r>
      <w:r w:rsidR="00290440" w:rsidRPr="00BC5C1D">
        <w:rPr>
          <w:b/>
          <w:bCs/>
          <w:caps/>
        </w:rPr>
        <w:t xml:space="preserve"> </w:t>
      </w:r>
    </w:p>
    <w:p w14:paraId="12E31141" w14:textId="77777777" w:rsidR="00047A66" w:rsidRDefault="00290440" w:rsidP="00B71E40">
      <w:pPr>
        <w:jc w:val="center"/>
        <w:rPr>
          <w:b/>
          <w:bCs/>
          <w:caps/>
        </w:rPr>
      </w:pPr>
      <w:r w:rsidRPr="00BC5C1D">
        <w:rPr>
          <w:b/>
          <w:bCs/>
          <w:caps/>
        </w:rPr>
        <w:t xml:space="preserve">privalomąsias žalios naftos </w:t>
      </w:r>
      <w:r w:rsidR="000434E7" w:rsidRPr="00BC5C1D">
        <w:rPr>
          <w:b/>
          <w:bCs/>
          <w:caps/>
        </w:rPr>
        <w:t>ir (arba) naftos produktų atsargas</w:t>
      </w:r>
      <w:r w:rsidR="000276F3">
        <w:rPr>
          <w:b/>
          <w:bCs/>
          <w:caps/>
        </w:rPr>
        <w:t>,</w:t>
      </w:r>
      <w:r w:rsidR="003D30B5" w:rsidRPr="00BC5C1D">
        <w:rPr>
          <w:b/>
          <w:bCs/>
          <w:caps/>
        </w:rPr>
        <w:t xml:space="preserve"> </w:t>
      </w:r>
    </w:p>
    <w:p w14:paraId="0E13598B" w14:textId="1697CC03" w:rsidR="00BA3914" w:rsidRDefault="00A44A80" w:rsidP="00B71E40">
      <w:pPr>
        <w:jc w:val="center"/>
        <w:rPr>
          <w:b/>
          <w:caps/>
        </w:rPr>
      </w:pPr>
      <w:r w:rsidRPr="00BC5C1D">
        <w:rPr>
          <w:b/>
          <w:bCs/>
          <w:caps/>
        </w:rPr>
        <w:t xml:space="preserve">ir </w:t>
      </w:r>
      <w:r w:rsidR="00F71EA5" w:rsidRPr="00BC5C1D">
        <w:rPr>
          <w:b/>
          <w:caps/>
        </w:rPr>
        <w:t>lietuvos respublikos</w:t>
      </w:r>
      <w:r w:rsidR="00BF0015" w:rsidRPr="00BC5C1D">
        <w:rPr>
          <w:b/>
          <w:caps/>
        </w:rPr>
        <w:t xml:space="preserve"> </w:t>
      </w:r>
      <w:r w:rsidR="003825D2" w:rsidRPr="00BC5C1D">
        <w:rPr>
          <w:b/>
          <w:caps/>
        </w:rPr>
        <w:t xml:space="preserve">vyriausybės </w:t>
      </w:r>
      <w:r w:rsidR="009A2D0C" w:rsidRPr="00BC5C1D">
        <w:rPr>
          <w:b/>
          <w:caps/>
        </w:rPr>
        <w:t xml:space="preserve">nutarimo </w:t>
      </w:r>
      <w:r w:rsidR="00F67642" w:rsidRPr="00BC5C1D">
        <w:rPr>
          <w:b/>
          <w:caps/>
        </w:rPr>
        <w:t xml:space="preserve">„dėl lietuvos respublikos vyriausybės </w:t>
      </w:r>
      <w:r w:rsidR="003825D2" w:rsidRPr="00BC5C1D">
        <w:rPr>
          <w:b/>
          <w:caps/>
        </w:rPr>
        <w:t>2002 m. gruodžio 5 d.</w:t>
      </w:r>
      <w:r w:rsidR="008F0988" w:rsidRPr="00BC5C1D">
        <w:rPr>
          <w:b/>
          <w:caps/>
        </w:rPr>
        <w:t xml:space="preserve"> </w:t>
      </w:r>
      <w:r w:rsidR="003825D2" w:rsidRPr="00BC5C1D">
        <w:rPr>
          <w:b/>
          <w:caps/>
        </w:rPr>
        <w:t>nutarimo nr.</w:t>
      </w:r>
      <w:r w:rsidR="0055077D" w:rsidRPr="00BC5C1D">
        <w:rPr>
          <w:b/>
          <w:caps/>
        </w:rPr>
        <w:t> </w:t>
      </w:r>
      <w:r w:rsidR="003825D2" w:rsidRPr="00BC5C1D">
        <w:rPr>
          <w:b/>
          <w:caps/>
        </w:rPr>
        <w:t>1901</w:t>
      </w:r>
      <w:r w:rsidR="00463E94" w:rsidRPr="00BC5C1D">
        <w:rPr>
          <w:b/>
          <w:caps/>
        </w:rPr>
        <w:t xml:space="preserve"> </w:t>
      </w:r>
    </w:p>
    <w:p w14:paraId="13EC57C4" w14:textId="183A426F" w:rsidR="00104F8F" w:rsidRPr="00BC5C1D" w:rsidRDefault="008F0988" w:rsidP="00B71E40">
      <w:pPr>
        <w:jc w:val="center"/>
        <w:rPr>
          <w:b/>
          <w:caps/>
        </w:rPr>
      </w:pPr>
      <w:r w:rsidRPr="00BC5C1D">
        <w:rPr>
          <w:b/>
          <w:caps/>
        </w:rPr>
        <w:t xml:space="preserve">„dėl </w:t>
      </w:r>
      <w:r w:rsidR="00BF0015" w:rsidRPr="00BC5C1D">
        <w:rPr>
          <w:b/>
          <w:caps/>
        </w:rPr>
        <w:t>naftos produktų ir naftos valstybės</w:t>
      </w:r>
      <w:r w:rsidRPr="00BC5C1D">
        <w:rPr>
          <w:b/>
          <w:caps/>
        </w:rPr>
        <w:t xml:space="preserve"> </w:t>
      </w:r>
      <w:r w:rsidR="00BF0015" w:rsidRPr="00BC5C1D">
        <w:rPr>
          <w:b/>
          <w:caps/>
        </w:rPr>
        <w:t xml:space="preserve">atsargų </w:t>
      </w:r>
      <w:r w:rsidR="002D2BF8" w:rsidRPr="00BC5C1D">
        <w:rPr>
          <w:b/>
          <w:caps/>
        </w:rPr>
        <w:t>sudarymo reglamentavimo, tvarkymo, kaupimo, naudojimo</w:t>
      </w:r>
      <w:r w:rsidR="00BA3914">
        <w:rPr>
          <w:b/>
          <w:caps/>
        </w:rPr>
        <w:t xml:space="preserve"> </w:t>
      </w:r>
      <w:r w:rsidR="002D2BF8" w:rsidRPr="00BC5C1D">
        <w:rPr>
          <w:b/>
          <w:caps/>
        </w:rPr>
        <w:t xml:space="preserve">ir </w:t>
      </w:r>
      <w:r w:rsidR="007C46B3" w:rsidRPr="00BC5C1D">
        <w:rPr>
          <w:b/>
          <w:caps/>
        </w:rPr>
        <w:t>priežiūros taisyklių patvirtinimo“</w:t>
      </w:r>
      <w:r w:rsidR="00BF0015" w:rsidRPr="00BC5C1D">
        <w:rPr>
          <w:b/>
          <w:caps/>
        </w:rPr>
        <w:t xml:space="preserve"> PAKEITIMO</w:t>
      </w:r>
      <w:r w:rsidR="0081696A" w:rsidRPr="00BC5C1D">
        <w:rPr>
          <w:b/>
          <w:caps/>
        </w:rPr>
        <w:t>“</w:t>
      </w:r>
      <w:r w:rsidR="00BF0015" w:rsidRPr="00BC5C1D">
        <w:rPr>
          <w:b/>
          <w:caps/>
        </w:rPr>
        <w:t xml:space="preserve"> projekto </w:t>
      </w:r>
    </w:p>
    <w:p w14:paraId="75B544E5" w14:textId="57C74D46" w:rsidR="00BF0015" w:rsidRPr="00BC5C1D" w:rsidRDefault="00274448" w:rsidP="00B71E40">
      <w:pPr>
        <w:jc w:val="center"/>
        <w:rPr>
          <w:caps/>
        </w:rPr>
      </w:pPr>
      <w:r w:rsidRPr="00BC5C1D">
        <w:rPr>
          <w:b/>
          <w:caps/>
        </w:rPr>
        <w:t>atitikties lentelė</w:t>
      </w:r>
    </w:p>
    <w:p w14:paraId="67A78233" w14:textId="77777777" w:rsidR="00BF0015" w:rsidRPr="00300B55" w:rsidRDefault="00BF0015" w:rsidP="00B71E40">
      <w:pPr>
        <w:rPr>
          <w:sz w:val="18"/>
          <w:szCs w:val="18"/>
        </w:rPr>
      </w:pP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245"/>
        <w:gridCol w:w="1701"/>
      </w:tblGrid>
      <w:tr w:rsidR="00BF0015" w:rsidRPr="00BC5C1D" w14:paraId="26395C26" w14:textId="77777777" w:rsidTr="00CC6AA5">
        <w:tc>
          <w:tcPr>
            <w:tcW w:w="2972" w:type="dxa"/>
            <w:vAlign w:val="center"/>
          </w:tcPr>
          <w:p w14:paraId="203AC0C3" w14:textId="56167F2D" w:rsidR="00BF0015" w:rsidRPr="00BC5C1D" w:rsidRDefault="004F28EE" w:rsidP="00B71E40">
            <w:pPr>
              <w:jc w:val="both"/>
              <w:rPr>
                <w:b/>
              </w:rPr>
            </w:pPr>
            <w:r w:rsidRPr="004F28EE">
              <w:rPr>
                <w:b/>
              </w:rPr>
              <w:t>2009 m. rugsėjo 14 d. Tarybos direktyva 2009/119/EB, kuria valstybės narės įpareigojamos išlaikyti privalomąsias žalios naftos ir (arba) naftos produktų atsargas</w:t>
            </w:r>
          </w:p>
        </w:tc>
        <w:tc>
          <w:tcPr>
            <w:tcW w:w="5245" w:type="dxa"/>
            <w:vAlign w:val="center"/>
          </w:tcPr>
          <w:p w14:paraId="0901B157" w14:textId="5FF62975" w:rsidR="00BF0015" w:rsidRPr="00BC5C1D" w:rsidRDefault="004760FC" w:rsidP="00B71E40">
            <w:pPr>
              <w:jc w:val="both"/>
              <w:rPr>
                <w:b/>
              </w:rPr>
            </w:pPr>
            <w:r w:rsidRPr="00BC5C1D">
              <w:rPr>
                <w:b/>
              </w:rPr>
              <w:t xml:space="preserve">Lietuvos Respublikos Vyriausybės </w:t>
            </w:r>
            <w:r>
              <w:rPr>
                <w:b/>
              </w:rPr>
              <w:t xml:space="preserve">nutarimo „Dėl </w:t>
            </w:r>
            <w:r w:rsidR="00BF0015" w:rsidRPr="00BC5C1D">
              <w:rPr>
                <w:b/>
              </w:rPr>
              <w:t xml:space="preserve">Lietuvos Respublikos </w:t>
            </w:r>
            <w:r w:rsidR="002E3284" w:rsidRPr="00BC5C1D">
              <w:rPr>
                <w:b/>
              </w:rPr>
              <w:t xml:space="preserve">Vyriausybės </w:t>
            </w:r>
            <w:r w:rsidR="00183079" w:rsidRPr="00BC5C1D">
              <w:rPr>
                <w:b/>
              </w:rPr>
              <w:t>2002 m. gruodžio 5 d. nutarimo Nr. 1901 „D</w:t>
            </w:r>
            <w:r w:rsidR="006A16E5" w:rsidRPr="00BC5C1D">
              <w:rPr>
                <w:b/>
              </w:rPr>
              <w:t xml:space="preserve">ėl </w:t>
            </w:r>
            <w:r w:rsidR="005365D7" w:rsidRPr="00BC5C1D">
              <w:rPr>
                <w:b/>
              </w:rPr>
              <w:t>N</w:t>
            </w:r>
            <w:r w:rsidR="006B3F79" w:rsidRPr="00BC5C1D">
              <w:rPr>
                <w:b/>
              </w:rPr>
              <w:t>aftos produktų ir naftos</w:t>
            </w:r>
            <w:r w:rsidR="0003112D" w:rsidRPr="00BC5C1D">
              <w:rPr>
                <w:b/>
              </w:rPr>
              <w:t xml:space="preserve"> valstybės atsargų</w:t>
            </w:r>
            <w:r w:rsidR="00BF0015" w:rsidRPr="00BC5C1D">
              <w:rPr>
                <w:b/>
              </w:rPr>
              <w:t xml:space="preserve"> </w:t>
            </w:r>
            <w:r w:rsidR="000D73EE" w:rsidRPr="00BC5C1D">
              <w:t xml:space="preserve"> </w:t>
            </w:r>
            <w:r w:rsidR="000D73EE" w:rsidRPr="00BC5C1D">
              <w:rPr>
                <w:b/>
              </w:rPr>
              <w:t>sudarymo reglamentavimo, tvarkymo, kaupimo, naudojimo ir priežiūros taisyklių patvirtinimo“</w:t>
            </w:r>
            <w:r w:rsidR="00404D70" w:rsidRPr="00BC5C1D">
              <w:rPr>
                <w:b/>
              </w:rPr>
              <w:t xml:space="preserve"> pakeitimo</w:t>
            </w:r>
            <w:r>
              <w:rPr>
                <w:b/>
              </w:rPr>
              <w:t>“</w:t>
            </w:r>
            <w:r w:rsidR="00011E90" w:rsidRPr="00BC5C1D">
              <w:rPr>
                <w:b/>
              </w:rPr>
              <w:t xml:space="preserve"> </w:t>
            </w:r>
            <w:r w:rsidR="00BF0015" w:rsidRPr="00BC5C1D">
              <w:rPr>
                <w:b/>
                <w:color w:val="000000"/>
              </w:rPr>
              <w:t xml:space="preserve">projektas </w:t>
            </w:r>
            <w:r w:rsidR="00BF0015" w:rsidRPr="00BC5C1D">
              <w:rPr>
                <w:b/>
              </w:rPr>
              <w:t>(toliau –</w:t>
            </w:r>
            <w:r w:rsidR="00E66F85">
              <w:rPr>
                <w:b/>
              </w:rPr>
              <w:t xml:space="preserve"> </w:t>
            </w:r>
            <w:r w:rsidR="00404D70" w:rsidRPr="00BC5C1D">
              <w:rPr>
                <w:b/>
              </w:rPr>
              <w:t>P</w:t>
            </w:r>
            <w:r w:rsidR="00BF0015" w:rsidRPr="00BC5C1D">
              <w:rPr>
                <w:b/>
              </w:rPr>
              <w:t>rojektas)</w:t>
            </w:r>
          </w:p>
        </w:tc>
        <w:tc>
          <w:tcPr>
            <w:tcW w:w="1701" w:type="dxa"/>
            <w:vAlign w:val="center"/>
          </w:tcPr>
          <w:p w14:paraId="20FD086F" w14:textId="77777777" w:rsidR="00BF0015" w:rsidRPr="00BC5C1D" w:rsidRDefault="00BF0015" w:rsidP="00B71E40">
            <w:pPr>
              <w:jc w:val="center"/>
              <w:rPr>
                <w:b/>
              </w:rPr>
            </w:pPr>
            <w:r w:rsidRPr="00BC5C1D">
              <w:rPr>
                <w:b/>
              </w:rPr>
              <w:t>Direktyvos perkėlimo ir įgyvendinimo lygis</w:t>
            </w:r>
          </w:p>
        </w:tc>
      </w:tr>
      <w:tr w:rsidR="00F766A4" w:rsidRPr="00BC5C1D" w14:paraId="3E7168BD" w14:textId="77777777" w:rsidTr="00CC6AA5">
        <w:tc>
          <w:tcPr>
            <w:tcW w:w="2972" w:type="dxa"/>
          </w:tcPr>
          <w:p w14:paraId="2F9FC206" w14:textId="77777777" w:rsidR="004D3C60" w:rsidRPr="004D3C60" w:rsidRDefault="004D3C60" w:rsidP="004D3C60">
            <w:pPr>
              <w:autoSpaceDE w:val="0"/>
              <w:autoSpaceDN w:val="0"/>
              <w:adjustRightInd w:val="0"/>
              <w:jc w:val="both"/>
              <w:rPr>
                <w:b/>
                <w:iCs/>
                <w:color w:val="000000"/>
              </w:rPr>
            </w:pPr>
            <w:r w:rsidRPr="004D3C60">
              <w:rPr>
                <w:b/>
                <w:iCs/>
                <w:color w:val="000000"/>
              </w:rPr>
              <w:t>6 straipsnis</w:t>
            </w:r>
          </w:p>
          <w:p w14:paraId="4DAAC911" w14:textId="1EE334A0" w:rsidR="00F766A4" w:rsidRPr="00BC5C1D" w:rsidRDefault="004D3C60" w:rsidP="004D3C60">
            <w:pPr>
              <w:autoSpaceDE w:val="0"/>
              <w:autoSpaceDN w:val="0"/>
              <w:adjustRightInd w:val="0"/>
              <w:jc w:val="both"/>
              <w:rPr>
                <w:b/>
                <w:iCs/>
                <w:color w:val="000000"/>
              </w:rPr>
            </w:pPr>
            <w:r w:rsidRPr="004D3C60">
              <w:rPr>
                <w:b/>
                <w:iCs/>
                <w:color w:val="000000"/>
              </w:rPr>
              <w:t>Privalomųjų atsargų registras. Metinė ataskaita</w:t>
            </w:r>
          </w:p>
        </w:tc>
        <w:tc>
          <w:tcPr>
            <w:tcW w:w="5245" w:type="dxa"/>
          </w:tcPr>
          <w:p w14:paraId="2BF0720F" w14:textId="77777777" w:rsidR="00F766A4" w:rsidRPr="00BC5C1D" w:rsidRDefault="00F766A4" w:rsidP="00B71E40">
            <w:pPr>
              <w:pStyle w:val="prastasiniatinklio"/>
              <w:tabs>
                <w:tab w:val="left" w:pos="993"/>
              </w:tabs>
              <w:spacing w:before="0" w:beforeAutospacing="0" w:after="0" w:afterAutospacing="0"/>
              <w:ind w:firstLine="176"/>
              <w:jc w:val="both"/>
            </w:pPr>
          </w:p>
        </w:tc>
        <w:tc>
          <w:tcPr>
            <w:tcW w:w="1701" w:type="dxa"/>
          </w:tcPr>
          <w:p w14:paraId="42547DF8" w14:textId="77777777" w:rsidR="00F766A4" w:rsidRPr="00BC5C1D" w:rsidRDefault="00F766A4" w:rsidP="00B71E40"/>
        </w:tc>
      </w:tr>
      <w:tr w:rsidR="00CE1CB6" w:rsidRPr="00BC5C1D" w14:paraId="3360718E" w14:textId="77777777" w:rsidTr="00CC6AA5">
        <w:tc>
          <w:tcPr>
            <w:tcW w:w="2972" w:type="dxa"/>
          </w:tcPr>
          <w:p w14:paraId="5800F273" w14:textId="75EF995F" w:rsidR="00CE1CB6" w:rsidRPr="007F0633" w:rsidRDefault="00A32998" w:rsidP="00B71E40">
            <w:pPr>
              <w:autoSpaceDE w:val="0"/>
              <w:autoSpaceDN w:val="0"/>
              <w:adjustRightInd w:val="0"/>
              <w:jc w:val="both"/>
            </w:pPr>
            <w:r w:rsidRPr="007F0633">
              <w:t>2.   Iki kiekvienų metų kovo 15 d. kiekviena valstybė narė Komisijai pateikia 1 dalyje nurodytą paskutinės prieš tai einančių kalendorinių metų dienos atsargų registro suvestinę kopiją, kurioje nurodomi bent į registrą įtrauktų privalomųjų atsargų, kurios yra toje valstybėje narėje, kiekiai ir pobūdis.</w:t>
            </w:r>
          </w:p>
        </w:tc>
        <w:tc>
          <w:tcPr>
            <w:tcW w:w="5245" w:type="dxa"/>
          </w:tcPr>
          <w:p w14:paraId="1A8D9D1D" w14:textId="45D1347B" w:rsidR="00B41B65" w:rsidRDefault="00B41B65" w:rsidP="00B41B65">
            <w:pPr>
              <w:pStyle w:val="prastasiniatinklio"/>
              <w:tabs>
                <w:tab w:val="left" w:pos="993"/>
              </w:tabs>
              <w:spacing w:before="0" w:beforeAutospacing="0" w:after="0" w:afterAutospacing="0"/>
              <w:jc w:val="both"/>
              <w:rPr>
                <w:b/>
              </w:rPr>
            </w:pPr>
            <w:r w:rsidRPr="00BC5C1D">
              <w:rPr>
                <w:b/>
              </w:rPr>
              <w:t>Projektas</w:t>
            </w:r>
          </w:p>
          <w:p w14:paraId="5A6AD213" w14:textId="77777777" w:rsidR="00DC711E" w:rsidRPr="00C964CC" w:rsidRDefault="00DC711E" w:rsidP="00DC711E">
            <w:pPr>
              <w:jc w:val="both"/>
            </w:pPr>
            <w:r w:rsidRPr="003C307C">
              <w:t>2</w:t>
            </w:r>
            <w:r w:rsidRPr="00CC64F2">
              <w:t>.</w:t>
            </w:r>
            <w:r w:rsidRPr="001A13A0">
              <w:t>7</w:t>
            </w:r>
            <w:r>
              <w:t xml:space="preserve">. </w:t>
            </w:r>
            <w:r w:rsidRPr="00C964CC">
              <w:t xml:space="preserve">Pakeisti </w:t>
            </w:r>
            <w:r>
              <w:t>2</w:t>
            </w:r>
            <w:r w:rsidRPr="00096ADF">
              <w:t xml:space="preserve"> </w:t>
            </w:r>
            <w:r>
              <w:t xml:space="preserve">priedo </w:t>
            </w:r>
            <w:r w:rsidRPr="001A13A0">
              <w:t>9.1</w:t>
            </w:r>
            <w:r>
              <w:t xml:space="preserve"> papunktį</w:t>
            </w:r>
            <w:r w:rsidRPr="00C964CC">
              <w:t xml:space="preserve"> ir </w:t>
            </w:r>
            <w:r>
              <w:t xml:space="preserve">jį </w:t>
            </w:r>
            <w:r w:rsidRPr="00C964CC">
              <w:t>išdėstyti jį taip:</w:t>
            </w:r>
          </w:p>
          <w:p w14:paraId="05D72F73" w14:textId="4F09FB18" w:rsidR="00B41B65" w:rsidRPr="00BC5C1D" w:rsidRDefault="00DC711E" w:rsidP="00DC711E">
            <w:pPr>
              <w:pStyle w:val="prastasiniatinklio"/>
              <w:tabs>
                <w:tab w:val="left" w:pos="993"/>
              </w:tabs>
              <w:spacing w:before="0" w:beforeAutospacing="0" w:after="0" w:afterAutospacing="0"/>
              <w:jc w:val="both"/>
              <w:rPr>
                <w:b/>
              </w:rPr>
            </w:pPr>
            <w:r w:rsidRPr="00C964CC">
              <w:t>„</w:t>
            </w:r>
            <w:r>
              <w:rPr>
                <w:color w:val="000000"/>
              </w:rPr>
              <w:t xml:space="preserve">9.1. iki kiekvienų </w:t>
            </w:r>
            <w:r w:rsidRPr="001A13A0">
              <w:rPr>
                <w:strike/>
                <w:color w:val="000000"/>
              </w:rPr>
              <w:t>kalendorinių</w:t>
            </w:r>
            <w:r>
              <w:rPr>
                <w:color w:val="000000"/>
              </w:rPr>
              <w:t xml:space="preserve"> metų </w:t>
            </w:r>
            <w:r w:rsidRPr="008B07F3">
              <w:rPr>
                <w:strike/>
                <w:color w:val="000000"/>
              </w:rPr>
              <w:t>vasario 25 d.</w:t>
            </w:r>
            <w:r>
              <w:rPr>
                <w:color w:val="000000"/>
              </w:rPr>
              <w:t xml:space="preserve"> </w:t>
            </w:r>
            <w:r>
              <w:rPr>
                <w:b/>
                <w:bCs/>
                <w:color w:val="000000"/>
              </w:rPr>
              <w:t xml:space="preserve">kovo </w:t>
            </w:r>
            <w:r w:rsidRPr="001A13A0">
              <w:rPr>
                <w:b/>
                <w:bCs/>
                <w:color w:val="000000"/>
              </w:rPr>
              <w:t>15</w:t>
            </w:r>
            <w:r>
              <w:rPr>
                <w:b/>
                <w:bCs/>
                <w:color w:val="000000"/>
              </w:rPr>
              <w:t xml:space="preserve"> d. </w:t>
            </w:r>
            <w:r>
              <w:rPr>
                <w:color w:val="000000"/>
              </w:rPr>
              <w:t>– atsargų informacinės sistemos išrašą, kuriame pateikiama informacija apie praėjusiais kalendoriniais metais į atsargų informacinę sistemą įtrauktas Lietuvos Respublikoje kaupiamas atsargas, jų kiekius ir produktų kategorijas;“.</w:t>
            </w:r>
          </w:p>
          <w:p w14:paraId="3762029D" w14:textId="77777777" w:rsidR="00CE1CB6" w:rsidRPr="00BC5C1D" w:rsidRDefault="00CE1CB6" w:rsidP="00B71E40">
            <w:pPr>
              <w:pStyle w:val="prastasiniatinklio"/>
              <w:tabs>
                <w:tab w:val="left" w:pos="993"/>
              </w:tabs>
              <w:spacing w:before="0" w:beforeAutospacing="0" w:after="0" w:afterAutospacing="0"/>
              <w:ind w:firstLine="176"/>
              <w:jc w:val="both"/>
            </w:pPr>
          </w:p>
        </w:tc>
        <w:tc>
          <w:tcPr>
            <w:tcW w:w="1701" w:type="dxa"/>
          </w:tcPr>
          <w:p w14:paraId="460B1CE6" w14:textId="092B188D" w:rsidR="00CE1CB6" w:rsidRPr="00BC5C1D" w:rsidRDefault="00D3561B" w:rsidP="00B71E40">
            <w:r w:rsidRPr="00BC5C1D">
              <w:t>Visiškai įgyvendinta</w:t>
            </w:r>
          </w:p>
        </w:tc>
      </w:tr>
      <w:tr w:rsidR="00BF0015" w:rsidRPr="00BC5C1D" w14:paraId="5C432B2A" w14:textId="77777777" w:rsidTr="00CC6AA5">
        <w:tc>
          <w:tcPr>
            <w:tcW w:w="2972" w:type="dxa"/>
          </w:tcPr>
          <w:p w14:paraId="0545DCEF" w14:textId="77777777" w:rsidR="00BC5C1D" w:rsidRPr="00BC5C1D" w:rsidRDefault="00BC5C1D" w:rsidP="00B71E40">
            <w:pPr>
              <w:autoSpaceDE w:val="0"/>
              <w:autoSpaceDN w:val="0"/>
              <w:adjustRightInd w:val="0"/>
              <w:jc w:val="both"/>
              <w:rPr>
                <w:b/>
                <w:color w:val="000000"/>
              </w:rPr>
            </w:pPr>
            <w:r w:rsidRPr="00BC5C1D">
              <w:rPr>
                <w:b/>
                <w:iCs/>
                <w:color w:val="000000"/>
              </w:rPr>
              <w:t xml:space="preserve">7 straipsnis </w:t>
            </w:r>
          </w:p>
          <w:p w14:paraId="11457ABB" w14:textId="643963C9" w:rsidR="004969A4" w:rsidRPr="00BC5C1D" w:rsidRDefault="00BC5C1D" w:rsidP="00B71E40">
            <w:r w:rsidRPr="00BC5C1D">
              <w:rPr>
                <w:b/>
                <w:bCs/>
                <w:color w:val="000000"/>
              </w:rPr>
              <w:t>Centrinės saugyklos</w:t>
            </w:r>
          </w:p>
        </w:tc>
        <w:tc>
          <w:tcPr>
            <w:tcW w:w="5245" w:type="dxa"/>
          </w:tcPr>
          <w:p w14:paraId="6393CD0B" w14:textId="78BF2432" w:rsidR="00BF0015" w:rsidRPr="00BC5C1D" w:rsidRDefault="00BF0015" w:rsidP="00B71E40">
            <w:pPr>
              <w:pStyle w:val="prastasiniatinklio"/>
              <w:tabs>
                <w:tab w:val="left" w:pos="993"/>
              </w:tabs>
              <w:spacing w:before="0" w:beforeAutospacing="0" w:after="0" w:afterAutospacing="0"/>
              <w:ind w:firstLine="176"/>
              <w:jc w:val="both"/>
            </w:pPr>
          </w:p>
        </w:tc>
        <w:tc>
          <w:tcPr>
            <w:tcW w:w="1701" w:type="dxa"/>
          </w:tcPr>
          <w:p w14:paraId="382E1E0A" w14:textId="2BDFD8B1" w:rsidR="00BF0015" w:rsidRPr="00BC5C1D" w:rsidRDefault="00BF0015" w:rsidP="00B71E40"/>
        </w:tc>
      </w:tr>
      <w:tr w:rsidR="00552DAD" w:rsidRPr="00BC5C1D" w14:paraId="74BE7CCC" w14:textId="77777777" w:rsidTr="00CC6AA5">
        <w:tc>
          <w:tcPr>
            <w:tcW w:w="2972" w:type="dxa"/>
          </w:tcPr>
          <w:p w14:paraId="685FCDA3" w14:textId="77777777" w:rsidR="00E948A7" w:rsidRDefault="00E948A7" w:rsidP="00B71E40">
            <w:pPr>
              <w:pStyle w:val="CM4"/>
              <w:jc w:val="both"/>
              <w:rPr>
                <w:rFonts w:ascii="Times New Roman" w:hAnsi="Times New Roman"/>
              </w:rPr>
            </w:pPr>
            <w:r w:rsidRPr="00E948A7">
              <w:rPr>
                <w:rFonts w:ascii="Times New Roman" w:hAnsi="Times New Roman"/>
              </w:rPr>
              <w:t>&lt;...&gt;</w:t>
            </w:r>
          </w:p>
          <w:p w14:paraId="0848CE31" w14:textId="78AEE3A3" w:rsidR="00552DAD" w:rsidRPr="00BC5C1D" w:rsidRDefault="00A00295" w:rsidP="00B71E40">
            <w:pPr>
              <w:pStyle w:val="CM4"/>
              <w:jc w:val="both"/>
              <w:rPr>
                <w:rFonts w:ascii="Times New Roman" w:hAnsi="Times New Roman"/>
                <w:b/>
                <w:iCs/>
                <w:color w:val="000000"/>
              </w:rPr>
            </w:pPr>
            <w:r w:rsidRPr="00BC5C1D">
              <w:rPr>
                <w:rFonts w:ascii="Times New Roman" w:hAnsi="Times New Roman"/>
              </w:rPr>
              <w:t>Centrinės saugyklos priima tokius perleidžiamus įpareigojimus objektyviomis, skaidriomis ir nediskriminacinėmis sąlygomis. Veiklos vykdytojų mokėjimai už centrinės saugyklos paslaugas neturi viršyti visų suteiktų paslaugų sąnaudų ir jų nereikalaujama, kol nesudarytos atsargos. Centrinė saugykla gali nustatyti, kad jis sutiks perimti perleidžiamą įpareigojimą tuo atveju, jei ūkinės veiklos vykdytojas pateiks garantiją ar kitokį užstatą.</w:t>
            </w:r>
          </w:p>
        </w:tc>
        <w:tc>
          <w:tcPr>
            <w:tcW w:w="5245" w:type="dxa"/>
          </w:tcPr>
          <w:p w14:paraId="57DC828E" w14:textId="52216C4C" w:rsidR="000E23C3" w:rsidRPr="00BC5C1D" w:rsidRDefault="00BF77B6" w:rsidP="00B71E40">
            <w:pPr>
              <w:pStyle w:val="prastasiniatinklio"/>
              <w:tabs>
                <w:tab w:val="left" w:pos="993"/>
              </w:tabs>
              <w:spacing w:before="0" w:beforeAutospacing="0" w:after="0" w:afterAutospacing="0"/>
              <w:jc w:val="both"/>
              <w:rPr>
                <w:b/>
              </w:rPr>
            </w:pPr>
            <w:r w:rsidRPr="00BC5C1D">
              <w:rPr>
                <w:b/>
              </w:rPr>
              <w:t>P</w:t>
            </w:r>
            <w:r w:rsidR="000E23C3" w:rsidRPr="00BC5C1D">
              <w:rPr>
                <w:b/>
              </w:rPr>
              <w:t>rojektas</w:t>
            </w:r>
          </w:p>
          <w:p w14:paraId="608223EB" w14:textId="06A30F70" w:rsidR="00397ABC" w:rsidRDefault="00B430D4" w:rsidP="00B71E40">
            <w:pPr>
              <w:jc w:val="both"/>
            </w:pPr>
            <w:r w:rsidRPr="002514DF">
              <w:t>2.1</w:t>
            </w:r>
            <w:r w:rsidR="00397ABC">
              <w:t>. Pakeisti 16 punktą ir jį išdėstyti taip:</w:t>
            </w:r>
          </w:p>
          <w:p w14:paraId="6C1AD79C" w14:textId="79773336" w:rsidR="00552DAD" w:rsidRPr="00EE4C11" w:rsidRDefault="00397ABC" w:rsidP="00B71E40">
            <w:pPr>
              <w:jc w:val="both"/>
            </w:pPr>
            <w:r>
              <w:t xml:space="preserve">„16. </w:t>
            </w:r>
            <w:r w:rsidR="00D05EDB" w:rsidRPr="00E54142">
              <w:t xml:space="preserve">Agentūros taikomus atsargų kaupimo ir tvarkymo paslaugų tarifus pagal atsargų kategorijas (toliau – tarifai) kiekvienais metais iki spalio 31 d. tvirtina </w:t>
            </w:r>
            <w:r w:rsidR="00D05EDB" w:rsidRPr="00FC16F9">
              <w:rPr>
                <w:strike/>
              </w:rPr>
              <w:t>Energetikos ministerija</w:t>
            </w:r>
            <w:r w:rsidR="00D05EDB">
              <w:t xml:space="preserve"> </w:t>
            </w:r>
            <w:r w:rsidR="00D05EDB" w:rsidRPr="00FC16F9">
              <w:rPr>
                <w:b/>
                <w:bCs/>
              </w:rPr>
              <w:t>energetikos ministras</w:t>
            </w:r>
            <w:r w:rsidR="00D05EDB" w:rsidRPr="00E54142">
              <w:t xml:space="preserve">. Tarifai turi įsigalioti ne anksčiau kaip po 7 mėnesių nuo jų patvirtinimo. </w:t>
            </w:r>
            <w:r w:rsidR="00D05EDB" w:rsidRPr="006632F7">
              <w:rPr>
                <w:strike/>
              </w:rPr>
              <w:t>Energetikos ministerija apskaičiuoja</w:t>
            </w:r>
            <w:r w:rsidR="00D05EDB" w:rsidRPr="00E54142">
              <w:t xml:space="preserve"> </w:t>
            </w:r>
            <w:r w:rsidR="00D05EDB" w:rsidRPr="006632F7">
              <w:rPr>
                <w:b/>
                <w:bCs/>
              </w:rPr>
              <w:t>Apskaičiuojant</w:t>
            </w:r>
            <w:r w:rsidR="00D05EDB">
              <w:t xml:space="preserve"> </w:t>
            </w:r>
            <w:r w:rsidR="00D05EDB" w:rsidRPr="00E54142">
              <w:t xml:space="preserve">tarifus, </w:t>
            </w:r>
            <w:r w:rsidR="00D05EDB" w:rsidRPr="006945EC">
              <w:rPr>
                <w:b/>
                <w:bCs/>
              </w:rPr>
              <w:t>atsižvelgiama</w:t>
            </w:r>
            <w:r w:rsidR="00D05EDB">
              <w:t xml:space="preserve"> </w:t>
            </w:r>
            <w:r w:rsidR="00D05EDB" w:rsidRPr="00E54142">
              <w:t xml:space="preserve">į Agentūros </w:t>
            </w:r>
            <w:r w:rsidR="00D05EDB" w:rsidRPr="00A91BEE">
              <w:rPr>
                <w:strike/>
              </w:rPr>
              <w:t>patiriamas sąnaudas</w:t>
            </w:r>
            <w:r w:rsidR="00D05EDB" w:rsidRPr="00E54142">
              <w:t xml:space="preserve"> </w:t>
            </w:r>
            <w:r w:rsidR="00D05EDB" w:rsidRPr="000B488C">
              <w:rPr>
                <w:b/>
                <w:bCs/>
                <w:color w:val="000000"/>
              </w:rPr>
              <w:t xml:space="preserve">per praėjusius </w:t>
            </w:r>
            <w:r w:rsidR="00D05EDB">
              <w:rPr>
                <w:b/>
                <w:bCs/>
                <w:color w:val="000000"/>
              </w:rPr>
              <w:t xml:space="preserve">kalendorinius </w:t>
            </w:r>
            <w:r w:rsidR="00D05EDB" w:rsidRPr="000B488C">
              <w:rPr>
                <w:b/>
                <w:bCs/>
                <w:color w:val="000000"/>
              </w:rPr>
              <w:t xml:space="preserve">metus faktiškai patirtas talpyklų nuomos, atsargų keitimo, administracines ir kitas </w:t>
            </w:r>
            <w:r w:rsidR="00D05EDB">
              <w:rPr>
                <w:b/>
                <w:bCs/>
                <w:color w:val="000000"/>
              </w:rPr>
              <w:t xml:space="preserve">centralizuoto atsargų kaupimo ir tvarkymo </w:t>
            </w:r>
            <w:r w:rsidR="00D05EDB" w:rsidRPr="000B488C">
              <w:rPr>
                <w:b/>
                <w:bCs/>
                <w:color w:val="000000"/>
              </w:rPr>
              <w:t xml:space="preserve">sąnaudas, </w:t>
            </w:r>
            <w:r w:rsidR="00D05EDB">
              <w:rPr>
                <w:b/>
                <w:bCs/>
                <w:color w:val="000000"/>
              </w:rPr>
              <w:t xml:space="preserve">įvertinant </w:t>
            </w:r>
            <w:r w:rsidR="00D05EDB" w:rsidRPr="000B488C">
              <w:rPr>
                <w:b/>
                <w:bCs/>
                <w:color w:val="000000"/>
              </w:rPr>
              <w:t xml:space="preserve">iš šios veiklos gautą finansinį rezultatą </w:t>
            </w:r>
            <w:r w:rsidR="00D05EDB">
              <w:rPr>
                <w:b/>
                <w:bCs/>
                <w:color w:val="000000"/>
              </w:rPr>
              <w:t>ir</w:t>
            </w:r>
            <w:r w:rsidR="00D05EDB" w:rsidRPr="000B488C">
              <w:rPr>
                <w:b/>
                <w:bCs/>
                <w:color w:val="000000"/>
              </w:rPr>
              <w:t xml:space="preserve"> to paties laikotarpio vidutinėmis</w:t>
            </w:r>
            <w:r w:rsidR="00D05EDB">
              <w:rPr>
                <w:b/>
                <w:bCs/>
                <w:color w:val="000000"/>
              </w:rPr>
              <w:t xml:space="preserve"> </w:t>
            </w:r>
            <w:r w:rsidR="00D05EDB" w:rsidRPr="00512341">
              <w:rPr>
                <w:b/>
                <w:bCs/>
                <w:color w:val="000000"/>
              </w:rPr>
              <w:t>pasaulinės naftos rinkos</w:t>
            </w:r>
            <w:r w:rsidR="00D05EDB" w:rsidRPr="000B488C">
              <w:rPr>
                <w:b/>
                <w:bCs/>
                <w:color w:val="000000"/>
              </w:rPr>
              <w:t xml:space="preserve"> kainomis įvertintų atsargų įsigijimo</w:t>
            </w:r>
            <w:r w:rsidR="00D05EDB">
              <w:rPr>
                <w:b/>
                <w:bCs/>
                <w:color w:val="000000"/>
              </w:rPr>
              <w:t xml:space="preserve"> išlaidas</w:t>
            </w:r>
            <w:r w:rsidR="00D05EDB" w:rsidRPr="000B488C">
              <w:rPr>
                <w:b/>
                <w:bCs/>
                <w:color w:val="000000"/>
              </w:rPr>
              <w:t>, apskaičiuot</w:t>
            </w:r>
            <w:r w:rsidR="00D05EDB">
              <w:rPr>
                <w:b/>
                <w:bCs/>
                <w:color w:val="000000"/>
              </w:rPr>
              <w:t>a</w:t>
            </w:r>
            <w:r w:rsidR="00D05EDB" w:rsidRPr="000B488C">
              <w:rPr>
                <w:b/>
                <w:bCs/>
                <w:color w:val="000000"/>
              </w:rPr>
              <w:t xml:space="preserve">s taikant Lietuvos banko skelbiamą to paties laikotarpio vidutinę paskolų euro zonos ne finansų bendrovėms naujų susitarimų </w:t>
            </w:r>
            <w:r w:rsidR="00D05EDB" w:rsidRPr="000B488C">
              <w:rPr>
                <w:b/>
                <w:bCs/>
                <w:color w:val="000000"/>
              </w:rPr>
              <w:lastRenderedPageBreak/>
              <w:t>palūkanų normą</w:t>
            </w:r>
            <w:r w:rsidR="000E14E0">
              <w:rPr>
                <w:b/>
                <w:bCs/>
                <w:color w:val="000000"/>
              </w:rPr>
              <w:t>,</w:t>
            </w:r>
            <w:bookmarkStart w:id="0" w:name="_GoBack"/>
            <w:bookmarkEnd w:id="0"/>
            <w:r w:rsidR="00D05EDB" w:rsidRPr="000B488C">
              <w:rPr>
                <w:color w:val="000000"/>
              </w:rPr>
              <w:t xml:space="preserve"> </w:t>
            </w:r>
            <w:r w:rsidR="00D05EDB" w:rsidRPr="00E54142">
              <w:t xml:space="preserve">ir </w:t>
            </w:r>
            <w:r w:rsidR="00D05EDB" w:rsidRPr="00FA3031">
              <w:rPr>
                <w:strike/>
              </w:rPr>
              <w:t>pasiūlymus</w:t>
            </w:r>
            <w:r w:rsidR="00D05EDB" w:rsidRPr="00E54142">
              <w:t xml:space="preserve"> </w:t>
            </w:r>
            <w:r w:rsidR="00D05EDB">
              <w:rPr>
                <w:b/>
                <w:bCs/>
              </w:rPr>
              <w:t xml:space="preserve">įvertinami Agentūros pasiūlymai </w:t>
            </w:r>
            <w:r w:rsidR="00D05EDB" w:rsidRPr="00E54142">
              <w:t xml:space="preserve">dėl tarifų dydžio nustatymo. </w:t>
            </w:r>
            <w:r w:rsidR="00D05EDB" w:rsidRPr="00FE412C">
              <w:rPr>
                <w:strike/>
              </w:rPr>
              <w:t>Energetikos ministerija, apskaičiuodama ir tvirtindama tarifus, užtikrina</w:t>
            </w:r>
            <w:r w:rsidR="00D05EDB" w:rsidRPr="006632F7">
              <w:rPr>
                <w:strike/>
              </w:rPr>
              <w:t xml:space="preserve">, </w:t>
            </w:r>
            <w:r w:rsidR="00D05EDB" w:rsidRPr="006632F7">
              <w:rPr>
                <w:b/>
                <w:bCs/>
              </w:rPr>
              <w:t xml:space="preserve">Apskaičiuojant ir tvirtinant tarifus turi būti užtikrinama, </w:t>
            </w:r>
            <w:r w:rsidR="00D05EDB" w:rsidRPr="00E54142">
              <w:t xml:space="preserve">kad jie neviršys Agentūros patiriamų atsargų kaupimo ir tvarkymo paslaugų </w:t>
            </w:r>
            <w:r w:rsidR="00D05EDB" w:rsidRPr="002E57D6">
              <w:rPr>
                <w:strike/>
              </w:rPr>
              <w:t>sąnaudų</w:t>
            </w:r>
            <w:r w:rsidR="00D05EDB">
              <w:t xml:space="preserve"> </w:t>
            </w:r>
            <w:r w:rsidR="00D05EDB">
              <w:rPr>
                <w:b/>
                <w:bCs/>
                <w:color w:val="000000"/>
              </w:rPr>
              <w:t>išlaidų</w:t>
            </w:r>
            <w:r w:rsidR="00D05EDB" w:rsidRPr="00E54142">
              <w:t xml:space="preserve">. Agentūra pateikia savo pasiūlymus ir nurodytą informaciją Energetikos ministerijai kiekvienais metais iki rugsėjo 30 d. Energetikos </w:t>
            </w:r>
            <w:r w:rsidR="00D05EDB" w:rsidRPr="00655A90">
              <w:rPr>
                <w:strike/>
              </w:rPr>
              <w:t>ministerijos</w:t>
            </w:r>
            <w:r w:rsidR="00D05EDB" w:rsidRPr="00E54142">
              <w:t xml:space="preserve"> </w:t>
            </w:r>
            <w:r w:rsidR="00D05EDB">
              <w:rPr>
                <w:b/>
                <w:bCs/>
              </w:rPr>
              <w:t xml:space="preserve">ministro </w:t>
            </w:r>
            <w:r w:rsidR="00D05EDB" w:rsidRPr="00E54142">
              <w:t xml:space="preserve">patvirtinti tarifai galioja iki naujų tarifų įsigaliojimo. </w:t>
            </w:r>
            <w:r w:rsidR="00D05EDB" w:rsidRPr="00DA5B6C">
              <w:rPr>
                <w:strike/>
              </w:rPr>
              <w:t xml:space="preserve">Nauji </w:t>
            </w:r>
            <w:r w:rsidR="00D05EDB" w:rsidRPr="006B0399">
              <w:rPr>
                <w:strike/>
              </w:rPr>
              <w:t>tarifai netaikomi Agentūros susitarimams dėl atsargų kaupimo ir tvarkymo, sudarytiems iki šių tarifų patvirtinimo</w:t>
            </w:r>
            <w:r w:rsidR="0002500A" w:rsidRPr="00E54142">
              <w:t>.</w:t>
            </w:r>
            <w:r w:rsidR="0002500A">
              <w:t>“</w:t>
            </w:r>
          </w:p>
        </w:tc>
        <w:tc>
          <w:tcPr>
            <w:tcW w:w="1701" w:type="dxa"/>
          </w:tcPr>
          <w:p w14:paraId="5CCE6325" w14:textId="1C20FF2A" w:rsidR="00552DAD" w:rsidRPr="00BC5C1D" w:rsidRDefault="00D527A7" w:rsidP="00B71E40">
            <w:r w:rsidRPr="00BC5C1D">
              <w:lastRenderedPageBreak/>
              <w:t>Visiškai įgyvendinta</w:t>
            </w:r>
          </w:p>
        </w:tc>
      </w:tr>
    </w:tbl>
    <w:p w14:paraId="683A9F82" w14:textId="77777777" w:rsidR="00BF0015" w:rsidRPr="00BC5C1D" w:rsidRDefault="00BF0015" w:rsidP="00B71E40"/>
    <w:p w14:paraId="2C061A04" w14:textId="77777777" w:rsidR="00BF0015" w:rsidRPr="00BC5C1D" w:rsidRDefault="00BF0015" w:rsidP="00B71E40">
      <w:pPr>
        <w:jc w:val="center"/>
      </w:pPr>
      <w:r w:rsidRPr="00BC5C1D">
        <w:t>____________________________________</w:t>
      </w:r>
    </w:p>
    <w:sectPr w:rsidR="00BF0015" w:rsidRPr="00BC5C1D" w:rsidSect="00CC6AA5">
      <w:headerReference w:type="default" r:id="rId9"/>
      <w:pgSz w:w="11907" w:h="16840" w:code="9"/>
      <w:pgMar w:top="993"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1478" w14:textId="77777777" w:rsidR="00A671EC" w:rsidRDefault="00A671EC" w:rsidP="00F5151A">
      <w:r>
        <w:separator/>
      </w:r>
    </w:p>
  </w:endnote>
  <w:endnote w:type="continuationSeparator" w:id="0">
    <w:p w14:paraId="01C8756B" w14:textId="77777777" w:rsidR="00A671EC" w:rsidRDefault="00A671EC" w:rsidP="00F5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DEA5" w14:textId="77777777" w:rsidR="00A671EC" w:rsidRDefault="00A671EC" w:rsidP="00F5151A">
      <w:r>
        <w:separator/>
      </w:r>
    </w:p>
  </w:footnote>
  <w:footnote w:type="continuationSeparator" w:id="0">
    <w:p w14:paraId="28E6DBA3" w14:textId="77777777" w:rsidR="00A671EC" w:rsidRDefault="00A671EC" w:rsidP="00F5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50958"/>
      <w:docPartObj>
        <w:docPartGallery w:val="Page Numbers (Top of Page)"/>
        <w:docPartUnique/>
      </w:docPartObj>
    </w:sdtPr>
    <w:sdtEndPr/>
    <w:sdtContent>
      <w:p w14:paraId="440AAD86" w14:textId="3C68F543" w:rsidR="00F5151A" w:rsidRDefault="00F5151A">
        <w:pPr>
          <w:pStyle w:val="Antrats"/>
          <w:jc w:val="center"/>
        </w:pPr>
        <w:r>
          <w:fldChar w:fldCharType="begin"/>
        </w:r>
        <w:r>
          <w:instrText>PAGE   \* MERGEFORMAT</w:instrText>
        </w:r>
        <w:r>
          <w:fldChar w:fldCharType="separate"/>
        </w:r>
        <w:r>
          <w:t>2</w:t>
        </w:r>
        <w:r>
          <w:fldChar w:fldCharType="end"/>
        </w:r>
      </w:p>
    </w:sdtContent>
  </w:sdt>
  <w:p w14:paraId="60304817" w14:textId="77777777" w:rsidR="00F5151A" w:rsidRDefault="00F515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5"/>
    <w:rsid w:val="00002746"/>
    <w:rsid w:val="00011E90"/>
    <w:rsid w:val="0002500A"/>
    <w:rsid w:val="000252FB"/>
    <w:rsid w:val="000276F3"/>
    <w:rsid w:val="0003112D"/>
    <w:rsid w:val="00036588"/>
    <w:rsid w:val="000434E7"/>
    <w:rsid w:val="00047A66"/>
    <w:rsid w:val="00047E20"/>
    <w:rsid w:val="00067936"/>
    <w:rsid w:val="000840B9"/>
    <w:rsid w:val="000A56FF"/>
    <w:rsid w:val="000D73EE"/>
    <w:rsid w:val="000E14E0"/>
    <w:rsid w:val="000E23C3"/>
    <w:rsid w:val="000F1FDB"/>
    <w:rsid w:val="000F655A"/>
    <w:rsid w:val="00104F8F"/>
    <w:rsid w:val="0011218A"/>
    <w:rsid w:val="00113487"/>
    <w:rsid w:val="0013410B"/>
    <w:rsid w:val="00145A7C"/>
    <w:rsid w:val="00154F50"/>
    <w:rsid w:val="00183079"/>
    <w:rsid w:val="001A31CA"/>
    <w:rsid w:val="001A5BA9"/>
    <w:rsid w:val="0020146E"/>
    <w:rsid w:val="00243267"/>
    <w:rsid w:val="00245A62"/>
    <w:rsid w:val="00270085"/>
    <w:rsid w:val="00274448"/>
    <w:rsid w:val="00281098"/>
    <w:rsid w:val="00282388"/>
    <w:rsid w:val="002847F4"/>
    <w:rsid w:val="002849A4"/>
    <w:rsid w:val="00290440"/>
    <w:rsid w:val="002A081E"/>
    <w:rsid w:val="002B1BE7"/>
    <w:rsid w:val="002C0E4E"/>
    <w:rsid w:val="002C2DD2"/>
    <w:rsid w:val="002C3540"/>
    <w:rsid w:val="002D2BF8"/>
    <w:rsid w:val="002E3284"/>
    <w:rsid w:val="002F346A"/>
    <w:rsid w:val="00300B55"/>
    <w:rsid w:val="003010AC"/>
    <w:rsid w:val="003169AE"/>
    <w:rsid w:val="0033061D"/>
    <w:rsid w:val="0033637D"/>
    <w:rsid w:val="00345731"/>
    <w:rsid w:val="00355053"/>
    <w:rsid w:val="00370807"/>
    <w:rsid w:val="00371B0F"/>
    <w:rsid w:val="003825D2"/>
    <w:rsid w:val="00397ABC"/>
    <w:rsid w:val="003B7565"/>
    <w:rsid w:val="003D0B04"/>
    <w:rsid w:val="003D30B5"/>
    <w:rsid w:val="003D5173"/>
    <w:rsid w:val="003E053B"/>
    <w:rsid w:val="003E33D2"/>
    <w:rsid w:val="003F17E0"/>
    <w:rsid w:val="004029A6"/>
    <w:rsid w:val="00404D70"/>
    <w:rsid w:val="00406AEA"/>
    <w:rsid w:val="004104B3"/>
    <w:rsid w:val="00432A24"/>
    <w:rsid w:val="00432FF2"/>
    <w:rsid w:val="00463E94"/>
    <w:rsid w:val="0046540E"/>
    <w:rsid w:val="00466F34"/>
    <w:rsid w:val="004760FC"/>
    <w:rsid w:val="00494FC2"/>
    <w:rsid w:val="0049632C"/>
    <w:rsid w:val="004968A6"/>
    <w:rsid w:val="004969A4"/>
    <w:rsid w:val="00497FC4"/>
    <w:rsid w:val="004A686A"/>
    <w:rsid w:val="004B3D29"/>
    <w:rsid w:val="004C3F19"/>
    <w:rsid w:val="004D3C60"/>
    <w:rsid w:val="004E2B39"/>
    <w:rsid w:val="004E7B9C"/>
    <w:rsid w:val="004F1C73"/>
    <w:rsid w:val="004F28EE"/>
    <w:rsid w:val="0052664A"/>
    <w:rsid w:val="005328B4"/>
    <w:rsid w:val="005365D7"/>
    <w:rsid w:val="00547EC8"/>
    <w:rsid w:val="0055077D"/>
    <w:rsid w:val="00552DAD"/>
    <w:rsid w:val="00560516"/>
    <w:rsid w:val="00562477"/>
    <w:rsid w:val="005840EF"/>
    <w:rsid w:val="00585117"/>
    <w:rsid w:val="00585627"/>
    <w:rsid w:val="005922DA"/>
    <w:rsid w:val="005B34D7"/>
    <w:rsid w:val="005C3651"/>
    <w:rsid w:val="005D1FF7"/>
    <w:rsid w:val="005D7312"/>
    <w:rsid w:val="005E20CE"/>
    <w:rsid w:val="005E2F36"/>
    <w:rsid w:val="005F4E46"/>
    <w:rsid w:val="00617903"/>
    <w:rsid w:val="006311F4"/>
    <w:rsid w:val="00631B80"/>
    <w:rsid w:val="006535E9"/>
    <w:rsid w:val="006561CC"/>
    <w:rsid w:val="0066439F"/>
    <w:rsid w:val="006651C5"/>
    <w:rsid w:val="00667A14"/>
    <w:rsid w:val="006700DC"/>
    <w:rsid w:val="00675EB1"/>
    <w:rsid w:val="00685850"/>
    <w:rsid w:val="006908E7"/>
    <w:rsid w:val="006A1026"/>
    <w:rsid w:val="006A16E5"/>
    <w:rsid w:val="006B3F79"/>
    <w:rsid w:val="006C4342"/>
    <w:rsid w:val="006C4BC7"/>
    <w:rsid w:val="006F17CC"/>
    <w:rsid w:val="006F79FF"/>
    <w:rsid w:val="00710A3D"/>
    <w:rsid w:val="007173EF"/>
    <w:rsid w:val="007238C2"/>
    <w:rsid w:val="00730EF0"/>
    <w:rsid w:val="007313C4"/>
    <w:rsid w:val="007366CA"/>
    <w:rsid w:val="0074068E"/>
    <w:rsid w:val="007502CA"/>
    <w:rsid w:val="00773B9D"/>
    <w:rsid w:val="00775784"/>
    <w:rsid w:val="00784E45"/>
    <w:rsid w:val="007869A1"/>
    <w:rsid w:val="007B0737"/>
    <w:rsid w:val="007C46B3"/>
    <w:rsid w:val="007D2B9C"/>
    <w:rsid w:val="007D5FFE"/>
    <w:rsid w:val="007D6C11"/>
    <w:rsid w:val="007D7BEB"/>
    <w:rsid w:val="007E7C60"/>
    <w:rsid w:val="007F0633"/>
    <w:rsid w:val="007F5B77"/>
    <w:rsid w:val="007F7459"/>
    <w:rsid w:val="007F76C8"/>
    <w:rsid w:val="008158E2"/>
    <w:rsid w:val="0081696A"/>
    <w:rsid w:val="00826AD2"/>
    <w:rsid w:val="008301F6"/>
    <w:rsid w:val="00842058"/>
    <w:rsid w:val="008447EA"/>
    <w:rsid w:val="00871F8D"/>
    <w:rsid w:val="0088373E"/>
    <w:rsid w:val="008D1556"/>
    <w:rsid w:val="008E2C43"/>
    <w:rsid w:val="008E538B"/>
    <w:rsid w:val="008E6862"/>
    <w:rsid w:val="008E7EFD"/>
    <w:rsid w:val="008F0988"/>
    <w:rsid w:val="008F5B31"/>
    <w:rsid w:val="008F5F34"/>
    <w:rsid w:val="00914F09"/>
    <w:rsid w:val="009163F5"/>
    <w:rsid w:val="009270B6"/>
    <w:rsid w:val="00941EB8"/>
    <w:rsid w:val="00945EFA"/>
    <w:rsid w:val="00981F6A"/>
    <w:rsid w:val="009969B1"/>
    <w:rsid w:val="009A072E"/>
    <w:rsid w:val="009A2D0C"/>
    <w:rsid w:val="009B30F7"/>
    <w:rsid w:val="00A00295"/>
    <w:rsid w:val="00A007F6"/>
    <w:rsid w:val="00A16823"/>
    <w:rsid w:val="00A322E8"/>
    <w:rsid w:val="00A32998"/>
    <w:rsid w:val="00A35E26"/>
    <w:rsid w:val="00A44A80"/>
    <w:rsid w:val="00A539C9"/>
    <w:rsid w:val="00A54AEF"/>
    <w:rsid w:val="00A60C02"/>
    <w:rsid w:val="00A671EC"/>
    <w:rsid w:val="00A805B9"/>
    <w:rsid w:val="00A86578"/>
    <w:rsid w:val="00A963F6"/>
    <w:rsid w:val="00AA1210"/>
    <w:rsid w:val="00AC0F4C"/>
    <w:rsid w:val="00AC34B8"/>
    <w:rsid w:val="00AE09CD"/>
    <w:rsid w:val="00AF40EC"/>
    <w:rsid w:val="00B0663F"/>
    <w:rsid w:val="00B17D2F"/>
    <w:rsid w:val="00B41B65"/>
    <w:rsid w:val="00B430D4"/>
    <w:rsid w:val="00B50740"/>
    <w:rsid w:val="00B65FB0"/>
    <w:rsid w:val="00B7175C"/>
    <w:rsid w:val="00B71E40"/>
    <w:rsid w:val="00B844CE"/>
    <w:rsid w:val="00B86B47"/>
    <w:rsid w:val="00B90404"/>
    <w:rsid w:val="00B95111"/>
    <w:rsid w:val="00BA35DE"/>
    <w:rsid w:val="00BA3914"/>
    <w:rsid w:val="00BC5C1D"/>
    <w:rsid w:val="00BF0015"/>
    <w:rsid w:val="00BF47D4"/>
    <w:rsid w:val="00BF60AB"/>
    <w:rsid w:val="00BF7123"/>
    <w:rsid w:val="00BF77B6"/>
    <w:rsid w:val="00C07FF7"/>
    <w:rsid w:val="00C15A00"/>
    <w:rsid w:val="00C239D6"/>
    <w:rsid w:val="00C25D14"/>
    <w:rsid w:val="00C2743D"/>
    <w:rsid w:val="00C279CE"/>
    <w:rsid w:val="00C4184C"/>
    <w:rsid w:val="00C44C6D"/>
    <w:rsid w:val="00C531A3"/>
    <w:rsid w:val="00C75B16"/>
    <w:rsid w:val="00CB6260"/>
    <w:rsid w:val="00CC6721"/>
    <w:rsid w:val="00CC6AA5"/>
    <w:rsid w:val="00CD35CA"/>
    <w:rsid w:val="00CD4775"/>
    <w:rsid w:val="00CE1CB6"/>
    <w:rsid w:val="00CE36BE"/>
    <w:rsid w:val="00CF10B0"/>
    <w:rsid w:val="00CF1669"/>
    <w:rsid w:val="00CF4278"/>
    <w:rsid w:val="00CF67F0"/>
    <w:rsid w:val="00D05EDB"/>
    <w:rsid w:val="00D06822"/>
    <w:rsid w:val="00D1640F"/>
    <w:rsid w:val="00D232DA"/>
    <w:rsid w:val="00D23354"/>
    <w:rsid w:val="00D3561B"/>
    <w:rsid w:val="00D36CA5"/>
    <w:rsid w:val="00D477B1"/>
    <w:rsid w:val="00D5102C"/>
    <w:rsid w:val="00D527A7"/>
    <w:rsid w:val="00D64C8F"/>
    <w:rsid w:val="00D66AB6"/>
    <w:rsid w:val="00D71ED9"/>
    <w:rsid w:val="00D736DD"/>
    <w:rsid w:val="00D96D93"/>
    <w:rsid w:val="00DA4981"/>
    <w:rsid w:val="00DB36EE"/>
    <w:rsid w:val="00DC711E"/>
    <w:rsid w:val="00DD2C87"/>
    <w:rsid w:val="00DD35CF"/>
    <w:rsid w:val="00DD4EFA"/>
    <w:rsid w:val="00DD5550"/>
    <w:rsid w:val="00DE4429"/>
    <w:rsid w:val="00E00D91"/>
    <w:rsid w:val="00E04A9C"/>
    <w:rsid w:val="00E109EC"/>
    <w:rsid w:val="00E13768"/>
    <w:rsid w:val="00E1418E"/>
    <w:rsid w:val="00E37980"/>
    <w:rsid w:val="00E47C78"/>
    <w:rsid w:val="00E56916"/>
    <w:rsid w:val="00E66F85"/>
    <w:rsid w:val="00E735D5"/>
    <w:rsid w:val="00E948A7"/>
    <w:rsid w:val="00E95519"/>
    <w:rsid w:val="00EB1130"/>
    <w:rsid w:val="00EB4662"/>
    <w:rsid w:val="00EC765B"/>
    <w:rsid w:val="00EC76D4"/>
    <w:rsid w:val="00ED14CF"/>
    <w:rsid w:val="00EE4C11"/>
    <w:rsid w:val="00EF24A1"/>
    <w:rsid w:val="00F02409"/>
    <w:rsid w:val="00F0769F"/>
    <w:rsid w:val="00F16C97"/>
    <w:rsid w:val="00F17A6E"/>
    <w:rsid w:val="00F21ACF"/>
    <w:rsid w:val="00F266F7"/>
    <w:rsid w:val="00F37FA1"/>
    <w:rsid w:val="00F5151A"/>
    <w:rsid w:val="00F524DF"/>
    <w:rsid w:val="00F56685"/>
    <w:rsid w:val="00F5782F"/>
    <w:rsid w:val="00F66331"/>
    <w:rsid w:val="00F67642"/>
    <w:rsid w:val="00F71EA5"/>
    <w:rsid w:val="00F766A4"/>
    <w:rsid w:val="00F86979"/>
    <w:rsid w:val="00FA034B"/>
    <w:rsid w:val="00FA7BBA"/>
    <w:rsid w:val="00FB0806"/>
    <w:rsid w:val="00FC0FE2"/>
    <w:rsid w:val="00FE2003"/>
    <w:rsid w:val="00FE3F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6434"/>
  <w15:chartTrackingRefBased/>
  <w15:docId w15:val="{BF5B7471-4EEA-4F0F-9242-369FBD9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F0015"/>
    <w:pPr>
      <w:spacing w:after="0" w:line="240" w:lineRule="auto"/>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F0015"/>
    <w:pPr>
      <w:spacing w:before="100" w:beforeAutospacing="1" w:after="100" w:afterAutospacing="1"/>
    </w:pPr>
  </w:style>
  <w:style w:type="paragraph" w:customStyle="1" w:styleId="CM4">
    <w:name w:val="CM4"/>
    <w:basedOn w:val="prastasis"/>
    <w:next w:val="prastasis"/>
    <w:rsid w:val="00BF0015"/>
    <w:pPr>
      <w:autoSpaceDE w:val="0"/>
      <w:autoSpaceDN w:val="0"/>
      <w:adjustRightInd w:val="0"/>
    </w:pPr>
    <w:rPr>
      <w:rFonts w:ascii="EUAlbertina" w:hAnsi="EUAlbertina"/>
    </w:rPr>
  </w:style>
  <w:style w:type="paragraph" w:styleId="Antrats">
    <w:name w:val="header"/>
    <w:basedOn w:val="prastasis"/>
    <w:link w:val="AntratsDiagrama"/>
    <w:uiPriority w:val="99"/>
    <w:unhideWhenUsed/>
    <w:rsid w:val="00497FC4"/>
    <w:pPr>
      <w:tabs>
        <w:tab w:val="center" w:pos="4819"/>
        <w:tab w:val="right" w:pos="9638"/>
      </w:tabs>
    </w:pPr>
    <w:rPr>
      <w:szCs w:val="20"/>
      <w:lang w:eastAsia="en-US"/>
    </w:rPr>
  </w:style>
  <w:style w:type="character" w:customStyle="1" w:styleId="AntratsDiagrama">
    <w:name w:val="Antraštės Diagrama"/>
    <w:basedOn w:val="Numatytasispastraiposriftas"/>
    <w:link w:val="Antrats"/>
    <w:uiPriority w:val="99"/>
    <w:rsid w:val="00497FC4"/>
    <w:rPr>
      <w:rFonts w:eastAsia="Times New Roman" w:cs="Times New Roman"/>
      <w:szCs w:val="20"/>
      <w:lang w:val="lt-LT"/>
    </w:rPr>
  </w:style>
  <w:style w:type="paragraph" w:customStyle="1" w:styleId="msonormalcxsplast">
    <w:name w:val="msonormalcxsplast"/>
    <w:basedOn w:val="prastasis"/>
    <w:rsid w:val="003169AE"/>
    <w:pPr>
      <w:spacing w:before="100" w:beforeAutospacing="1" w:after="100" w:afterAutospacing="1"/>
    </w:pPr>
  </w:style>
  <w:style w:type="paragraph" w:styleId="Betarp">
    <w:name w:val="No Spacing"/>
    <w:uiPriority w:val="1"/>
    <w:qFormat/>
    <w:rsid w:val="009270B6"/>
    <w:pPr>
      <w:spacing w:after="0" w:line="240" w:lineRule="auto"/>
    </w:pPr>
    <w:rPr>
      <w:rFonts w:eastAsia="Times New Roman" w:cs="Times New Roman"/>
      <w:szCs w:val="24"/>
      <w:lang w:val="lt-LT" w:eastAsia="lt-LT"/>
    </w:rPr>
  </w:style>
  <w:style w:type="paragraph" w:styleId="Porat">
    <w:name w:val="footer"/>
    <w:basedOn w:val="prastasis"/>
    <w:link w:val="PoratDiagrama"/>
    <w:uiPriority w:val="99"/>
    <w:unhideWhenUsed/>
    <w:rsid w:val="00F5151A"/>
    <w:pPr>
      <w:tabs>
        <w:tab w:val="center" w:pos="4819"/>
        <w:tab w:val="right" w:pos="9638"/>
      </w:tabs>
    </w:pPr>
  </w:style>
  <w:style w:type="character" w:customStyle="1" w:styleId="PoratDiagrama">
    <w:name w:val="Poraštė Diagrama"/>
    <w:basedOn w:val="Numatytasispastraiposriftas"/>
    <w:link w:val="Porat"/>
    <w:uiPriority w:val="99"/>
    <w:rsid w:val="00F5151A"/>
    <w:rPr>
      <w:rFonts w:eastAsia="Times New Roman" w:cs="Times New Roman"/>
      <w:szCs w:val="24"/>
      <w:lang w:val="lt-LT" w:eastAsia="lt-LT"/>
    </w:rPr>
  </w:style>
  <w:style w:type="paragraph" w:styleId="Sraopastraipa">
    <w:name w:val="List Paragraph"/>
    <w:basedOn w:val="prastasis"/>
    <w:uiPriority w:val="34"/>
    <w:qFormat/>
    <w:rsid w:val="000F1FDB"/>
    <w:pPr>
      <w:ind w:left="720"/>
      <w:contextualSpacing/>
    </w:pPr>
  </w:style>
  <w:style w:type="paragraph" w:styleId="Debesliotekstas">
    <w:name w:val="Balloon Text"/>
    <w:basedOn w:val="prastasis"/>
    <w:link w:val="DebesliotekstasDiagrama"/>
    <w:uiPriority w:val="99"/>
    <w:semiHidden/>
    <w:unhideWhenUsed/>
    <w:rsid w:val="004654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540E"/>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AA1210"/>
    <w:rPr>
      <w:sz w:val="16"/>
      <w:szCs w:val="16"/>
    </w:rPr>
  </w:style>
  <w:style w:type="paragraph" w:styleId="Komentarotekstas">
    <w:name w:val="annotation text"/>
    <w:basedOn w:val="prastasis"/>
    <w:link w:val="KomentarotekstasDiagrama"/>
    <w:uiPriority w:val="99"/>
    <w:semiHidden/>
    <w:unhideWhenUsed/>
    <w:rsid w:val="00AA1210"/>
    <w:rPr>
      <w:sz w:val="20"/>
      <w:szCs w:val="20"/>
      <w:lang w:eastAsia="en-US"/>
    </w:rPr>
  </w:style>
  <w:style w:type="character" w:customStyle="1" w:styleId="KomentarotekstasDiagrama">
    <w:name w:val="Komentaro tekstas Diagrama"/>
    <w:basedOn w:val="Numatytasispastraiposriftas"/>
    <w:link w:val="Komentarotekstas"/>
    <w:uiPriority w:val="99"/>
    <w:semiHidden/>
    <w:rsid w:val="00AA1210"/>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5782F"/>
    <w:rPr>
      <w:b/>
      <w:bCs/>
      <w:lang w:eastAsia="lt-LT"/>
    </w:rPr>
  </w:style>
  <w:style w:type="character" w:customStyle="1" w:styleId="KomentarotemaDiagrama">
    <w:name w:val="Komentaro tema Diagrama"/>
    <w:basedOn w:val="KomentarotekstasDiagrama"/>
    <w:link w:val="Komentarotema"/>
    <w:uiPriority w:val="99"/>
    <w:semiHidden/>
    <w:rsid w:val="00F5782F"/>
    <w:rPr>
      <w:rFonts w:eastAsia="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3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7D2DF-EC23-4FFA-A769-D242D726CD6E}">
  <ds:schemaRefs>
    <ds:schemaRef ds:uri="http://schemas.microsoft.com/sharepoint/v3/contenttype/forms"/>
  </ds:schemaRefs>
</ds:datastoreItem>
</file>

<file path=customXml/itemProps2.xml><?xml version="1.0" encoding="utf-8"?>
<ds:datastoreItem xmlns:ds="http://schemas.openxmlformats.org/officeDocument/2006/customXml" ds:itemID="{7C7A1FB2-61E3-4C94-B338-4EC43BE6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82817-4215-4EC4-A978-91F6B99C7F45}">
  <ds:schemaRefs>
    <ds:schemaRef ds:uri="01b67f5c-2d3d-4e26-9104-860f284410e8"/>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66af4d0a-6674-47fb-9139-f13fcb70dbc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2445</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2019-11-14T08:56:00Z</dcterms:created>
  <dc:creator>Lina Svegzdaite</dc:creator>
  <cp:lastModifiedBy>Lina Svegzdaite</cp:lastModifiedBy>
  <dcterms:modified xsi:type="dcterms:W3CDTF">2020-12-08T18:50:00Z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