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C43A" w14:textId="4BEB2479" w:rsidR="00FA4886" w:rsidRDefault="003B579F" w:rsidP="00833202">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p>
    <w:p w14:paraId="2633EB03" w14:textId="77777777" w:rsidR="00833202" w:rsidRPr="009512D4" w:rsidRDefault="00FA4886" w:rsidP="00833202">
      <w:pPr>
        <w:spacing w:after="0" w:line="240" w:lineRule="auto"/>
        <w:jc w:val="center"/>
        <w:outlineLvl w:val="0"/>
        <w:rPr>
          <w:b/>
        </w:rPr>
      </w:pPr>
      <w:r>
        <w:rPr>
          <w:b/>
          <w:szCs w:val="24"/>
          <w:lang w:eastAsia="lt-LT"/>
        </w:rPr>
        <w:t xml:space="preserve">DĖL </w:t>
      </w:r>
      <w:bookmarkStart w:id="0" w:name="_Hlk75503356"/>
      <w:r w:rsidR="00833202" w:rsidRPr="009512D4">
        <w:rPr>
          <w:b/>
        </w:rPr>
        <w:t xml:space="preserve">LIETUVOS RESPUBLIKOS </w:t>
      </w:r>
    </w:p>
    <w:p w14:paraId="30CB9CF2" w14:textId="77777777" w:rsidR="00833202" w:rsidRPr="009512D4" w:rsidRDefault="00833202" w:rsidP="00833202">
      <w:pPr>
        <w:spacing w:after="0" w:line="240" w:lineRule="auto"/>
        <w:jc w:val="center"/>
        <w:outlineLvl w:val="0"/>
        <w:rPr>
          <w:b/>
        </w:rPr>
      </w:pPr>
      <w:r w:rsidRPr="009512D4">
        <w:rPr>
          <w:b/>
        </w:rPr>
        <w:t>CIVILINĮ PROCESĄ REGLAMENTUOJANČIŲ EUROPOS SĄJUNGOS IR TARPTAUTINĖS TEISĖS AKTŲ ĮGYVENDINIMO ĮSTATYMO NR. X-1809 TREČIOJO, PENKTOJO, ŠEŠTOJO SKIRSNIŲ IR PRIEDO PAKEITIMO ĮSTATYMO PROJEKTO</w:t>
      </w:r>
      <w:bookmarkEnd w:id="0"/>
    </w:p>
    <w:p w14:paraId="6584B95F" w14:textId="0E50B500" w:rsidR="005F43FA" w:rsidRPr="00FA4886" w:rsidRDefault="005F43FA" w:rsidP="00FA4886">
      <w:pPr>
        <w:jc w:val="center"/>
        <w:rPr>
          <w:b/>
          <w:szCs w:val="24"/>
          <w:lang w:eastAsia="lt-LT"/>
        </w:rPr>
      </w:pPr>
    </w:p>
    <w:tbl>
      <w:tblPr>
        <w:tblStyle w:val="TableGrid"/>
        <w:tblW w:w="15593" w:type="dxa"/>
        <w:tblInd w:w="-1139" w:type="dxa"/>
        <w:tblLayout w:type="fixed"/>
        <w:tblLook w:val="04A0" w:firstRow="1" w:lastRow="0" w:firstColumn="1" w:lastColumn="0" w:noHBand="0" w:noVBand="1"/>
      </w:tblPr>
      <w:tblGrid>
        <w:gridCol w:w="1920"/>
        <w:gridCol w:w="6444"/>
        <w:gridCol w:w="7229"/>
      </w:tblGrid>
      <w:tr w:rsidR="006959FE" w:rsidRPr="005F43FA" w14:paraId="0E6B0BAE" w14:textId="77777777" w:rsidTr="00552A71">
        <w:tc>
          <w:tcPr>
            <w:tcW w:w="1920" w:type="dxa"/>
            <w:tcBorders>
              <w:top w:val="single" w:sz="4" w:space="0" w:color="auto"/>
              <w:left w:val="single" w:sz="4" w:space="0" w:color="auto"/>
              <w:bottom w:val="single" w:sz="4" w:space="0" w:color="auto"/>
              <w:right w:val="single" w:sz="4" w:space="0" w:color="auto"/>
            </w:tcBorders>
          </w:tcPr>
          <w:p w14:paraId="2FC853F8" w14:textId="23237147" w:rsidR="005D4147" w:rsidRPr="005F43FA" w:rsidRDefault="00502EF6" w:rsidP="00FA4886">
            <w:pPr>
              <w:jc w:val="center"/>
              <w:rPr>
                <w:rFonts w:cs="Times New Roman"/>
                <w:szCs w:val="24"/>
              </w:rPr>
            </w:pPr>
            <w:r w:rsidRPr="00FA4886">
              <w:rPr>
                <w:rFonts w:cs="Times New Roman"/>
                <w:b/>
                <w:szCs w:val="24"/>
              </w:rPr>
              <w:t>Institucija</w:t>
            </w:r>
          </w:p>
        </w:tc>
        <w:tc>
          <w:tcPr>
            <w:tcW w:w="6444" w:type="dxa"/>
            <w:tcBorders>
              <w:top w:val="single" w:sz="4" w:space="0" w:color="auto"/>
              <w:left w:val="single" w:sz="4" w:space="0" w:color="auto"/>
              <w:bottom w:val="single" w:sz="4" w:space="0" w:color="auto"/>
              <w:right w:val="single" w:sz="4" w:space="0" w:color="auto"/>
            </w:tcBorders>
          </w:tcPr>
          <w:p w14:paraId="334A1E7F" w14:textId="77777777" w:rsidR="005D4147" w:rsidRPr="00FA4886" w:rsidRDefault="005D4147" w:rsidP="00FA4886">
            <w:pPr>
              <w:pStyle w:val="Preformatted"/>
              <w:tabs>
                <w:tab w:val="clear" w:pos="959"/>
                <w:tab w:val="clear" w:pos="1918"/>
                <w:tab w:val="left" w:pos="1276"/>
              </w:tabs>
              <w:jc w:val="center"/>
              <w:rPr>
                <w:rFonts w:ascii="Times New Roman" w:hAnsi="Times New Roman"/>
                <w:b/>
                <w:sz w:val="24"/>
                <w:szCs w:val="24"/>
              </w:rPr>
            </w:pPr>
            <w:r w:rsidRPr="00FA4886">
              <w:rPr>
                <w:rFonts w:ascii="Times New Roman" w:hAnsi="Times New Roman"/>
                <w:b/>
                <w:sz w:val="24"/>
                <w:szCs w:val="24"/>
              </w:rPr>
              <w:t>Pastabos</w:t>
            </w:r>
          </w:p>
        </w:tc>
        <w:tc>
          <w:tcPr>
            <w:tcW w:w="7229" w:type="dxa"/>
            <w:tcBorders>
              <w:top w:val="single" w:sz="4" w:space="0" w:color="auto"/>
              <w:left w:val="single" w:sz="4" w:space="0" w:color="auto"/>
              <w:bottom w:val="single" w:sz="4" w:space="0" w:color="auto"/>
              <w:right w:val="single" w:sz="4" w:space="0" w:color="auto"/>
            </w:tcBorders>
          </w:tcPr>
          <w:p w14:paraId="3D80B9F7" w14:textId="77777777" w:rsidR="005D4147" w:rsidRPr="00FA4886" w:rsidRDefault="005D4147" w:rsidP="00FA4886">
            <w:pPr>
              <w:jc w:val="center"/>
              <w:rPr>
                <w:rFonts w:cs="Times New Roman"/>
                <w:b/>
                <w:szCs w:val="24"/>
              </w:rPr>
            </w:pPr>
            <w:r w:rsidRPr="00FA4886">
              <w:rPr>
                <w:rFonts w:cs="Times New Roman"/>
                <w:b/>
                <w:szCs w:val="24"/>
              </w:rPr>
              <w:t>Įvertinimas</w:t>
            </w:r>
          </w:p>
        </w:tc>
      </w:tr>
      <w:tr w:rsidR="00F730E4" w:rsidRPr="005F43FA" w14:paraId="5CC09929" w14:textId="77777777" w:rsidTr="00552A71">
        <w:tc>
          <w:tcPr>
            <w:tcW w:w="1920" w:type="dxa"/>
            <w:tcBorders>
              <w:top w:val="single" w:sz="4" w:space="0" w:color="auto"/>
              <w:left w:val="single" w:sz="4" w:space="0" w:color="auto"/>
              <w:bottom w:val="single" w:sz="4" w:space="0" w:color="auto"/>
              <w:right w:val="single" w:sz="4" w:space="0" w:color="auto"/>
            </w:tcBorders>
          </w:tcPr>
          <w:p w14:paraId="76F95195" w14:textId="6BED057E" w:rsidR="00833202" w:rsidRPr="00833202" w:rsidRDefault="00833202" w:rsidP="00833202">
            <w:pPr>
              <w:jc w:val="center"/>
              <w:rPr>
                <w:rFonts w:cs="Times New Roman"/>
                <w:szCs w:val="24"/>
              </w:rPr>
            </w:pPr>
            <w:r w:rsidRPr="00833202">
              <w:rPr>
                <w:rFonts w:cs="Times New Roman"/>
                <w:szCs w:val="24"/>
              </w:rPr>
              <w:t xml:space="preserve">Valstybės įmonės </w:t>
            </w:r>
            <w:r>
              <w:rPr>
                <w:rFonts w:cs="Times New Roman"/>
                <w:szCs w:val="24"/>
              </w:rPr>
              <w:t>R</w:t>
            </w:r>
            <w:r w:rsidRPr="00833202">
              <w:rPr>
                <w:rFonts w:cs="Times New Roman"/>
                <w:szCs w:val="24"/>
              </w:rPr>
              <w:t xml:space="preserve">egistrų centro </w:t>
            </w:r>
            <w:r w:rsidRPr="00833202">
              <w:rPr>
                <w:rFonts w:cs="Times New Roman"/>
                <w:color w:val="000000"/>
                <w:szCs w:val="24"/>
                <w:shd w:val="clear" w:color="auto" w:fill="FFFFFF"/>
              </w:rPr>
              <w:t>2021-07-22</w:t>
            </w:r>
            <w:r w:rsidRPr="00833202">
              <w:rPr>
                <w:rFonts w:cs="Times New Roman"/>
                <w:szCs w:val="24"/>
              </w:rPr>
              <w:t xml:space="preserve"> </w:t>
            </w:r>
            <w:r w:rsidR="00CA2A03" w:rsidRPr="00833202">
              <w:rPr>
                <w:rFonts w:cs="Times New Roman"/>
                <w:szCs w:val="24"/>
              </w:rPr>
              <w:t>išvada</w:t>
            </w:r>
            <w:r w:rsidR="00F730E4" w:rsidRPr="00833202">
              <w:rPr>
                <w:rFonts w:cs="Times New Roman"/>
                <w:szCs w:val="24"/>
              </w:rPr>
              <w:t xml:space="preserve"> Nr.</w:t>
            </w:r>
            <w:r w:rsidR="00547615" w:rsidRPr="00833202">
              <w:rPr>
                <w:rFonts w:cs="Times New Roman"/>
                <w:szCs w:val="24"/>
              </w:rPr>
              <w:t xml:space="preserve"> </w:t>
            </w:r>
            <w:r w:rsidRPr="00833202">
              <w:rPr>
                <w:rFonts w:cs="Times New Roman"/>
                <w:szCs w:val="24"/>
              </w:rPr>
              <w:t>S-84690 (1.10 E)</w:t>
            </w:r>
          </w:p>
          <w:p w14:paraId="3BABC89C" w14:textId="1FF09256" w:rsidR="00F730E4" w:rsidRDefault="00F730E4" w:rsidP="00FA4886">
            <w:pPr>
              <w:jc w:val="center"/>
              <w:rPr>
                <w:rFonts w:cs="Times New Roman"/>
                <w:szCs w:val="24"/>
              </w:rPr>
            </w:pPr>
          </w:p>
        </w:tc>
        <w:tc>
          <w:tcPr>
            <w:tcW w:w="6444" w:type="dxa"/>
            <w:tcBorders>
              <w:top w:val="single" w:sz="4" w:space="0" w:color="auto"/>
              <w:left w:val="single" w:sz="4" w:space="0" w:color="auto"/>
              <w:bottom w:val="single" w:sz="4" w:space="0" w:color="auto"/>
              <w:right w:val="single" w:sz="4" w:space="0" w:color="auto"/>
            </w:tcBorders>
          </w:tcPr>
          <w:p w14:paraId="74401177" w14:textId="77777777" w:rsidR="00FF0F20" w:rsidRPr="00FF0F20" w:rsidRDefault="00FF0F20" w:rsidP="00FF0F20">
            <w:pPr>
              <w:pStyle w:val="Caption"/>
              <w:jc w:val="both"/>
              <w:rPr>
                <w:b w:val="0"/>
                <w:bCs/>
                <w:szCs w:val="24"/>
                <w:lang w:eastAsia="lt-LT"/>
              </w:rPr>
            </w:pPr>
            <w:r w:rsidRPr="00FF0F20">
              <w:rPr>
                <w:b w:val="0"/>
                <w:szCs w:val="24"/>
              </w:rPr>
              <w:t xml:space="preserve">Pagal Lietuvos Respublikos valstybės informacinių išteklių valdymo įstatymo (toliau – VIIVĮ) 27 straipsnio, reglamentuojančio registro duomenų, registro informacijos, registrui pateiktų dokumentų ir (arba) jų kopijų (toliau – registro duomenys) teikimą ir perdavimą, 4 dalį, </w:t>
            </w:r>
            <w:r w:rsidRPr="00FF0F20">
              <w:rPr>
                <w:b w:val="0"/>
                <w:color w:val="000000"/>
                <w:szCs w:val="24"/>
              </w:rPr>
              <w:t xml:space="preserve">išrašus, pažymas, kitus dokumentus ir dokumentų kopijas turi teisę teikti tik registro tvarkytojas ir asmenys, veikiantys pagal Lietuvos Respublikos teisės gauti informaciją ir duomenų pakartotinio naudojimo įstatymo nustatyta tvarka sudarytą susitarimą dėl išimtinių teisių suteikimo. </w:t>
            </w:r>
          </w:p>
          <w:p w14:paraId="58EB0102" w14:textId="77777777" w:rsidR="00FF0F20" w:rsidRPr="00FF0F20" w:rsidRDefault="00FF0F20" w:rsidP="0032769A">
            <w:pPr>
              <w:pStyle w:val="Caption"/>
              <w:jc w:val="both"/>
              <w:rPr>
                <w:b w:val="0"/>
                <w:color w:val="000000"/>
                <w:szCs w:val="24"/>
                <w:lang w:eastAsia="lt-LT"/>
              </w:rPr>
            </w:pPr>
            <w:r w:rsidRPr="00FF0F20">
              <w:rPr>
                <w:b w:val="0"/>
                <w:szCs w:val="24"/>
              </w:rPr>
              <w:t xml:space="preserve">VIIVĮ 28 straipsnio, reglamentuojančio registro duomenų teikimą į kitas valstybes, </w:t>
            </w:r>
            <w:r w:rsidRPr="00FF0F20">
              <w:rPr>
                <w:b w:val="0"/>
                <w:bCs/>
                <w:color w:val="000000"/>
                <w:szCs w:val="24"/>
                <w:lang w:eastAsia="lt-LT"/>
              </w:rPr>
              <w:t>1 dalyje nustatyta,</w:t>
            </w:r>
            <w:bookmarkStart w:id="1" w:name="part_65f4b1dc2214480c91390b59ca7fc329"/>
            <w:bookmarkEnd w:id="1"/>
            <w:r w:rsidRPr="00FF0F20">
              <w:rPr>
                <w:b w:val="0"/>
                <w:bCs/>
                <w:color w:val="000000"/>
                <w:szCs w:val="24"/>
                <w:lang w:eastAsia="lt-LT"/>
              </w:rPr>
              <w:t xml:space="preserve"> kad </w:t>
            </w:r>
            <w:r w:rsidRPr="00FF0F20">
              <w:rPr>
                <w:b w:val="0"/>
                <w:color w:val="000000"/>
                <w:szCs w:val="24"/>
                <w:lang w:eastAsia="lt-LT"/>
              </w:rPr>
              <w:t>registro duomenys Europos Sąjungos institucijoms,</w:t>
            </w:r>
            <w:r w:rsidRPr="00FF0F20">
              <w:rPr>
                <w:b w:val="0"/>
                <w:bCs/>
                <w:color w:val="000000"/>
                <w:szCs w:val="24"/>
                <w:lang w:eastAsia="lt-LT"/>
              </w:rPr>
              <w:t> </w:t>
            </w:r>
            <w:r w:rsidRPr="00FF0F20">
              <w:rPr>
                <w:b w:val="0"/>
                <w:color w:val="000000"/>
                <w:szCs w:val="24"/>
                <w:lang w:eastAsia="lt-LT"/>
              </w:rPr>
              <w:t>Europos Sąjungos</w:t>
            </w:r>
            <w:r w:rsidRPr="00FF0F20">
              <w:rPr>
                <w:b w:val="0"/>
                <w:bCs/>
                <w:color w:val="000000"/>
                <w:szCs w:val="24"/>
                <w:lang w:eastAsia="lt-LT"/>
              </w:rPr>
              <w:t> </w:t>
            </w:r>
            <w:r w:rsidRPr="00FF0F20">
              <w:rPr>
                <w:b w:val="0"/>
                <w:color w:val="000000"/>
                <w:szCs w:val="24"/>
                <w:lang w:eastAsia="lt-LT"/>
              </w:rPr>
              <w:t>valstybių narių ir (arba) Europos ekonominės erdvės valstybių fiziniams, juridiniams asmenims, juridinio asmens statuso neturintiems subjektams, jų filialams ir atstovybėms</w:t>
            </w:r>
            <w:r w:rsidRPr="00FF0F20">
              <w:rPr>
                <w:b w:val="0"/>
                <w:bCs/>
                <w:color w:val="000000"/>
                <w:szCs w:val="24"/>
                <w:lang w:eastAsia="lt-LT"/>
              </w:rPr>
              <w:t> </w:t>
            </w:r>
            <w:r w:rsidRPr="00FF0F20">
              <w:rPr>
                <w:b w:val="0"/>
                <w:color w:val="000000"/>
                <w:szCs w:val="24"/>
                <w:lang w:eastAsia="lt-LT"/>
              </w:rPr>
              <w:t xml:space="preserve">teikiami tokia pačia tvarka kaip ir Lietuvos Respublikos juridiniams ir fiziniams asmenims. </w:t>
            </w:r>
          </w:p>
          <w:p w14:paraId="4A929074" w14:textId="77777777" w:rsidR="00FF0F20" w:rsidRPr="00FF0F20" w:rsidRDefault="00FF0F20" w:rsidP="0032769A">
            <w:pPr>
              <w:pStyle w:val="Caption"/>
              <w:jc w:val="both"/>
              <w:rPr>
                <w:b w:val="0"/>
                <w:color w:val="000000"/>
                <w:szCs w:val="24"/>
                <w:lang w:eastAsia="lt-LT"/>
              </w:rPr>
            </w:pPr>
            <w:r w:rsidRPr="00FF0F20">
              <w:rPr>
                <w:b w:val="0"/>
                <w:szCs w:val="24"/>
              </w:rPr>
              <w:t xml:space="preserve">VIIVĮ 29 straipsnio 1 dalyje nustatyta, kad </w:t>
            </w:r>
            <w:r w:rsidRPr="00FF0F20">
              <w:rPr>
                <w:b w:val="0"/>
                <w:color w:val="000000"/>
                <w:szCs w:val="24"/>
              </w:rPr>
              <w:t xml:space="preserve">registro duomenys teikiami už atlyginimą, išskyrus VIIVĮ ir kitų Lietuvos Respublikos įstatymuose, Europos Sąjungos teisės aktuose ir registrų nuostatuose nustatytas išimtis. </w:t>
            </w:r>
            <w:r w:rsidRPr="00FF0F20">
              <w:rPr>
                <w:b w:val="0"/>
                <w:szCs w:val="24"/>
              </w:rPr>
              <w:t xml:space="preserve">Lietuvos antstolių rūmai, vadovaudamiesi VIIVĮ 29 straipsnio 1 dalimi bei Įstatymo </w:t>
            </w:r>
            <w:r w:rsidRPr="00FF0F20">
              <w:rPr>
                <w:b w:val="0"/>
                <w:bCs/>
                <w:szCs w:val="24"/>
              </w:rPr>
              <w:t>3</w:t>
            </w:r>
            <w:r w:rsidRPr="00FF0F20">
              <w:rPr>
                <w:b w:val="0"/>
                <w:bCs/>
                <w:szCs w:val="24"/>
                <w:vertAlign w:val="superscript"/>
              </w:rPr>
              <w:t xml:space="preserve">4 </w:t>
            </w:r>
            <w:r w:rsidRPr="00FF0F20">
              <w:rPr>
                <w:b w:val="0"/>
                <w:bCs/>
                <w:szCs w:val="24"/>
              </w:rPr>
              <w:t>straipsnio 2 dalimi,</w:t>
            </w:r>
            <w:r w:rsidRPr="00FF0F20">
              <w:rPr>
                <w:b w:val="0"/>
                <w:szCs w:val="24"/>
              </w:rPr>
              <w:t xml:space="preserve"> turėtų teisę registro duomenis, reikalingus </w:t>
            </w:r>
            <w:r w:rsidRPr="00FF0F20">
              <w:rPr>
                <w:b w:val="0"/>
                <w:bCs/>
                <w:szCs w:val="24"/>
                <w:lang w:eastAsia="lt-LT"/>
              </w:rPr>
              <w:t xml:space="preserve">Reglamento </w:t>
            </w:r>
            <w:hyperlink r:id="rId8" w:tgtFrame="_blank" w:history="1">
              <w:r w:rsidRPr="00FF0F20">
                <w:rPr>
                  <w:b w:val="0"/>
                  <w:bCs/>
                  <w:szCs w:val="24"/>
                  <w:lang w:eastAsia="lt-LT"/>
                </w:rPr>
                <w:t>(ES) 2020/1784</w:t>
              </w:r>
            </w:hyperlink>
            <w:r w:rsidRPr="00FF0F20">
              <w:rPr>
                <w:b w:val="0"/>
                <w:bCs/>
                <w:szCs w:val="24"/>
                <w:lang w:eastAsia="lt-LT"/>
              </w:rPr>
              <w:t xml:space="preserve"> 7 straipsnio 1 dalies a punkte nustatytai funkcijai atlikti</w:t>
            </w:r>
            <w:r w:rsidRPr="00FF0F20">
              <w:rPr>
                <w:b w:val="0"/>
                <w:szCs w:val="24"/>
              </w:rPr>
              <w:t>, gauti neatlygintinai. Lietuvos antstolių rūmai</w:t>
            </w:r>
            <w:r w:rsidRPr="00FF0F20">
              <w:rPr>
                <w:b w:val="0"/>
                <w:color w:val="000000"/>
                <w:szCs w:val="24"/>
              </w:rPr>
              <w:t xml:space="preserve"> gautus registro duomenis galėtų naudoti tik tokiam tikslui, tokios apimties ir tokiu būdu, kokie buvo nurodyti juos gaunant (VIIVĮ 26 straipsnio 3 dalis). </w:t>
            </w:r>
          </w:p>
          <w:p w14:paraId="73BC8D1A" w14:textId="77777777" w:rsidR="00FF0F20" w:rsidRPr="00FF0F20" w:rsidRDefault="00FF0F20" w:rsidP="0032769A">
            <w:pPr>
              <w:pStyle w:val="Caption"/>
              <w:jc w:val="both"/>
              <w:rPr>
                <w:b w:val="0"/>
                <w:szCs w:val="24"/>
              </w:rPr>
            </w:pPr>
            <w:r w:rsidRPr="00FF0F20">
              <w:rPr>
                <w:b w:val="0"/>
                <w:szCs w:val="24"/>
              </w:rPr>
              <w:lastRenderedPageBreak/>
              <w:t xml:space="preserve">Gyvenamoji vieta (adresas) yra asmens duomuo, tvarkomas Lietuvos Respublikos gyventojų registre (toliau – Gyventojų registras) (Lietuvos Respublikos gyventojų registro nuostatų, patvirtintų Lietuvos Respublikos Vyriausybės 2014 m. gruodžio 23 d. nutarimu Nr. 1495 „Dėl Lietuvos Respublikos gyventojų registro nuostatų patvirtinimo“, 15.8 papunktis). Registrų centro nuomone, Įstatymo </w:t>
            </w:r>
            <w:r w:rsidRPr="00FF0F20">
              <w:rPr>
                <w:b w:val="0"/>
                <w:bCs/>
                <w:szCs w:val="24"/>
              </w:rPr>
              <w:t>3</w:t>
            </w:r>
            <w:r w:rsidRPr="00FF0F20">
              <w:rPr>
                <w:b w:val="0"/>
                <w:bCs/>
                <w:szCs w:val="24"/>
                <w:vertAlign w:val="superscript"/>
              </w:rPr>
              <w:t xml:space="preserve">4 </w:t>
            </w:r>
            <w:r w:rsidRPr="00FF0F20">
              <w:rPr>
                <w:b w:val="0"/>
                <w:bCs/>
                <w:szCs w:val="24"/>
              </w:rPr>
              <w:t>straipsniu</w:t>
            </w:r>
            <w:r w:rsidRPr="00FF0F20">
              <w:rPr>
                <w:b w:val="0"/>
                <w:szCs w:val="24"/>
              </w:rPr>
              <w:t xml:space="preserve"> siekiamas nustatyti teisinis reguliavimas tuo aspektu, pagal kurį Lietuvos antstolių rūmai</w:t>
            </w:r>
            <w:r w:rsidRPr="00FF0F20">
              <w:rPr>
                <w:b w:val="0"/>
                <w:color w:val="000000"/>
                <w:szCs w:val="24"/>
              </w:rPr>
              <w:t xml:space="preserve"> </w:t>
            </w:r>
            <w:r w:rsidRPr="00FF0F20">
              <w:rPr>
                <w:b w:val="0"/>
                <w:szCs w:val="24"/>
              </w:rPr>
              <w:t xml:space="preserve">neatlygintinai gautų Gyventojų registro duomenis ir juos teiktų (suteikdami pagalbą nustatant adresą) perduodančiajai agentūrai, t. y. į kitas valstybes, nesuderinamas su aptartomis VIIVĮ nustatytomis nuostatomis, reglamentuojančiomis registro duomenų teikimą bei šių duomenų naudojimą. </w:t>
            </w:r>
          </w:p>
          <w:p w14:paraId="55C36A4B" w14:textId="21C0C3AD" w:rsidR="00F730E4" w:rsidRPr="00E65CE1" w:rsidRDefault="00FF0F20" w:rsidP="00FF0F20">
            <w:pPr>
              <w:pStyle w:val="Standard"/>
              <w:tabs>
                <w:tab w:val="left" w:pos="8245"/>
              </w:tabs>
              <w:overflowPunct w:val="0"/>
              <w:autoSpaceDE w:val="0"/>
              <w:jc w:val="both"/>
              <w:rPr>
                <w:rFonts w:ascii="Times New Roman" w:hAnsi="Times New Roman"/>
                <w:sz w:val="24"/>
                <w:szCs w:val="24"/>
              </w:rPr>
            </w:pPr>
            <w:r w:rsidRPr="00E65CE1">
              <w:rPr>
                <w:rFonts w:ascii="Times New Roman" w:hAnsi="Times New Roman"/>
                <w:sz w:val="24"/>
                <w:szCs w:val="24"/>
              </w:rPr>
              <w:t>Atsižvelgdami į tai, siūlome apsvarstyti, ar keičiant Įstatymą, kartu neturėtų būti keičiamas ir VIIVĮ, jame nustatant, kad registro duomenų teikimo ir (ar) naudojimo išimtys gali būti nustatytos Lietuvos Respublikos įstatymuose, šias išimtis siejant su Europos Sąjungos teisės aktuose nustatytų reikalavimų įgyvendinimu.</w:t>
            </w:r>
          </w:p>
        </w:tc>
        <w:tc>
          <w:tcPr>
            <w:tcW w:w="7229" w:type="dxa"/>
            <w:tcBorders>
              <w:top w:val="single" w:sz="4" w:space="0" w:color="auto"/>
              <w:left w:val="single" w:sz="4" w:space="0" w:color="auto"/>
              <w:bottom w:val="single" w:sz="4" w:space="0" w:color="auto"/>
              <w:right w:val="single" w:sz="4" w:space="0" w:color="auto"/>
            </w:tcBorders>
          </w:tcPr>
          <w:p w14:paraId="44D19C75" w14:textId="1D71A570" w:rsidR="00F730E4" w:rsidRDefault="0032769A" w:rsidP="00FA4886">
            <w:pPr>
              <w:jc w:val="both"/>
              <w:rPr>
                <w:rFonts w:cs="Times New Roman"/>
                <w:b/>
                <w:szCs w:val="24"/>
              </w:rPr>
            </w:pPr>
            <w:r>
              <w:rPr>
                <w:rFonts w:cs="Times New Roman"/>
                <w:b/>
                <w:szCs w:val="24"/>
              </w:rPr>
              <w:lastRenderedPageBreak/>
              <w:t>Neatsižvelgta.</w:t>
            </w:r>
          </w:p>
          <w:p w14:paraId="2BE46D8A" w14:textId="4167C136" w:rsidR="0032769A" w:rsidRDefault="00E2729C" w:rsidP="00FA4886">
            <w:pPr>
              <w:jc w:val="both"/>
              <w:rPr>
                <w:bCs/>
              </w:rPr>
            </w:pPr>
            <w:r>
              <w:rPr>
                <w:szCs w:val="24"/>
              </w:rPr>
              <w:t xml:space="preserve">Teisingumo ministerijos nuomone, </w:t>
            </w:r>
            <w:r w:rsidRPr="00FF0F20">
              <w:rPr>
                <w:rFonts w:cs="Times New Roman"/>
                <w:szCs w:val="24"/>
              </w:rPr>
              <w:t>VIIVĮ 28 straipsni</w:t>
            </w:r>
            <w:r>
              <w:rPr>
                <w:rFonts w:cs="Times New Roman"/>
                <w:szCs w:val="24"/>
              </w:rPr>
              <w:t xml:space="preserve">s nustato tvarką, kuria </w:t>
            </w:r>
            <w:r w:rsidRPr="00FF0F20">
              <w:rPr>
                <w:rFonts w:cs="Times New Roman"/>
                <w:color w:val="000000"/>
                <w:szCs w:val="24"/>
                <w:lang w:eastAsia="lt-LT"/>
              </w:rPr>
              <w:t>registro duomen</w:t>
            </w:r>
            <w:r>
              <w:rPr>
                <w:rFonts w:cs="Times New Roman"/>
                <w:color w:val="000000"/>
                <w:szCs w:val="24"/>
                <w:lang w:eastAsia="lt-LT"/>
              </w:rPr>
              <w:t>i</w:t>
            </w:r>
            <w:r w:rsidRPr="00FF0F20">
              <w:rPr>
                <w:rFonts w:cs="Times New Roman"/>
                <w:color w:val="000000"/>
                <w:szCs w:val="24"/>
                <w:lang w:eastAsia="lt-LT"/>
              </w:rPr>
              <w:t>s Europos Sąjungos institucijoms,</w:t>
            </w:r>
            <w:r w:rsidRPr="00FF0F20">
              <w:rPr>
                <w:rFonts w:cs="Times New Roman"/>
                <w:bCs/>
                <w:color w:val="000000"/>
                <w:szCs w:val="24"/>
                <w:lang w:eastAsia="lt-LT"/>
              </w:rPr>
              <w:t> </w:t>
            </w:r>
            <w:r w:rsidRPr="00FF0F20">
              <w:rPr>
                <w:rFonts w:cs="Times New Roman"/>
                <w:color w:val="000000"/>
                <w:szCs w:val="24"/>
                <w:lang w:eastAsia="lt-LT"/>
              </w:rPr>
              <w:t>Europos Sąjungos</w:t>
            </w:r>
            <w:r w:rsidRPr="00FF0F20">
              <w:rPr>
                <w:rFonts w:cs="Times New Roman"/>
                <w:bCs/>
                <w:color w:val="000000"/>
                <w:szCs w:val="24"/>
                <w:lang w:eastAsia="lt-LT"/>
              </w:rPr>
              <w:t> </w:t>
            </w:r>
            <w:r w:rsidRPr="00FF0F20">
              <w:rPr>
                <w:rFonts w:cs="Times New Roman"/>
                <w:color w:val="000000"/>
                <w:szCs w:val="24"/>
                <w:lang w:eastAsia="lt-LT"/>
              </w:rPr>
              <w:t>valstybių narių ir (arba) Europos ekonominės erdvės valstybių fiziniams, juridiniams asmenims, juridinio asmens statuso neturintiems subjektams, jų filialams ir atstovybėms</w:t>
            </w:r>
            <w:r w:rsidRPr="00FF0F20">
              <w:rPr>
                <w:rFonts w:cs="Times New Roman"/>
                <w:bCs/>
                <w:color w:val="000000"/>
                <w:szCs w:val="24"/>
                <w:lang w:eastAsia="lt-LT"/>
              </w:rPr>
              <w:t> </w:t>
            </w:r>
            <w:r>
              <w:rPr>
                <w:rFonts w:cs="Times New Roman"/>
                <w:bCs/>
                <w:color w:val="000000"/>
                <w:szCs w:val="24"/>
                <w:lang w:eastAsia="lt-LT"/>
              </w:rPr>
              <w:t xml:space="preserve">teikia registro tvarkytojas. </w:t>
            </w:r>
            <w:r w:rsidR="00A61D8E">
              <w:rPr>
                <w:rFonts w:cs="Times New Roman"/>
                <w:bCs/>
                <w:szCs w:val="24"/>
              </w:rPr>
              <w:t>VIIVĮ įstatymo 27 straipsnio 4 dalis reglamentuoj</w:t>
            </w:r>
            <w:r w:rsidR="00F4038E">
              <w:rPr>
                <w:rFonts w:cs="Times New Roman"/>
                <w:bCs/>
                <w:szCs w:val="24"/>
              </w:rPr>
              <w:t>a, kad</w:t>
            </w:r>
            <w:r w:rsidR="00A61D8E">
              <w:rPr>
                <w:rFonts w:cs="Times New Roman"/>
                <w:bCs/>
                <w:szCs w:val="24"/>
              </w:rPr>
              <w:t xml:space="preserve"> registro išraš</w:t>
            </w:r>
            <w:r w:rsidR="00F4038E">
              <w:rPr>
                <w:rFonts w:cs="Times New Roman"/>
                <w:bCs/>
                <w:szCs w:val="24"/>
              </w:rPr>
              <w:t>us</w:t>
            </w:r>
            <w:r w:rsidR="00A61D8E">
              <w:rPr>
                <w:rFonts w:cs="Times New Roman"/>
                <w:bCs/>
                <w:szCs w:val="24"/>
              </w:rPr>
              <w:t xml:space="preserve">, </w:t>
            </w:r>
            <w:r w:rsidR="00A61D8E">
              <w:rPr>
                <w:color w:val="000000"/>
              </w:rPr>
              <w:t>pažym</w:t>
            </w:r>
            <w:r w:rsidR="00F4038E">
              <w:rPr>
                <w:color w:val="000000"/>
              </w:rPr>
              <w:t>as</w:t>
            </w:r>
            <w:r w:rsidR="00A61D8E">
              <w:rPr>
                <w:color w:val="000000"/>
              </w:rPr>
              <w:t>, kit</w:t>
            </w:r>
            <w:r w:rsidR="00F4038E">
              <w:rPr>
                <w:color w:val="000000"/>
              </w:rPr>
              <w:t>us</w:t>
            </w:r>
            <w:r w:rsidR="00A61D8E">
              <w:rPr>
                <w:color w:val="000000"/>
              </w:rPr>
              <w:t xml:space="preserve"> dokument</w:t>
            </w:r>
            <w:r w:rsidR="00F4038E">
              <w:rPr>
                <w:color w:val="000000"/>
              </w:rPr>
              <w:t>us</w:t>
            </w:r>
            <w:r w:rsidR="00A61D8E">
              <w:rPr>
                <w:color w:val="000000"/>
              </w:rPr>
              <w:t xml:space="preserve"> ir dokumentų kopij</w:t>
            </w:r>
            <w:r w:rsidR="00F4038E">
              <w:rPr>
                <w:color w:val="000000"/>
              </w:rPr>
              <w:t xml:space="preserve">as turi teisę teikti tik registro tvarkytojas </w:t>
            </w:r>
            <w:r w:rsidR="00F4038E" w:rsidRPr="00FF0F20">
              <w:rPr>
                <w:rFonts w:cs="Times New Roman"/>
                <w:color w:val="000000"/>
                <w:szCs w:val="24"/>
              </w:rPr>
              <w:t>ir asmenys, veikiantys pagal Lietuvos Respublikos teisės gauti informaciją ir duomenų pakartotinio naudojimo įstatymo nustatyta tvarka sudarytą susitarimą dėl išimtinių teisių suteikimo.</w:t>
            </w:r>
            <w:r w:rsidR="00F4038E">
              <w:rPr>
                <w:color w:val="000000"/>
              </w:rPr>
              <w:t xml:space="preserve"> </w:t>
            </w:r>
            <w:r w:rsidR="00C07266">
              <w:rPr>
                <w:rFonts w:cs="Times New Roman"/>
                <w:bCs/>
                <w:szCs w:val="24"/>
              </w:rPr>
              <w:t>Lietuvos antstolių rūmai, kaip įstaiga, teikianti pagalbą nustatant adresą, Europos Sąjungos valstybių narių institucijoms neteiktų registro išrašų, pažymų</w:t>
            </w:r>
            <w:r w:rsidR="00A61D8E">
              <w:rPr>
                <w:rFonts w:cs="Times New Roman"/>
                <w:bCs/>
                <w:szCs w:val="24"/>
              </w:rPr>
              <w:t>, kitų dokumentų</w:t>
            </w:r>
            <w:r w:rsidR="00C07266">
              <w:rPr>
                <w:rFonts w:cs="Times New Roman"/>
                <w:bCs/>
                <w:szCs w:val="24"/>
              </w:rPr>
              <w:t xml:space="preserve"> ar dokumentų kopijų. Gavus prašymą nustatyti asmens, kuriam turi būti įteiktas dokumentas</w:t>
            </w:r>
            <w:r w:rsidR="006F7970">
              <w:rPr>
                <w:rFonts w:cs="Times New Roman"/>
                <w:bCs/>
                <w:szCs w:val="24"/>
              </w:rPr>
              <w:t>,</w:t>
            </w:r>
            <w:r w:rsidR="00C07266">
              <w:rPr>
                <w:rFonts w:cs="Times New Roman"/>
                <w:bCs/>
                <w:szCs w:val="24"/>
              </w:rPr>
              <w:t xml:space="preserve"> adresą, būtų pildoma </w:t>
            </w:r>
            <w:r w:rsidR="00C1265A" w:rsidRPr="00197DD0">
              <w:rPr>
                <w:bCs/>
              </w:rPr>
              <w:t>Reglamento (ES) 2020/1784</w:t>
            </w:r>
            <w:r w:rsidR="00C1265A" w:rsidRPr="00370F69">
              <w:rPr>
                <w:b/>
              </w:rPr>
              <w:t xml:space="preserve"> </w:t>
            </w:r>
            <w:r w:rsidR="00C1265A">
              <w:rPr>
                <w:bCs/>
              </w:rPr>
              <w:t xml:space="preserve">I priede pateikta C forma </w:t>
            </w:r>
            <w:r w:rsidR="00A61D8E">
              <w:rPr>
                <w:bCs/>
              </w:rPr>
              <w:t>„A</w:t>
            </w:r>
            <w:r w:rsidR="00C1265A">
              <w:rPr>
                <w:bCs/>
              </w:rPr>
              <w:t>tsakymas į prašymą nustatyti asmens, kuriam turi būti įteiktas dokumentas, adresą</w:t>
            </w:r>
            <w:r w:rsidR="00A61D8E">
              <w:rPr>
                <w:bCs/>
              </w:rPr>
              <w:t>“</w:t>
            </w:r>
            <w:r w:rsidR="00C1265A">
              <w:rPr>
                <w:bCs/>
              </w:rPr>
              <w:t xml:space="preserve">, kurioje būtų nurodytas fizinio/juridinio asmens adresas arba pažymėta, kad adreso nustatyti nepavyko. </w:t>
            </w:r>
          </w:p>
          <w:p w14:paraId="6522DF9F" w14:textId="0AE171F5" w:rsidR="00C1265A" w:rsidRDefault="00C1265A" w:rsidP="00FA4886">
            <w:pPr>
              <w:jc w:val="both"/>
              <w:rPr>
                <w:color w:val="000000"/>
                <w:shd w:val="clear" w:color="auto" w:fill="FFFFFF"/>
              </w:rPr>
            </w:pPr>
            <w:r>
              <w:rPr>
                <w:color w:val="000000"/>
                <w:shd w:val="clear" w:color="auto" w:fill="FFFFFF"/>
              </w:rPr>
              <w:t xml:space="preserve">Pažymėtina, kad ir pagal šiuo metu taikomą Reglamentą </w:t>
            </w:r>
            <w:r w:rsidRPr="00C1265A">
              <w:rPr>
                <w:color w:val="000000"/>
                <w:shd w:val="clear" w:color="auto" w:fill="FFFFFF"/>
              </w:rPr>
              <w:t>Nr. 1348/2000</w:t>
            </w:r>
            <w:r>
              <w:rPr>
                <w:color w:val="000000"/>
                <w:shd w:val="clear" w:color="auto" w:fill="FFFFFF"/>
              </w:rPr>
              <w:t xml:space="preserve"> Europos Sąjungos valstybių narių institucijoms </w:t>
            </w:r>
            <w:r w:rsidR="00050DA5">
              <w:rPr>
                <w:color w:val="000000"/>
                <w:shd w:val="clear" w:color="auto" w:fill="FFFFFF"/>
              </w:rPr>
              <w:t xml:space="preserve">teikiama informacija apie adresą – tais atvejais, kai paaiškėja, kad nurodytas adresas neteisingas. Ši informacija teikiama pildant Reglamento </w:t>
            </w:r>
            <w:r w:rsidR="00050DA5" w:rsidRPr="00C1265A">
              <w:rPr>
                <w:color w:val="000000"/>
                <w:shd w:val="clear" w:color="auto" w:fill="FFFFFF"/>
              </w:rPr>
              <w:t>Nr. 1348/2000</w:t>
            </w:r>
            <w:r w:rsidR="00050DA5">
              <w:rPr>
                <w:color w:val="000000"/>
                <w:shd w:val="clear" w:color="auto" w:fill="FFFFFF"/>
              </w:rPr>
              <w:t xml:space="preserve"> priede pateiktą formą „Dokumentų įteikimo ar neįteikimo pažymėjimas“, kurioje nurodomas adresas, kuriuo dokumentai buvo įteikti, arba pažymima, kad adresas nežinomas / neįmanoma nustatyto adresato buvimo vietos. </w:t>
            </w:r>
          </w:p>
          <w:p w14:paraId="05DD6FD7" w14:textId="79EFCA84" w:rsidR="00050DA5" w:rsidRDefault="00050DA5" w:rsidP="00FA4886">
            <w:pPr>
              <w:jc w:val="both"/>
              <w:rPr>
                <w:color w:val="000000"/>
                <w:shd w:val="clear" w:color="auto" w:fill="FFFFFF"/>
              </w:rPr>
            </w:pPr>
            <w:r>
              <w:rPr>
                <w:color w:val="000000"/>
                <w:shd w:val="clear" w:color="auto" w:fill="FFFFFF"/>
              </w:rPr>
              <w:t>Kaip kad numato VIIVĮ 26 straipsnio 3 dalis, Lietuvos antstolių rūmai gautus registro duo</w:t>
            </w:r>
            <w:r w:rsidR="006861FF">
              <w:rPr>
                <w:color w:val="000000"/>
                <w:shd w:val="clear" w:color="auto" w:fill="FFFFFF"/>
              </w:rPr>
              <w:t xml:space="preserve">menis naudotų tik tokiam tikslui, tokios apimties ir tokiu būdu, kokie nurodyti juos gaunant, </w:t>
            </w:r>
            <w:r w:rsidR="006861FF">
              <w:rPr>
                <w:rFonts w:cs="Times New Roman"/>
                <w:szCs w:val="24"/>
              </w:rPr>
              <w:t>–</w:t>
            </w:r>
            <w:r w:rsidR="006861FF">
              <w:rPr>
                <w:color w:val="000000"/>
                <w:shd w:val="clear" w:color="auto" w:fill="FFFFFF"/>
              </w:rPr>
              <w:t xml:space="preserve"> </w:t>
            </w:r>
            <w:r w:rsidR="006861FF" w:rsidRPr="002F2446">
              <w:rPr>
                <w:bCs/>
              </w:rPr>
              <w:t xml:space="preserve">Įstatymo </w:t>
            </w:r>
            <w:r w:rsidR="006861FF">
              <w:rPr>
                <w:bCs/>
              </w:rPr>
              <w:t xml:space="preserve">projekto </w:t>
            </w:r>
            <w:r w:rsidR="006861FF" w:rsidRPr="002F2446">
              <w:rPr>
                <w:bCs/>
              </w:rPr>
              <w:t>3</w:t>
            </w:r>
            <w:r w:rsidR="006861FF" w:rsidRPr="002F2446">
              <w:rPr>
                <w:bCs/>
                <w:vertAlign w:val="superscript"/>
              </w:rPr>
              <w:t xml:space="preserve">4 </w:t>
            </w:r>
            <w:r w:rsidR="006861FF" w:rsidRPr="002F2446">
              <w:rPr>
                <w:bCs/>
              </w:rPr>
              <w:t>straipsn</w:t>
            </w:r>
            <w:r w:rsidR="006861FF">
              <w:rPr>
                <w:bCs/>
              </w:rPr>
              <w:t xml:space="preserve">yje nustatytai funkcijai (teikti pagalbą nustatant adresą) atlikti. </w:t>
            </w:r>
            <w:r w:rsidR="00E65CE1">
              <w:rPr>
                <w:bCs/>
              </w:rPr>
              <w:t xml:space="preserve"> </w:t>
            </w:r>
          </w:p>
          <w:p w14:paraId="0C0FFF44" w14:textId="291F9C4B" w:rsidR="00AF4FF3" w:rsidRPr="00552A71" w:rsidRDefault="00E2729C" w:rsidP="00552A71">
            <w:pPr>
              <w:jc w:val="both"/>
              <w:rPr>
                <w:szCs w:val="24"/>
                <w:highlight w:val="yellow"/>
              </w:rPr>
            </w:pPr>
            <w:r>
              <w:rPr>
                <w:rFonts w:cs="Times New Roman"/>
                <w:bCs/>
                <w:color w:val="000000"/>
                <w:szCs w:val="24"/>
                <w:lang w:eastAsia="lt-LT"/>
              </w:rPr>
              <w:lastRenderedPageBreak/>
              <w:t xml:space="preserve">. </w:t>
            </w:r>
          </w:p>
        </w:tc>
      </w:tr>
    </w:tbl>
    <w:p w14:paraId="4772808B" w14:textId="2E3FC8D9" w:rsidR="00415F87" w:rsidRPr="005F43FA" w:rsidRDefault="00415F87" w:rsidP="00FA4886">
      <w:pPr>
        <w:spacing w:line="240" w:lineRule="auto"/>
        <w:jc w:val="center"/>
        <w:rPr>
          <w:rFonts w:cs="Times New Roman"/>
          <w:szCs w:val="24"/>
        </w:rPr>
      </w:pPr>
    </w:p>
    <w:sectPr w:rsidR="00415F87" w:rsidRPr="005F43FA" w:rsidSect="00B34F32">
      <w:headerReference w:type="default" r:id="rId9"/>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2983" w14:textId="77777777" w:rsidR="00463DFA" w:rsidRDefault="00463DFA" w:rsidP="001A74E1">
      <w:pPr>
        <w:spacing w:after="0" w:line="240" w:lineRule="auto"/>
      </w:pPr>
      <w:r>
        <w:separator/>
      </w:r>
    </w:p>
  </w:endnote>
  <w:endnote w:type="continuationSeparator" w:id="0">
    <w:p w14:paraId="2FEA5501" w14:textId="77777777" w:rsidR="00463DFA" w:rsidRDefault="00463DFA" w:rsidP="001A74E1">
      <w:pPr>
        <w:spacing w:after="0" w:line="240" w:lineRule="auto"/>
      </w:pPr>
      <w:r>
        <w:continuationSeparator/>
      </w:r>
    </w:p>
  </w:endnote>
  <w:endnote w:type="continuationNotice" w:id="1">
    <w:p w14:paraId="682F3230" w14:textId="77777777" w:rsidR="00463DFA" w:rsidRDefault="00463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52C9" w14:textId="77777777" w:rsidR="00463DFA" w:rsidRDefault="00463DFA" w:rsidP="001A74E1">
      <w:pPr>
        <w:spacing w:after="0" w:line="240" w:lineRule="auto"/>
      </w:pPr>
      <w:r>
        <w:separator/>
      </w:r>
    </w:p>
  </w:footnote>
  <w:footnote w:type="continuationSeparator" w:id="0">
    <w:p w14:paraId="5756861C" w14:textId="77777777" w:rsidR="00463DFA" w:rsidRDefault="00463DFA" w:rsidP="001A74E1">
      <w:pPr>
        <w:spacing w:after="0" w:line="240" w:lineRule="auto"/>
      </w:pPr>
      <w:r>
        <w:continuationSeparator/>
      </w:r>
    </w:p>
  </w:footnote>
  <w:footnote w:type="continuationNotice" w:id="1">
    <w:p w14:paraId="661A744D" w14:textId="77777777" w:rsidR="00463DFA" w:rsidRDefault="00463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502967"/>
      <w:docPartObj>
        <w:docPartGallery w:val="Page Numbers (Top of Page)"/>
        <w:docPartUnique/>
      </w:docPartObj>
    </w:sdtPr>
    <w:sdtEndPr/>
    <w:sdtContent>
      <w:p w14:paraId="2FF43E3E" w14:textId="77777777" w:rsidR="00991676" w:rsidRDefault="00991676">
        <w:pPr>
          <w:pStyle w:val="Header"/>
          <w:jc w:val="center"/>
        </w:pPr>
        <w:r>
          <w:fldChar w:fldCharType="begin"/>
        </w:r>
        <w:r>
          <w:instrText>PAGE   \* MERGEFORMAT</w:instrText>
        </w:r>
        <w:r>
          <w:fldChar w:fldCharType="separate"/>
        </w:r>
        <w:r w:rsidR="00A14E4C">
          <w:rPr>
            <w:noProof/>
          </w:rPr>
          <w:t>2</w:t>
        </w:r>
        <w:r>
          <w:fldChar w:fldCharType="end"/>
        </w:r>
      </w:p>
    </w:sdtContent>
  </w:sdt>
  <w:p w14:paraId="480493F5" w14:textId="77777777" w:rsidR="00991676" w:rsidRDefault="0099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4333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1"/>
  </w:num>
  <w:num w:numId="5">
    <w:abstractNumId w:val="7"/>
  </w:num>
  <w:num w:numId="6">
    <w:abstractNumId w:val="15"/>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0DA5"/>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2E9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2769A"/>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E5E33"/>
    <w:rsid w:val="003F1A58"/>
    <w:rsid w:val="003F3309"/>
    <w:rsid w:val="003F5015"/>
    <w:rsid w:val="003F5C06"/>
    <w:rsid w:val="003F5DD9"/>
    <w:rsid w:val="003F6EBC"/>
    <w:rsid w:val="00415F87"/>
    <w:rsid w:val="004223AE"/>
    <w:rsid w:val="00424471"/>
    <w:rsid w:val="004245E2"/>
    <w:rsid w:val="004315DD"/>
    <w:rsid w:val="004418C5"/>
    <w:rsid w:val="00446752"/>
    <w:rsid w:val="0044766B"/>
    <w:rsid w:val="00450C04"/>
    <w:rsid w:val="004514C5"/>
    <w:rsid w:val="004569A7"/>
    <w:rsid w:val="004613DB"/>
    <w:rsid w:val="00463DFA"/>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C39F0"/>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47615"/>
    <w:rsid w:val="00552A71"/>
    <w:rsid w:val="00554089"/>
    <w:rsid w:val="00557F5F"/>
    <w:rsid w:val="00564B20"/>
    <w:rsid w:val="00565A80"/>
    <w:rsid w:val="005727C3"/>
    <w:rsid w:val="00580044"/>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61FF"/>
    <w:rsid w:val="006873EF"/>
    <w:rsid w:val="00690382"/>
    <w:rsid w:val="0069127D"/>
    <w:rsid w:val="00695516"/>
    <w:rsid w:val="006959FE"/>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6F7970"/>
    <w:rsid w:val="00720BA1"/>
    <w:rsid w:val="00723C27"/>
    <w:rsid w:val="00725EF0"/>
    <w:rsid w:val="00725F5D"/>
    <w:rsid w:val="00726020"/>
    <w:rsid w:val="00726899"/>
    <w:rsid w:val="007335D4"/>
    <w:rsid w:val="007408F8"/>
    <w:rsid w:val="0074312A"/>
    <w:rsid w:val="007445EE"/>
    <w:rsid w:val="0074631F"/>
    <w:rsid w:val="00754BCF"/>
    <w:rsid w:val="00755252"/>
    <w:rsid w:val="00755E2A"/>
    <w:rsid w:val="00762159"/>
    <w:rsid w:val="00765D32"/>
    <w:rsid w:val="00770554"/>
    <w:rsid w:val="00771E6A"/>
    <w:rsid w:val="007738DA"/>
    <w:rsid w:val="007777DA"/>
    <w:rsid w:val="00784FCE"/>
    <w:rsid w:val="00790F32"/>
    <w:rsid w:val="007952DD"/>
    <w:rsid w:val="007B62A7"/>
    <w:rsid w:val="007C0600"/>
    <w:rsid w:val="007D0685"/>
    <w:rsid w:val="007D104B"/>
    <w:rsid w:val="007D3929"/>
    <w:rsid w:val="007D3B2B"/>
    <w:rsid w:val="007D4D8F"/>
    <w:rsid w:val="007E557A"/>
    <w:rsid w:val="007E6A58"/>
    <w:rsid w:val="007F1063"/>
    <w:rsid w:val="007F2C38"/>
    <w:rsid w:val="00801012"/>
    <w:rsid w:val="008012F0"/>
    <w:rsid w:val="00803F6D"/>
    <w:rsid w:val="00813CB8"/>
    <w:rsid w:val="0081420F"/>
    <w:rsid w:val="00815438"/>
    <w:rsid w:val="00821186"/>
    <w:rsid w:val="008218C0"/>
    <w:rsid w:val="0082582E"/>
    <w:rsid w:val="00833202"/>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1304"/>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D747A"/>
    <w:rsid w:val="009E009E"/>
    <w:rsid w:val="009E19C1"/>
    <w:rsid w:val="009E635F"/>
    <w:rsid w:val="009F385C"/>
    <w:rsid w:val="00A05FDA"/>
    <w:rsid w:val="00A10A05"/>
    <w:rsid w:val="00A118AE"/>
    <w:rsid w:val="00A12215"/>
    <w:rsid w:val="00A123C2"/>
    <w:rsid w:val="00A14E4C"/>
    <w:rsid w:val="00A2150A"/>
    <w:rsid w:val="00A24232"/>
    <w:rsid w:val="00A25966"/>
    <w:rsid w:val="00A316E8"/>
    <w:rsid w:val="00A31BE9"/>
    <w:rsid w:val="00A3349B"/>
    <w:rsid w:val="00A42182"/>
    <w:rsid w:val="00A507E5"/>
    <w:rsid w:val="00A61D8E"/>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3CA6"/>
    <w:rsid w:val="00AB4F7D"/>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07266"/>
    <w:rsid w:val="00C1265A"/>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23B7"/>
    <w:rsid w:val="00C97074"/>
    <w:rsid w:val="00CA058C"/>
    <w:rsid w:val="00CA2A03"/>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211B9"/>
    <w:rsid w:val="00E2712E"/>
    <w:rsid w:val="00E2729C"/>
    <w:rsid w:val="00E3338D"/>
    <w:rsid w:val="00E33891"/>
    <w:rsid w:val="00E35C93"/>
    <w:rsid w:val="00E4005E"/>
    <w:rsid w:val="00E42DAD"/>
    <w:rsid w:val="00E43484"/>
    <w:rsid w:val="00E462F3"/>
    <w:rsid w:val="00E548F8"/>
    <w:rsid w:val="00E57042"/>
    <w:rsid w:val="00E61906"/>
    <w:rsid w:val="00E65CE1"/>
    <w:rsid w:val="00E8329A"/>
    <w:rsid w:val="00E902BA"/>
    <w:rsid w:val="00E96008"/>
    <w:rsid w:val="00EA32F3"/>
    <w:rsid w:val="00EA36CD"/>
    <w:rsid w:val="00EA6FA6"/>
    <w:rsid w:val="00EA72B7"/>
    <w:rsid w:val="00EB0966"/>
    <w:rsid w:val="00EB1862"/>
    <w:rsid w:val="00EB3EFF"/>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0E92"/>
    <w:rsid w:val="00F01520"/>
    <w:rsid w:val="00F02B57"/>
    <w:rsid w:val="00F03D30"/>
    <w:rsid w:val="00F047CE"/>
    <w:rsid w:val="00F17DAF"/>
    <w:rsid w:val="00F234FB"/>
    <w:rsid w:val="00F24F7D"/>
    <w:rsid w:val="00F3282F"/>
    <w:rsid w:val="00F353DB"/>
    <w:rsid w:val="00F3632D"/>
    <w:rsid w:val="00F4038E"/>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A4886"/>
    <w:rsid w:val="00FA7254"/>
    <w:rsid w:val="00FB1199"/>
    <w:rsid w:val="00FB39F5"/>
    <w:rsid w:val="00FB4DC3"/>
    <w:rsid w:val="00FB4FA5"/>
    <w:rsid w:val="00FC5D30"/>
    <w:rsid w:val="00FC6128"/>
    <w:rsid w:val="00FC7789"/>
    <w:rsid w:val="00FD2BD4"/>
    <w:rsid w:val="00FD31AA"/>
    <w:rsid w:val="00FD38EB"/>
    <w:rsid w:val="00FD3CA9"/>
    <w:rsid w:val="00FD714E"/>
    <w:rsid w:val="00FE14C3"/>
    <w:rsid w:val="00FE48C2"/>
    <w:rsid w:val="00FE601B"/>
    <w:rsid w:val="00FF05BA"/>
    <w:rsid w:val="00FF0F20"/>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C6"/>
  </w:style>
  <w:style w:type="paragraph" w:styleId="Heading1">
    <w:name w:val="heading 1"/>
    <w:basedOn w:val="Normal"/>
    <w:next w:val="Normal"/>
    <w:link w:val="Heading1Char"/>
    <w:qFormat/>
    <w:rsid w:val="00FF0F20"/>
    <w:pPr>
      <w:keepNext/>
      <w:numPr>
        <w:numId w:val="16"/>
      </w:numPr>
      <w:spacing w:after="0" w:line="240" w:lineRule="auto"/>
      <w:jc w:val="center"/>
      <w:outlineLvl w:val="0"/>
    </w:pPr>
    <w:rPr>
      <w:rFonts w:eastAsia="Times New Roman" w:cs="Times New Roman"/>
      <w:szCs w:val="20"/>
    </w:rPr>
  </w:style>
  <w:style w:type="paragraph" w:styleId="Heading2">
    <w:name w:val="heading 2"/>
    <w:basedOn w:val="Normal"/>
    <w:next w:val="Normal"/>
    <w:link w:val="Heading2Char"/>
    <w:qFormat/>
    <w:rsid w:val="00FF0F20"/>
    <w:pPr>
      <w:keepNext/>
      <w:numPr>
        <w:ilvl w:val="1"/>
        <w:numId w:val="16"/>
      </w:numPr>
      <w:spacing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FF0F20"/>
    <w:pPr>
      <w:keepNext/>
      <w:numPr>
        <w:ilvl w:val="2"/>
        <w:numId w:val="16"/>
      </w:numPr>
      <w:spacing w:after="0" w:line="360" w:lineRule="auto"/>
      <w:jc w:val="center"/>
      <w:outlineLvl w:val="2"/>
    </w:pPr>
    <w:rPr>
      <w:rFonts w:eastAsia="Times New Roman" w:cs="Times New Roman"/>
      <w:b/>
      <w:szCs w:val="20"/>
    </w:rPr>
  </w:style>
  <w:style w:type="paragraph" w:styleId="Heading4">
    <w:name w:val="heading 4"/>
    <w:basedOn w:val="Normal"/>
    <w:next w:val="Normal"/>
    <w:link w:val="Heading4Char"/>
    <w:qFormat/>
    <w:rsid w:val="00FF0F20"/>
    <w:pPr>
      <w:keepNext/>
      <w:numPr>
        <w:ilvl w:val="3"/>
        <w:numId w:val="16"/>
      </w:numPr>
      <w:spacing w:after="0" w:line="240" w:lineRule="auto"/>
      <w:outlineLvl w:val="3"/>
    </w:pPr>
    <w:rPr>
      <w:rFonts w:eastAsia="Times New Roman" w:cs="Times New Roman"/>
      <w:sz w:val="28"/>
      <w:szCs w:val="20"/>
    </w:rPr>
  </w:style>
  <w:style w:type="paragraph" w:styleId="Heading5">
    <w:name w:val="heading 5"/>
    <w:basedOn w:val="Normal"/>
    <w:next w:val="Normal"/>
    <w:link w:val="Heading5Char"/>
    <w:qFormat/>
    <w:rsid w:val="00FF0F20"/>
    <w:pPr>
      <w:keepNext/>
      <w:numPr>
        <w:ilvl w:val="4"/>
        <w:numId w:val="16"/>
      </w:numPr>
      <w:spacing w:after="0" w:line="360" w:lineRule="auto"/>
      <w:jc w:val="both"/>
      <w:outlineLvl w:val="4"/>
    </w:pPr>
    <w:rPr>
      <w:rFonts w:eastAsia="Times New Roman" w:cs="Times New Roman"/>
      <w:sz w:val="28"/>
      <w:szCs w:val="20"/>
    </w:rPr>
  </w:style>
  <w:style w:type="paragraph" w:styleId="Heading6">
    <w:name w:val="heading 6"/>
    <w:basedOn w:val="Normal"/>
    <w:next w:val="Normal"/>
    <w:link w:val="Heading6Char"/>
    <w:qFormat/>
    <w:rsid w:val="00FF0F20"/>
    <w:pPr>
      <w:keepNext/>
      <w:numPr>
        <w:ilvl w:val="5"/>
        <w:numId w:val="16"/>
      </w:numPr>
      <w:spacing w:after="0" w:line="240" w:lineRule="auto"/>
      <w:outlineLvl w:val="5"/>
    </w:pPr>
    <w:rPr>
      <w:rFonts w:eastAsia="Times New Roman" w:cs="Times New Roman"/>
      <w:b/>
      <w:sz w:val="20"/>
      <w:szCs w:val="20"/>
      <w:lang w:val="en-US"/>
    </w:rPr>
  </w:style>
  <w:style w:type="paragraph" w:styleId="Heading7">
    <w:name w:val="heading 7"/>
    <w:basedOn w:val="Normal"/>
    <w:next w:val="Normal"/>
    <w:link w:val="Heading7Char"/>
    <w:uiPriority w:val="9"/>
    <w:semiHidden/>
    <w:unhideWhenUsed/>
    <w:qFormat/>
    <w:rsid w:val="00FF0F20"/>
    <w:pPr>
      <w:keepNext/>
      <w:keepLines/>
      <w:numPr>
        <w:ilvl w:val="6"/>
        <w:numId w:val="16"/>
      </w:numPr>
      <w:spacing w:before="40" w:after="0" w:line="240" w:lineRule="auto"/>
      <w:outlineLvl w:val="6"/>
    </w:pPr>
    <w:rPr>
      <w:rFonts w:asciiTheme="majorHAnsi" w:eastAsiaTheme="majorEastAsia" w:hAnsiTheme="majorHAnsi" w:cstheme="majorBidi"/>
      <w:i/>
      <w:iCs/>
      <w:color w:val="1F4D78" w:themeColor="accent1" w:themeShade="7F"/>
      <w:sz w:val="20"/>
      <w:szCs w:val="20"/>
      <w:lang w:val="en-US"/>
    </w:rPr>
  </w:style>
  <w:style w:type="paragraph" w:styleId="Heading8">
    <w:name w:val="heading 8"/>
    <w:basedOn w:val="Normal"/>
    <w:next w:val="Normal"/>
    <w:link w:val="Heading8Char"/>
    <w:uiPriority w:val="9"/>
    <w:semiHidden/>
    <w:unhideWhenUsed/>
    <w:qFormat/>
    <w:rsid w:val="00FF0F20"/>
    <w:pPr>
      <w:keepNext/>
      <w:keepLines/>
      <w:numPr>
        <w:ilvl w:val="7"/>
        <w:numId w:val="16"/>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FF0F20"/>
    <w:pPr>
      <w:keepNext/>
      <w:keepLines/>
      <w:numPr>
        <w:ilvl w:val="8"/>
        <w:numId w:val="16"/>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Normal"/>
    <w:next w:val="Normal"/>
    <w:uiPriority w:val="99"/>
    <w:rsid w:val="00CA2A03"/>
    <w:pPr>
      <w:autoSpaceDE w:val="0"/>
      <w:autoSpaceDN w:val="0"/>
      <w:adjustRightInd w:val="0"/>
      <w:spacing w:after="0" w:line="240" w:lineRule="auto"/>
    </w:pPr>
    <w:rPr>
      <w:rFonts w:ascii="EUAlbertina" w:hAnsi="EUAlbertina"/>
      <w:szCs w:val="24"/>
    </w:rPr>
  </w:style>
  <w:style w:type="character" w:customStyle="1" w:styleId="Heading1Char">
    <w:name w:val="Heading 1 Char"/>
    <w:basedOn w:val="DefaultParagraphFont"/>
    <w:link w:val="Heading1"/>
    <w:rsid w:val="00FF0F20"/>
    <w:rPr>
      <w:rFonts w:eastAsia="Times New Roman" w:cs="Times New Roman"/>
      <w:szCs w:val="20"/>
    </w:rPr>
  </w:style>
  <w:style w:type="character" w:customStyle="1" w:styleId="Heading2Char">
    <w:name w:val="Heading 2 Char"/>
    <w:basedOn w:val="DefaultParagraphFont"/>
    <w:link w:val="Heading2"/>
    <w:rsid w:val="00FF0F20"/>
    <w:rPr>
      <w:rFonts w:eastAsia="Times New Roman" w:cs="Times New Roman"/>
      <w:b/>
      <w:szCs w:val="20"/>
    </w:rPr>
  </w:style>
  <w:style w:type="character" w:customStyle="1" w:styleId="Heading3Char">
    <w:name w:val="Heading 3 Char"/>
    <w:basedOn w:val="DefaultParagraphFont"/>
    <w:link w:val="Heading3"/>
    <w:rsid w:val="00FF0F20"/>
    <w:rPr>
      <w:rFonts w:eastAsia="Times New Roman" w:cs="Times New Roman"/>
      <w:b/>
      <w:szCs w:val="20"/>
    </w:rPr>
  </w:style>
  <w:style w:type="character" w:customStyle="1" w:styleId="Heading4Char">
    <w:name w:val="Heading 4 Char"/>
    <w:basedOn w:val="DefaultParagraphFont"/>
    <w:link w:val="Heading4"/>
    <w:rsid w:val="00FF0F20"/>
    <w:rPr>
      <w:rFonts w:eastAsia="Times New Roman" w:cs="Times New Roman"/>
      <w:sz w:val="28"/>
      <w:szCs w:val="20"/>
    </w:rPr>
  </w:style>
  <w:style w:type="character" w:customStyle="1" w:styleId="Heading5Char">
    <w:name w:val="Heading 5 Char"/>
    <w:basedOn w:val="DefaultParagraphFont"/>
    <w:link w:val="Heading5"/>
    <w:rsid w:val="00FF0F20"/>
    <w:rPr>
      <w:rFonts w:eastAsia="Times New Roman" w:cs="Times New Roman"/>
      <w:sz w:val="28"/>
      <w:szCs w:val="20"/>
    </w:rPr>
  </w:style>
  <w:style w:type="character" w:customStyle="1" w:styleId="Heading6Char">
    <w:name w:val="Heading 6 Char"/>
    <w:basedOn w:val="DefaultParagraphFont"/>
    <w:link w:val="Heading6"/>
    <w:rsid w:val="00FF0F20"/>
    <w:rPr>
      <w:rFonts w:eastAsia="Times New Roman" w:cs="Times New Roman"/>
      <w:b/>
      <w:sz w:val="20"/>
      <w:szCs w:val="20"/>
      <w:lang w:val="en-US"/>
    </w:rPr>
  </w:style>
  <w:style w:type="character" w:customStyle="1" w:styleId="Heading7Char">
    <w:name w:val="Heading 7 Char"/>
    <w:basedOn w:val="DefaultParagraphFont"/>
    <w:link w:val="Heading7"/>
    <w:uiPriority w:val="9"/>
    <w:semiHidden/>
    <w:rsid w:val="00FF0F20"/>
    <w:rPr>
      <w:rFonts w:asciiTheme="majorHAnsi" w:eastAsiaTheme="majorEastAsia" w:hAnsiTheme="majorHAnsi" w:cstheme="majorBidi"/>
      <w:i/>
      <w:iCs/>
      <w:color w:val="1F4D78" w:themeColor="accent1" w:themeShade="7F"/>
      <w:sz w:val="20"/>
      <w:szCs w:val="20"/>
      <w:lang w:val="en-US"/>
    </w:rPr>
  </w:style>
  <w:style w:type="character" w:customStyle="1" w:styleId="Heading8Char">
    <w:name w:val="Heading 8 Char"/>
    <w:basedOn w:val="DefaultParagraphFont"/>
    <w:link w:val="Heading8"/>
    <w:uiPriority w:val="9"/>
    <w:semiHidden/>
    <w:rsid w:val="00FF0F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F0F20"/>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qFormat/>
    <w:rsid w:val="00FF0F20"/>
    <w:pPr>
      <w:spacing w:after="0" w:line="240" w:lineRule="auto"/>
      <w:jc w:val="center"/>
    </w:pPr>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609553646">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1784R2020&amp;locale=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3BAC-0B76-4404-921D-A4CCC883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4437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2021-08-05T05:07:00Z</dcterms:created>
  <dc:creator>Jūratė Peciukonytė</dc:creator>
  <cp:lastModifiedBy>app10 app10</cp:lastModifiedBy>
  <cp:lastPrinted>2018-03-29T06:10:00Z</cp:lastPrinted>
  <dcterms:modified xsi:type="dcterms:W3CDTF">2021-08-05T05:07:00Z</dcterms:modified>
  <cp:revision>2</cp:revision>
</cp:coreProperties>
</file>