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1F4" w:rsidRDefault="004C21F4" w:rsidP="004C21F4">
      <w:pPr>
        <w:tabs>
          <w:tab w:val="left" w:pos="916"/>
          <w:tab w:val="left" w:pos="1832"/>
          <w:tab w:val="left" w:pos="2748"/>
          <w:tab w:val="left" w:pos="3664"/>
          <w:tab w:val="left" w:pos="4580"/>
          <w:tab w:val="left" w:pos="5496"/>
          <w:tab w:val="left" w:pos="6412"/>
          <w:tab w:val="left" w:pos="7513"/>
          <w:tab w:val="left" w:pos="7938"/>
          <w:tab w:val="left" w:pos="8080"/>
          <w:tab w:val="left" w:pos="8244"/>
          <w:tab w:val="left" w:pos="8647"/>
          <w:tab w:val="left" w:pos="10076"/>
          <w:tab w:val="left" w:pos="10992"/>
          <w:tab w:val="left" w:pos="11908"/>
          <w:tab w:val="left" w:pos="12824"/>
          <w:tab w:val="left" w:pos="13740"/>
          <w:tab w:val="left" w:pos="14656"/>
        </w:tabs>
        <w:suppressAutoHyphens/>
        <w:jc w:val="right"/>
        <w:textAlignment w:val="baseline"/>
        <w:rPr>
          <w:rFonts w:eastAsia="Calibri"/>
          <w:b/>
          <w:bCs/>
          <w:szCs w:val="24"/>
        </w:rPr>
      </w:pPr>
      <w:r>
        <w:rPr>
          <w:rFonts w:eastAsia="Calibri"/>
          <w:b/>
          <w:bCs/>
          <w:szCs w:val="24"/>
        </w:rPr>
        <w:t xml:space="preserve">Projekto </w:t>
      </w:r>
    </w:p>
    <w:p w:rsidR="004C21F4" w:rsidRPr="00BA1EC4" w:rsidRDefault="004C21F4" w:rsidP="004C21F4">
      <w:pPr>
        <w:tabs>
          <w:tab w:val="left" w:pos="916"/>
          <w:tab w:val="left" w:pos="1832"/>
          <w:tab w:val="left" w:pos="2748"/>
          <w:tab w:val="left" w:pos="3664"/>
          <w:tab w:val="left" w:pos="4580"/>
          <w:tab w:val="left" w:pos="5496"/>
          <w:tab w:val="left" w:pos="6412"/>
          <w:tab w:val="left" w:pos="7513"/>
          <w:tab w:val="left" w:pos="7938"/>
          <w:tab w:val="left" w:pos="8080"/>
          <w:tab w:val="left" w:pos="8244"/>
          <w:tab w:val="left" w:pos="8647"/>
          <w:tab w:val="left" w:pos="10076"/>
          <w:tab w:val="left" w:pos="10992"/>
          <w:tab w:val="left" w:pos="11908"/>
          <w:tab w:val="left" w:pos="12824"/>
          <w:tab w:val="left" w:pos="13740"/>
          <w:tab w:val="left" w:pos="14656"/>
        </w:tabs>
        <w:suppressAutoHyphens/>
        <w:jc w:val="right"/>
        <w:textAlignment w:val="baseline"/>
        <w:rPr>
          <w:rFonts w:eastAsia="Calibri"/>
          <w:b/>
          <w:bCs/>
          <w:szCs w:val="24"/>
        </w:rPr>
      </w:pPr>
      <w:r>
        <w:rPr>
          <w:rFonts w:eastAsia="Calibri"/>
          <w:b/>
          <w:bCs/>
          <w:szCs w:val="24"/>
        </w:rPr>
        <w:t>lyginamasis variantas</w:t>
      </w:r>
    </w:p>
    <w:p w:rsidR="004C21F4" w:rsidRDefault="004C21F4" w:rsidP="004C21F4">
      <w:pPr>
        <w:suppressAutoHyphens/>
        <w:jc w:val="center"/>
        <w:textAlignment w:val="baseline"/>
        <w:rPr>
          <w:b/>
          <w:szCs w:val="24"/>
          <w:lang w:eastAsia="lt-LT"/>
        </w:rPr>
      </w:pPr>
    </w:p>
    <w:p w:rsidR="004C21F4" w:rsidRDefault="004C21F4" w:rsidP="004C21F4">
      <w:pPr>
        <w:suppressAutoHyphens/>
        <w:jc w:val="center"/>
        <w:textAlignment w:val="baseline"/>
        <w:rPr>
          <w:b/>
          <w:szCs w:val="24"/>
          <w:lang w:eastAsia="lt-LT"/>
        </w:rPr>
      </w:pPr>
      <w:r>
        <w:rPr>
          <w:b/>
          <w:szCs w:val="24"/>
          <w:lang w:eastAsia="lt-LT"/>
        </w:rPr>
        <w:t xml:space="preserve">LIETUVOS RESPUBLIKOS </w:t>
      </w:r>
    </w:p>
    <w:p w:rsidR="004C21F4" w:rsidRDefault="004C21F4" w:rsidP="004C21F4">
      <w:pPr>
        <w:suppressAutoHyphens/>
        <w:jc w:val="center"/>
        <w:textAlignment w:val="baseline"/>
        <w:rPr>
          <w:b/>
          <w:szCs w:val="24"/>
          <w:lang w:eastAsia="lt-LT"/>
        </w:rPr>
      </w:pPr>
      <w:r>
        <w:rPr>
          <w:b/>
          <w:bCs/>
          <w:caps/>
        </w:rPr>
        <w:t>KRAŠTO APSAUGOS SISTEMOS ORGANIZAVIMO IR KARO TARNYBOS ĮSTATYMO NR. VIII-723 18 STRAIPSNIO PAKEITIMO</w:t>
      </w:r>
    </w:p>
    <w:p w:rsidR="004C21F4" w:rsidRDefault="004C21F4" w:rsidP="004C21F4">
      <w:pPr>
        <w:suppressAutoHyphens/>
        <w:jc w:val="center"/>
        <w:textAlignment w:val="baseline"/>
        <w:rPr>
          <w:b/>
          <w:szCs w:val="24"/>
          <w:lang w:eastAsia="lt-LT"/>
        </w:rPr>
      </w:pPr>
      <w:r>
        <w:rPr>
          <w:b/>
          <w:szCs w:val="24"/>
          <w:lang w:eastAsia="lt-LT"/>
        </w:rPr>
        <w:t>ĮSTATYMAS</w:t>
      </w:r>
    </w:p>
    <w:p w:rsidR="004C21F4" w:rsidRDefault="004C21F4" w:rsidP="004C21F4">
      <w:pPr>
        <w:suppressAutoHyphens/>
        <w:jc w:val="center"/>
        <w:textAlignment w:val="baseline"/>
        <w:rPr>
          <w:szCs w:val="24"/>
          <w:lang w:eastAsia="lt-LT"/>
        </w:rPr>
      </w:pPr>
    </w:p>
    <w:p w:rsidR="004C21F4" w:rsidRDefault="004C21F4" w:rsidP="004C21F4">
      <w:pPr>
        <w:suppressAutoHyphens/>
        <w:jc w:val="center"/>
        <w:textAlignment w:val="baseline"/>
        <w:rPr>
          <w:szCs w:val="24"/>
          <w:lang w:val="en-US" w:eastAsia="lt-LT"/>
        </w:rPr>
      </w:pPr>
      <w:r>
        <w:rPr>
          <w:szCs w:val="24"/>
          <w:lang w:eastAsia="lt-LT"/>
        </w:rPr>
        <w:t xml:space="preserve">2021 m. </w:t>
      </w:r>
      <w:r>
        <w:rPr>
          <w:szCs w:val="24"/>
          <w:lang w:eastAsia="lt-LT"/>
        </w:rPr>
        <w:tab/>
      </w:r>
      <w:r>
        <w:rPr>
          <w:szCs w:val="24"/>
          <w:lang w:eastAsia="lt-LT"/>
        </w:rPr>
        <w:tab/>
        <w:t>d. Nr.</w:t>
      </w:r>
    </w:p>
    <w:p w:rsidR="004C21F4" w:rsidRDefault="004C21F4" w:rsidP="004C21F4">
      <w:pPr>
        <w:suppressAutoHyphens/>
        <w:jc w:val="center"/>
        <w:textAlignment w:val="baseline"/>
        <w:rPr>
          <w:szCs w:val="24"/>
          <w:lang w:eastAsia="lt-LT"/>
        </w:rPr>
      </w:pPr>
      <w:r>
        <w:rPr>
          <w:szCs w:val="24"/>
          <w:lang w:eastAsia="lt-LT"/>
        </w:rPr>
        <w:t>Vilnius</w:t>
      </w:r>
    </w:p>
    <w:p w:rsidR="004C21F4" w:rsidRDefault="004C21F4" w:rsidP="004C21F4">
      <w:pPr>
        <w:tabs>
          <w:tab w:val="left" w:pos="851"/>
        </w:tabs>
        <w:suppressAutoHyphens/>
        <w:jc w:val="both"/>
        <w:textAlignment w:val="baseline"/>
      </w:pPr>
    </w:p>
    <w:p w:rsidR="004C21F4" w:rsidRPr="00EE3CBC" w:rsidRDefault="004C21F4" w:rsidP="004C21F4">
      <w:pPr>
        <w:tabs>
          <w:tab w:val="left" w:pos="851"/>
        </w:tabs>
        <w:suppressAutoHyphens/>
        <w:jc w:val="both"/>
        <w:textAlignment w:val="baseline"/>
        <w:rPr>
          <w:szCs w:val="24"/>
          <w:lang w:eastAsia="lt-LT"/>
        </w:rPr>
      </w:pPr>
    </w:p>
    <w:p w:rsidR="004C21F4" w:rsidRPr="00811FE9" w:rsidRDefault="004C21F4" w:rsidP="004C21F4">
      <w:pPr>
        <w:suppressAutoHyphens/>
        <w:ind w:firstLine="720"/>
        <w:jc w:val="both"/>
        <w:textAlignment w:val="baseline"/>
        <w:rPr>
          <w:b/>
          <w:szCs w:val="24"/>
        </w:rPr>
      </w:pPr>
      <w:r>
        <w:rPr>
          <w:b/>
          <w:szCs w:val="24"/>
        </w:rPr>
        <w:t xml:space="preserve">1 </w:t>
      </w:r>
      <w:r w:rsidRPr="00EE3CBC">
        <w:rPr>
          <w:b/>
          <w:szCs w:val="24"/>
        </w:rPr>
        <w:t xml:space="preserve">straipsnis. </w:t>
      </w:r>
      <w:r>
        <w:rPr>
          <w:b/>
          <w:szCs w:val="24"/>
        </w:rPr>
        <w:t>18</w:t>
      </w:r>
      <w:r w:rsidRPr="00EE3CBC">
        <w:rPr>
          <w:b/>
          <w:szCs w:val="24"/>
        </w:rPr>
        <w:t xml:space="preserve"> straipsnio </w:t>
      </w:r>
      <w:r w:rsidRPr="00811FE9">
        <w:rPr>
          <w:b/>
          <w:szCs w:val="24"/>
        </w:rPr>
        <w:t>pakeitimas</w:t>
      </w:r>
    </w:p>
    <w:p w:rsidR="004C21F4" w:rsidRPr="00811FE9" w:rsidRDefault="004C21F4" w:rsidP="004C21F4">
      <w:pPr>
        <w:pStyle w:val="ListParagraph"/>
        <w:numPr>
          <w:ilvl w:val="0"/>
          <w:numId w:val="1"/>
        </w:numPr>
        <w:suppressAutoHyphens/>
        <w:jc w:val="both"/>
        <w:textAlignment w:val="baseline"/>
        <w:rPr>
          <w:b/>
          <w:szCs w:val="24"/>
        </w:rPr>
      </w:pPr>
      <w:r w:rsidRPr="00811FE9">
        <w:rPr>
          <w:szCs w:val="24"/>
        </w:rPr>
        <w:t>Pakeisti 18 straipsnio 1 dalies 1 punktą ir jį išdėstyti taip:</w:t>
      </w:r>
    </w:p>
    <w:p w:rsidR="004C21F4" w:rsidRPr="00811FE9" w:rsidRDefault="004C21F4" w:rsidP="004C21F4">
      <w:pPr>
        <w:ind w:firstLine="720"/>
        <w:jc w:val="both"/>
        <w:rPr>
          <w:color w:val="000000"/>
          <w:szCs w:val="24"/>
        </w:rPr>
      </w:pPr>
      <w:r w:rsidRPr="00811FE9">
        <w:rPr>
          <w:szCs w:val="24"/>
        </w:rPr>
        <w:t>„</w:t>
      </w:r>
      <w:r w:rsidRPr="00811FE9">
        <w:rPr>
          <w:color w:val="000000"/>
          <w:szCs w:val="24"/>
        </w:rPr>
        <w:t>1) ekstremalių situacijų atvejais</w:t>
      </w:r>
      <w:r>
        <w:rPr>
          <w:color w:val="000000"/>
          <w:szCs w:val="24"/>
        </w:rPr>
        <w:t>,</w:t>
      </w:r>
      <w:r w:rsidRPr="00811FE9">
        <w:rPr>
          <w:color w:val="000000"/>
          <w:szCs w:val="24"/>
        </w:rPr>
        <w:t xml:space="preserve"> kai įvykio mastas sparčiai didėja</w:t>
      </w:r>
      <w:r>
        <w:rPr>
          <w:color w:val="000000"/>
          <w:szCs w:val="24"/>
        </w:rPr>
        <w:t>,</w:t>
      </w:r>
      <w:r w:rsidRPr="00811FE9">
        <w:rPr>
          <w:color w:val="000000"/>
          <w:szCs w:val="24"/>
        </w:rPr>
        <w:t xml:space="preserve"> tam tikroms gelbėjimo ir kitų neatidėliotinų darbų užduotims </w:t>
      </w:r>
      <w:r w:rsidR="00AA338C" w:rsidRPr="00AA338C">
        <w:rPr>
          <w:color w:val="000000"/>
          <w:szCs w:val="24"/>
        </w:rPr>
        <w:t xml:space="preserve">ekstremalios situacijos židinyje </w:t>
      </w:r>
      <w:r w:rsidRPr="00811FE9">
        <w:rPr>
          <w:color w:val="000000"/>
          <w:szCs w:val="24"/>
        </w:rPr>
        <w:t>atlikti</w:t>
      </w:r>
      <w:r w:rsidR="00053156">
        <w:rPr>
          <w:b/>
          <w:color w:val="000000"/>
          <w:szCs w:val="24"/>
        </w:rPr>
        <w:t>, taip pat</w:t>
      </w:r>
      <w:r w:rsidRPr="00811FE9">
        <w:rPr>
          <w:color w:val="000000"/>
          <w:szCs w:val="24"/>
        </w:rPr>
        <w:t xml:space="preserve"> </w:t>
      </w:r>
      <w:r w:rsidR="003B2D48" w:rsidRPr="009523D9">
        <w:rPr>
          <w:b/>
          <w:color w:val="000000"/>
          <w:szCs w:val="24"/>
        </w:rPr>
        <w:t>ekstremalių situacijų atvejais, kai įvykio mastas sparčiai didėja</w:t>
      </w:r>
      <w:r w:rsidR="003B2D48" w:rsidRPr="003B2D48" w:rsidDel="003B2D48">
        <w:rPr>
          <w:b/>
          <w:color w:val="000000"/>
          <w:szCs w:val="24"/>
        </w:rPr>
        <w:t xml:space="preserve"> </w:t>
      </w:r>
      <w:r w:rsidR="003B2D48">
        <w:rPr>
          <w:b/>
          <w:color w:val="000000"/>
          <w:szCs w:val="24"/>
        </w:rPr>
        <w:t>ir</w:t>
      </w:r>
      <w:r w:rsidR="00EB0CF3">
        <w:rPr>
          <w:b/>
          <w:color w:val="000000"/>
          <w:szCs w:val="24"/>
        </w:rPr>
        <w:t xml:space="preserve"> kai,</w:t>
      </w:r>
      <w:r w:rsidRPr="00207169">
        <w:rPr>
          <w:b/>
          <w:color w:val="000000"/>
          <w:szCs w:val="24"/>
        </w:rPr>
        <w:t xml:space="preserve"> siekiant išvengti grėsmės visuomenės rimčiai, yra būtina atkurti policijos, Valstybės sienos apsaugos tarnybos prie Lietuvos Respublikos vidaus reikalų ministerijos ar Viešojo saugumo tarnybos</w:t>
      </w:r>
      <w:bookmarkStart w:id="0" w:name="_GoBack"/>
      <w:bookmarkEnd w:id="0"/>
      <w:r w:rsidRPr="00207169">
        <w:rPr>
          <w:b/>
          <w:color w:val="000000"/>
          <w:szCs w:val="24"/>
        </w:rPr>
        <w:t xml:space="preserve"> prie Vidaus reikalų ministerijos</w:t>
      </w:r>
      <w:r w:rsidRPr="00207169">
        <w:rPr>
          <w:b/>
          <w:i/>
          <w:color w:val="000000"/>
          <w:szCs w:val="24"/>
        </w:rPr>
        <w:t xml:space="preserve"> </w:t>
      </w:r>
      <w:r w:rsidRPr="00207169">
        <w:rPr>
          <w:b/>
          <w:color w:val="000000"/>
          <w:szCs w:val="24"/>
        </w:rPr>
        <w:t>pajėgų būtiniausias veiklos sąlygas</w:t>
      </w:r>
      <w:r w:rsidRPr="00811FE9">
        <w:rPr>
          <w:color w:val="000000"/>
          <w:szCs w:val="24"/>
        </w:rPr>
        <w:t>;“.</w:t>
      </w:r>
    </w:p>
    <w:p w:rsidR="004C21F4" w:rsidRPr="00811FE9" w:rsidRDefault="004C21F4" w:rsidP="004C21F4">
      <w:pPr>
        <w:pStyle w:val="ListParagraph"/>
        <w:numPr>
          <w:ilvl w:val="0"/>
          <w:numId w:val="1"/>
        </w:numPr>
        <w:suppressAutoHyphens/>
        <w:jc w:val="both"/>
        <w:textAlignment w:val="baseline"/>
        <w:rPr>
          <w:b/>
          <w:szCs w:val="24"/>
        </w:rPr>
      </w:pPr>
      <w:r w:rsidRPr="00811FE9">
        <w:rPr>
          <w:szCs w:val="24"/>
        </w:rPr>
        <w:t>Pakeisti 18 straipsnio 2 dalį ir ją išdėstyti taip:</w:t>
      </w:r>
    </w:p>
    <w:p w:rsidR="004C21F4" w:rsidRPr="00811FE9" w:rsidRDefault="004C21F4" w:rsidP="004C21F4">
      <w:pPr>
        <w:pStyle w:val="ListParagraph"/>
        <w:ind w:left="0" w:firstLine="720"/>
        <w:jc w:val="both"/>
        <w:rPr>
          <w:color w:val="000000"/>
          <w:szCs w:val="24"/>
        </w:rPr>
      </w:pPr>
      <w:r w:rsidRPr="00811FE9">
        <w:rPr>
          <w:color w:val="000000"/>
          <w:szCs w:val="24"/>
        </w:rPr>
        <w:t>„2. Šio straipsnio 1 dalies 1 punkte nurodytais atvejais kariniai vienetai gali būti pasiųsti padėti civilinės saugos sistemos pajėgoms krašto apsaugos ministro įsakymu, gavę Vyriausybės Ekstremalių situacijų komisijos pirmininko arba savivaldybės, kurios teritorijoje yra ekstremalios situacijos židinys, administracijos direktoriaus rašytinį prašymą. Karinių vienetų bei civilinės saugos sistemos pajėgų veiksmai koordinuojami pagal kariuomenės vado ar jo įgaliotų karinių vienetų vadų ir Priešgaisrinės apsaugos ir gelbėjimo departamento prie Vidaus reikalų ministerijos direktoriaus ar jo įgaliotų civilinės saugos sistemos pareigūnų iš anksto parengtus sąveikos planus</w:t>
      </w:r>
      <w:r w:rsidRPr="00207169">
        <w:rPr>
          <w:b/>
          <w:color w:val="000000"/>
          <w:szCs w:val="24"/>
        </w:rPr>
        <w:t xml:space="preserve">, išskyrus atvejus, </w:t>
      </w:r>
      <w:r w:rsidR="003B2D48" w:rsidRPr="007F7D01">
        <w:rPr>
          <w:b/>
          <w:color w:val="000000"/>
          <w:szCs w:val="24"/>
        </w:rPr>
        <w:t>kai siekiant išvengti grėsmės visuomenės rimčiai, yra būtina atkurti policijos, Valstybės sienos apsaugos tarnybos prie Lietuvos Respublikos vidaus reikalų ministerijos ar Viešojo saugumo tarnybos prie Vidaus reikalų ministerijos</w:t>
      </w:r>
      <w:r w:rsidR="003B2D48" w:rsidRPr="007F7D01">
        <w:rPr>
          <w:b/>
          <w:i/>
          <w:color w:val="000000"/>
          <w:szCs w:val="24"/>
        </w:rPr>
        <w:t xml:space="preserve"> </w:t>
      </w:r>
      <w:r w:rsidR="003B2D48" w:rsidRPr="007F7D01">
        <w:rPr>
          <w:b/>
          <w:color w:val="000000"/>
          <w:szCs w:val="24"/>
        </w:rPr>
        <w:t>pajėgų būtiniausias veiklos sąlygas. Kai siekiant išvengti grėsmės visuomenės rimčiai, yra būtina atkurti policijos, Valstybės sienos apsaugos tarnybos prie Lietuvos Respublikos vidaus reikalų ministerijos ar Viešojo saugumo tarnybos prie Vidaus reikalų ministerijos</w:t>
      </w:r>
      <w:r w:rsidR="003B2D48" w:rsidRPr="007F7D01">
        <w:rPr>
          <w:b/>
          <w:i/>
          <w:color w:val="000000"/>
          <w:szCs w:val="24"/>
        </w:rPr>
        <w:t xml:space="preserve"> </w:t>
      </w:r>
      <w:r w:rsidR="003B2D48" w:rsidRPr="007F7D01">
        <w:rPr>
          <w:b/>
          <w:color w:val="000000"/>
          <w:szCs w:val="24"/>
        </w:rPr>
        <w:t>pajėgų būtiniausias veiklos sąlygas ir šiuo tikslu pasitelkiami kariniai vienetai, karinių vienetų bei šių civilinės saugos sistemos pajėgų veiksmus koordinuoja</w:t>
      </w:r>
      <w:r w:rsidR="003B2D48" w:rsidRPr="007F7D01">
        <w:rPr>
          <w:b/>
        </w:rPr>
        <w:t xml:space="preserve"> </w:t>
      </w:r>
      <w:r w:rsidR="003B2D48" w:rsidRPr="007F7D01">
        <w:rPr>
          <w:b/>
          <w:color w:val="000000"/>
          <w:szCs w:val="24"/>
        </w:rPr>
        <w:t>ekstremaliosios situacijos operacijų vadovas</w:t>
      </w:r>
      <w:r>
        <w:rPr>
          <w:color w:val="000000"/>
          <w:szCs w:val="24"/>
        </w:rPr>
        <w:t>.</w:t>
      </w:r>
      <w:r w:rsidRPr="00C5116F">
        <w:rPr>
          <w:color w:val="000000"/>
          <w:szCs w:val="24"/>
        </w:rPr>
        <w:t>“</w:t>
      </w:r>
    </w:p>
    <w:p w:rsidR="004C21F4" w:rsidRPr="00811FE9" w:rsidRDefault="004C21F4" w:rsidP="004C21F4">
      <w:pPr>
        <w:pStyle w:val="ListParagraph"/>
        <w:numPr>
          <w:ilvl w:val="0"/>
          <w:numId w:val="1"/>
        </w:numPr>
        <w:suppressAutoHyphens/>
        <w:jc w:val="both"/>
        <w:textAlignment w:val="baseline"/>
        <w:rPr>
          <w:b/>
          <w:szCs w:val="24"/>
        </w:rPr>
      </w:pPr>
      <w:r w:rsidRPr="00811FE9">
        <w:rPr>
          <w:szCs w:val="24"/>
        </w:rPr>
        <w:t>Pakeisti 18 straipsnio 14 dalį ir ją išdėstyti taip:</w:t>
      </w:r>
    </w:p>
    <w:p w:rsidR="004C21F4" w:rsidRPr="00207169" w:rsidRDefault="004C21F4" w:rsidP="004C21F4">
      <w:pPr>
        <w:pStyle w:val="ListParagraph"/>
        <w:ind w:left="0" w:firstLine="720"/>
        <w:jc w:val="both"/>
        <w:rPr>
          <w:szCs w:val="24"/>
        </w:rPr>
      </w:pPr>
      <w:r w:rsidRPr="00811FE9">
        <w:rPr>
          <w:szCs w:val="24"/>
        </w:rPr>
        <w:t>„14. Šio straipsnio nurodytais atvejais teikdama pagalbą</w:t>
      </w:r>
      <w:r w:rsidRPr="000F4C80">
        <w:rPr>
          <w:szCs w:val="24"/>
        </w:rPr>
        <w:t xml:space="preserve"> kitoms valstybės ar savivaldybių institucijoms karinę jėgą kariuomenė gali naudoti tik tiek, kiek yra būtina pagalbos tikslams pasiekti. Karinė jėga naudojama Karinės </w:t>
      </w:r>
      <w:r w:rsidRPr="00207169">
        <w:rPr>
          <w:szCs w:val="24"/>
        </w:rPr>
        <w:t>jėgos naudojimo statute</w:t>
      </w:r>
      <w:r>
        <w:rPr>
          <w:szCs w:val="24"/>
        </w:rPr>
        <w:t xml:space="preserve"> </w:t>
      </w:r>
      <w:r w:rsidRPr="000F4C80">
        <w:rPr>
          <w:strike/>
          <w:szCs w:val="24"/>
        </w:rPr>
        <w:t>nustatyta</w:t>
      </w:r>
      <w:r w:rsidRPr="00207169">
        <w:rPr>
          <w:szCs w:val="24"/>
        </w:rPr>
        <w:t xml:space="preserve"> </w:t>
      </w:r>
      <w:r w:rsidRPr="00207169">
        <w:rPr>
          <w:b/>
          <w:szCs w:val="24"/>
        </w:rPr>
        <w:t>nustatytomis sąlygomis ir</w:t>
      </w:r>
      <w:r w:rsidRPr="00207169">
        <w:rPr>
          <w:szCs w:val="24"/>
        </w:rPr>
        <w:t xml:space="preserve"> tvarka.“</w:t>
      </w:r>
    </w:p>
    <w:p w:rsidR="004C21F4" w:rsidRPr="00207169" w:rsidRDefault="004C21F4" w:rsidP="004C21F4">
      <w:pPr>
        <w:pStyle w:val="ListParagraph"/>
        <w:ind w:left="0" w:firstLine="720"/>
        <w:jc w:val="both"/>
        <w:rPr>
          <w:szCs w:val="24"/>
        </w:rPr>
      </w:pPr>
      <w:r w:rsidRPr="00207169">
        <w:rPr>
          <w:szCs w:val="24"/>
        </w:rPr>
        <w:t>4. Papildyti 18 straipsnį 15 dalimi:</w:t>
      </w:r>
    </w:p>
    <w:p w:rsidR="004C21F4" w:rsidRPr="00620263" w:rsidRDefault="004C21F4" w:rsidP="004C21F4">
      <w:pPr>
        <w:pStyle w:val="ListParagraph"/>
        <w:ind w:left="0" w:firstLine="720"/>
        <w:jc w:val="both"/>
        <w:rPr>
          <w:szCs w:val="24"/>
        </w:rPr>
      </w:pPr>
      <w:r w:rsidRPr="00207169">
        <w:rPr>
          <w:color w:val="000000"/>
        </w:rPr>
        <w:t>„</w:t>
      </w:r>
      <w:r w:rsidRPr="00207169">
        <w:rPr>
          <w:b/>
          <w:color w:val="000000"/>
        </w:rPr>
        <w:t>15. Kariui, kuris atlikdamas tarnybines pareigas teikiant pagalbą kitoms valstybės ar savivaldybių institucijoms viršijo tarnybinės rizikos ribas, tuo būdu padarė nusikalstamą veiką ar kitokį teisės pažeidimą ir dėl to tapo įtariamuoju (specialiuoju liudytoju), kaltinamuoju arba kuris nukentėjo atlikdamas jam priskirtas tarnybines funkcijas ar dėl tikrosios karo tarnybos, iš  Krašto apsaugos ministerijai skirtų asignavimų krašto apsaugos ministro nustatyta tvarka ir dydžiu kompensuojamos teisinės pagalbos išlaidos ar jų dalis. Ši kompensacija skiriama krašto apsaugos ministro ar jo įgalioto asmens sprendimu.</w:t>
      </w:r>
      <w:r w:rsidRPr="00D8219B">
        <w:rPr>
          <w:color w:val="000000"/>
          <w:spacing w:val="2"/>
        </w:rPr>
        <w:t>“</w:t>
      </w:r>
    </w:p>
    <w:p w:rsidR="004C21F4" w:rsidRDefault="004C21F4" w:rsidP="004C21F4">
      <w:pPr>
        <w:suppressAutoHyphens/>
        <w:jc w:val="both"/>
        <w:textAlignment w:val="baseline"/>
        <w:rPr>
          <w:szCs w:val="24"/>
        </w:rPr>
      </w:pPr>
    </w:p>
    <w:p w:rsidR="004C21F4" w:rsidRDefault="004C21F4" w:rsidP="004C21F4">
      <w:pPr>
        <w:suppressAutoHyphens/>
        <w:ind w:firstLine="567"/>
        <w:jc w:val="both"/>
        <w:textAlignment w:val="baseline"/>
        <w:rPr>
          <w:i/>
          <w:szCs w:val="24"/>
          <w:lang w:eastAsia="lt-LT"/>
        </w:rPr>
      </w:pPr>
      <w:r>
        <w:rPr>
          <w:i/>
          <w:szCs w:val="24"/>
          <w:lang w:eastAsia="lt-LT"/>
        </w:rPr>
        <w:t xml:space="preserve">  Skelbiu šį Lietuvos Respublikos Seimo priimtą įstatymą. </w:t>
      </w:r>
    </w:p>
    <w:p w:rsidR="004C21F4" w:rsidRDefault="004C21F4" w:rsidP="004C21F4">
      <w:pPr>
        <w:suppressAutoHyphens/>
        <w:jc w:val="both"/>
        <w:textAlignment w:val="baseline"/>
        <w:rPr>
          <w:szCs w:val="24"/>
          <w:lang w:eastAsia="lt-LT"/>
        </w:rPr>
      </w:pPr>
    </w:p>
    <w:p w:rsidR="005A57CF" w:rsidRPr="004C21F4" w:rsidRDefault="004C21F4" w:rsidP="004C21F4">
      <w:pPr>
        <w:suppressAutoHyphens/>
        <w:jc w:val="both"/>
        <w:textAlignment w:val="baseline"/>
        <w:rPr>
          <w:szCs w:val="24"/>
        </w:rPr>
      </w:pPr>
      <w:r>
        <w:rPr>
          <w:szCs w:val="24"/>
          <w:lang w:eastAsia="lt-LT"/>
        </w:rPr>
        <w:t>Respublikos Prezidentas</w:t>
      </w:r>
    </w:p>
    <w:sectPr w:rsidR="005A57CF" w:rsidRPr="004C21F4" w:rsidSect="00641B08">
      <w:headerReference w:type="even" r:id="rId7"/>
      <w:headerReference w:type="default" r:id="rId8"/>
      <w:footerReference w:type="even" r:id="rId9"/>
      <w:footerReference w:type="default" r:id="rId10"/>
      <w:headerReference w:type="first" r:id="rId11"/>
      <w:footerReference w:type="first" r:id="rId12"/>
      <w:pgSz w:w="11907" w:h="16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125" w:rsidRDefault="003B2D48">
      <w:r>
        <w:separator/>
      </w:r>
    </w:p>
  </w:endnote>
  <w:endnote w:type="continuationSeparator" w:id="0">
    <w:p w:rsidR="00597125" w:rsidRDefault="003B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B18" w:rsidRDefault="00EB0CF3">
    <w:pPr>
      <w:tabs>
        <w:tab w:val="center" w:pos="4819"/>
        <w:tab w:val="right" w:pos="9638"/>
      </w:tabs>
      <w:suppressAutoHyphens/>
      <w:textAlignment w:val="baselin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B18" w:rsidRDefault="00EB0CF3">
    <w:pPr>
      <w:tabs>
        <w:tab w:val="center" w:pos="4819"/>
        <w:tab w:val="right" w:pos="9638"/>
      </w:tabs>
      <w:suppressAutoHyphens/>
      <w:textAlignment w:val="baselin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B18" w:rsidRDefault="00EB0CF3">
    <w:pPr>
      <w:tabs>
        <w:tab w:val="center" w:pos="4819"/>
        <w:tab w:val="right" w:pos="9638"/>
      </w:tabs>
      <w:suppressAutoHyphens/>
      <w:textAlignment w:val="baseli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125" w:rsidRDefault="003B2D48">
      <w:r>
        <w:separator/>
      </w:r>
    </w:p>
  </w:footnote>
  <w:footnote w:type="continuationSeparator" w:id="0">
    <w:p w:rsidR="00597125" w:rsidRDefault="003B2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B18" w:rsidRDefault="00EB0CF3">
    <w:pPr>
      <w:tabs>
        <w:tab w:val="center" w:pos="4819"/>
        <w:tab w:val="right" w:pos="9638"/>
      </w:tabs>
      <w:suppressAutoHyphens/>
      <w:textAlignment w:val="baseli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B18" w:rsidRDefault="004C21F4">
    <w:pPr>
      <w:tabs>
        <w:tab w:val="center" w:pos="4819"/>
        <w:tab w:val="right" w:pos="9638"/>
      </w:tabs>
      <w:suppressAutoHyphens/>
      <w:jc w:val="center"/>
      <w:textAlignment w:val="baseline"/>
    </w:pPr>
    <w:r>
      <w:fldChar w:fldCharType="begin"/>
    </w:r>
    <w:r>
      <w:instrText>PAGE   \* MERGEFORMAT</w:instrText>
    </w:r>
    <w:r>
      <w:fldChar w:fldCharType="separate"/>
    </w:r>
    <w:r w:rsidR="009523D9">
      <w:rPr>
        <w:noProof/>
      </w:rPr>
      <w:t>2</w:t>
    </w:r>
    <w:r>
      <w:fldChar w:fldCharType="end"/>
    </w:r>
  </w:p>
  <w:p w:rsidR="00C52B18" w:rsidRDefault="00EB0CF3">
    <w:pPr>
      <w:tabs>
        <w:tab w:val="center" w:pos="4819"/>
        <w:tab w:val="right" w:pos="9638"/>
      </w:tabs>
      <w:suppressAutoHyphens/>
      <w:textAlignment w:val="baseli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B18" w:rsidRDefault="00EB0CF3">
    <w:pPr>
      <w:tabs>
        <w:tab w:val="center" w:pos="4819"/>
        <w:tab w:val="right" w:pos="9638"/>
      </w:tabs>
      <w:suppressAutoHyphens/>
      <w:textAlignment w:val="base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E54AA"/>
    <w:multiLevelType w:val="hybridMultilevel"/>
    <w:tmpl w:val="E452AAC2"/>
    <w:lvl w:ilvl="0" w:tplc="182A7B8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1F4"/>
    <w:rsid w:val="00053156"/>
    <w:rsid w:val="003B2D48"/>
    <w:rsid w:val="004C21F4"/>
    <w:rsid w:val="00597125"/>
    <w:rsid w:val="005A57CF"/>
    <w:rsid w:val="0082468E"/>
    <w:rsid w:val="009523D9"/>
    <w:rsid w:val="00AA338C"/>
    <w:rsid w:val="00EB0C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8E6EE"/>
  <w15:chartTrackingRefBased/>
  <w15:docId w15:val="{E7FFF86A-07A4-45F8-9003-7EF18F7F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1F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1F4"/>
    <w:pPr>
      <w:ind w:left="720"/>
      <w:contextualSpacing/>
    </w:pPr>
  </w:style>
  <w:style w:type="paragraph" w:styleId="BalloonText">
    <w:name w:val="Balloon Text"/>
    <w:basedOn w:val="Normal"/>
    <w:link w:val="BalloonTextChar"/>
    <w:uiPriority w:val="99"/>
    <w:semiHidden/>
    <w:unhideWhenUsed/>
    <w:rsid w:val="003B2D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D4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2136</Words>
  <Characters>1218</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2021-08-04T05:20:00Z</dcterms:created>
  <dc:creator>Mantas Keliotis</dc:creator>
  <cp:lastModifiedBy>Mantas Keliotis</cp:lastModifiedBy>
  <dcterms:modified xsi:type="dcterms:W3CDTF">2021-08-04T05:38:00Z</dcterms:modified>
  <cp:revision>3</cp:revision>
</cp:coreProperties>
</file>