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64" w:type="dxa"/>
        <w:tblInd w:w="-572" w:type="dxa"/>
        <w:tblLayout w:type="fixed"/>
        <w:tblLook w:val="04A0" w:firstRow="1" w:lastRow="0" w:firstColumn="1" w:lastColumn="0" w:noHBand="0" w:noVBand="1"/>
      </w:tblPr>
      <w:tblGrid>
        <w:gridCol w:w="680"/>
        <w:gridCol w:w="1985"/>
        <w:gridCol w:w="8100"/>
        <w:gridCol w:w="4799"/>
      </w:tblGrid>
      <w:tr w:rsidR="00C963E7" w:rsidRPr="00B00FB8" w14:paraId="00E94E3F" w14:textId="77777777" w:rsidTr="00C963E7">
        <w:trPr>
          <w:trHeight w:val="918"/>
        </w:trPr>
        <w:tc>
          <w:tcPr>
            <w:tcW w:w="680" w:type="dxa"/>
            <w:tcBorders>
              <w:top w:val="nil"/>
              <w:left w:val="nil"/>
              <w:bottom w:val="single" w:sz="4" w:space="0" w:color="auto"/>
              <w:right w:val="nil"/>
            </w:tcBorders>
            <w:vAlign w:val="center"/>
          </w:tcPr>
          <w:p w14:paraId="67A2FF0B" w14:textId="64500766" w:rsidR="00C963E7" w:rsidRPr="00B00FB8" w:rsidRDefault="00C963E7" w:rsidP="00D87C28">
            <w:pPr>
              <w:jc w:val="center"/>
              <w:rPr>
                <w:rFonts w:ascii="Times New Roman" w:hAnsi="Times New Roman" w:cs="Times New Roman"/>
                <w:b/>
                <w:bCs/>
                <w:sz w:val="24"/>
                <w:szCs w:val="24"/>
              </w:rPr>
            </w:pPr>
          </w:p>
        </w:tc>
        <w:tc>
          <w:tcPr>
            <w:tcW w:w="14884" w:type="dxa"/>
            <w:gridSpan w:val="3"/>
            <w:tcBorders>
              <w:top w:val="nil"/>
              <w:left w:val="nil"/>
              <w:bottom w:val="single" w:sz="4" w:space="0" w:color="auto"/>
              <w:right w:val="nil"/>
            </w:tcBorders>
            <w:vAlign w:val="center"/>
          </w:tcPr>
          <w:p w14:paraId="18BC072E" w14:textId="335711A6" w:rsidR="00C963E7" w:rsidRPr="00B00FB8" w:rsidRDefault="00C963E7" w:rsidP="00C963E7">
            <w:pPr>
              <w:jc w:val="both"/>
              <w:rPr>
                <w:b/>
                <w:bCs/>
              </w:rPr>
            </w:pPr>
            <w:r w:rsidRPr="00C963E7">
              <w:rPr>
                <w:rFonts w:ascii="Times New Roman" w:eastAsia="Calibri" w:hAnsi="Times New Roman" w:cs="Times New Roman"/>
                <w:b/>
                <w:sz w:val="24"/>
                <w:szCs w:val="24"/>
              </w:rPr>
              <w:t>LIETUVOS RESPUBLIKOS KLIMATO KAITOS VALDYMO FINANSINIŲ INSTRUMENTŲ ĮSTATYMO NR. IX-329 (TOLIAU – ĮSTATYMAS) PAVADINIMO, 2, 3, 5, 7, 8, 9, 10, 11, 12, 12</w:t>
            </w:r>
            <w:r w:rsidRPr="00C963E7">
              <w:rPr>
                <w:rFonts w:ascii="Times New Roman" w:eastAsia="Calibri" w:hAnsi="Times New Roman" w:cs="Times New Roman"/>
                <w:b/>
                <w:sz w:val="24"/>
                <w:szCs w:val="24"/>
                <w:vertAlign w:val="superscript"/>
              </w:rPr>
              <w:t>1</w:t>
            </w:r>
            <w:r w:rsidRPr="00C963E7">
              <w:rPr>
                <w:rFonts w:ascii="Times New Roman" w:eastAsia="Calibri" w:hAnsi="Times New Roman" w:cs="Times New Roman"/>
                <w:b/>
                <w:sz w:val="24"/>
                <w:szCs w:val="24"/>
              </w:rPr>
              <w:t>,13, 20 STRAIPSNIŲ, 1 IR 2 PRIEDŲ PAKEITIMO IR ĮSTATYMO PAPILDYMO 12</w:t>
            </w:r>
            <w:r w:rsidRPr="00C963E7">
              <w:rPr>
                <w:rFonts w:ascii="Times New Roman" w:eastAsia="Calibri" w:hAnsi="Times New Roman" w:cs="Times New Roman"/>
                <w:b/>
                <w:sz w:val="24"/>
                <w:szCs w:val="24"/>
                <w:vertAlign w:val="superscript"/>
              </w:rPr>
              <w:t>2</w:t>
            </w:r>
            <w:r w:rsidRPr="00C963E7">
              <w:rPr>
                <w:rFonts w:ascii="Times New Roman" w:eastAsia="Calibri" w:hAnsi="Times New Roman" w:cs="Times New Roman"/>
                <w:b/>
                <w:sz w:val="24"/>
                <w:szCs w:val="24"/>
              </w:rPr>
              <w:t xml:space="preserve"> STRAIPSNIU IR PENKTUOJU</w:t>
            </w:r>
            <w:r w:rsidRPr="00C963E7">
              <w:rPr>
                <w:rFonts w:ascii="Times New Roman" w:eastAsia="Calibri" w:hAnsi="Times New Roman" w:cs="Times New Roman"/>
                <w:b/>
                <w:sz w:val="24"/>
                <w:szCs w:val="24"/>
                <w:vertAlign w:val="superscript"/>
              </w:rPr>
              <w:t>2</w:t>
            </w:r>
            <w:r w:rsidRPr="00C963E7">
              <w:rPr>
                <w:rFonts w:ascii="Times New Roman" w:eastAsia="Calibri" w:hAnsi="Times New Roman" w:cs="Times New Roman"/>
                <w:b/>
                <w:sz w:val="24"/>
                <w:szCs w:val="24"/>
              </w:rPr>
              <w:t xml:space="preserve"> SKIRSNIU ĮSTATYMO PROJEKTO (TOLIAU – PROJEKTAS) DERINIMO PAŽYMA</w:t>
            </w:r>
          </w:p>
          <w:p w14:paraId="612C709E" w14:textId="2E4CD41D" w:rsidR="00C963E7" w:rsidRPr="00B00FB8" w:rsidRDefault="00C963E7" w:rsidP="00C963E7">
            <w:pPr>
              <w:rPr>
                <w:b/>
                <w:bCs/>
              </w:rPr>
            </w:pPr>
          </w:p>
        </w:tc>
      </w:tr>
      <w:tr w:rsidR="00C963E7" w:rsidRPr="00B00FB8" w14:paraId="04EF18A9" w14:textId="77777777" w:rsidTr="00C963E7">
        <w:trPr>
          <w:trHeight w:val="918"/>
        </w:trPr>
        <w:tc>
          <w:tcPr>
            <w:tcW w:w="680" w:type="dxa"/>
            <w:tcBorders>
              <w:top w:val="single" w:sz="4" w:space="0" w:color="auto"/>
            </w:tcBorders>
            <w:vAlign w:val="center"/>
          </w:tcPr>
          <w:p w14:paraId="3F4BFA45" w14:textId="7BB46E5E" w:rsidR="00C963E7" w:rsidRPr="00B00FB8" w:rsidRDefault="00C963E7" w:rsidP="00D87C28">
            <w:pPr>
              <w:jc w:val="center"/>
              <w:rPr>
                <w:rFonts w:ascii="Times New Roman" w:hAnsi="Times New Roman" w:cs="Times New Roman"/>
                <w:b/>
                <w:bCs/>
                <w:sz w:val="24"/>
                <w:szCs w:val="24"/>
              </w:rPr>
            </w:pPr>
            <w:r w:rsidRPr="00B00FB8">
              <w:rPr>
                <w:rFonts w:ascii="Times New Roman" w:hAnsi="Times New Roman" w:cs="Times New Roman"/>
                <w:b/>
                <w:bCs/>
                <w:sz w:val="24"/>
                <w:szCs w:val="24"/>
              </w:rPr>
              <w:t>Eil. Nr.</w:t>
            </w:r>
          </w:p>
        </w:tc>
        <w:tc>
          <w:tcPr>
            <w:tcW w:w="1985" w:type="dxa"/>
            <w:tcBorders>
              <w:top w:val="single" w:sz="4" w:space="0" w:color="auto"/>
            </w:tcBorders>
            <w:vAlign w:val="center"/>
          </w:tcPr>
          <w:p w14:paraId="60CCF09F" w14:textId="53FAF51F" w:rsidR="00C963E7" w:rsidRPr="00B00FB8" w:rsidRDefault="00C963E7" w:rsidP="00D87C28">
            <w:pPr>
              <w:jc w:val="center"/>
              <w:rPr>
                <w:rFonts w:ascii="Times New Roman" w:eastAsia="Calibri" w:hAnsi="Times New Roman" w:cs="Times New Roman"/>
                <w:b/>
                <w:sz w:val="24"/>
                <w:szCs w:val="24"/>
              </w:rPr>
            </w:pPr>
            <w:r w:rsidRPr="00B00FB8">
              <w:rPr>
                <w:rFonts w:ascii="Times New Roman" w:eastAsia="Calibri" w:hAnsi="Times New Roman" w:cs="Times New Roman"/>
                <w:b/>
                <w:sz w:val="24"/>
                <w:szCs w:val="24"/>
              </w:rPr>
              <w:t>Institucijos pavadinimas, rašto data ir numeris</w:t>
            </w:r>
          </w:p>
        </w:tc>
        <w:tc>
          <w:tcPr>
            <w:tcW w:w="8100" w:type="dxa"/>
            <w:tcBorders>
              <w:top w:val="single" w:sz="4" w:space="0" w:color="auto"/>
            </w:tcBorders>
            <w:vAlign w:val="center"/>
          </w:tcPr>
          <w:p w14:paraId="3137EF83" w14:textId="5D9A9288" w:rsidR="00C963E7" w:rsidRPr="00B00FB8" w:rsidRDefault="00C963E7" w:rsidP="00D87C28">
            <w:pPr>
              <w:jc w:val="center"/>
              <w:rPr>
                <w:rFonts w:ascii="Times New Roman" w:eastAsia="Calibri" w:hAnsi="Times New Roman" w:cs="Times New Roman"/>
                <w:b/>
                <w:sz w:val="24"/>
                <w:szCs w:val="24"/>
              </w:rPr>
            </w:pPr>
            <w:r w:rsidRPr="00B00FB8">
              <w:rPr>
                <w:rFonts w:ascii="Times New Roman" w:eastAsia="Calibri" w:hAnsi="Times New Roman" w:cs="Times New Roman"/>
                <w:b/>
                <w:sz w:val="24"/>
                <w:szCs w:val="24"/>
              </w:rPr>
              <w:t>Pastabos ir pasiūlymai</w:t>
            </w:r>
          </w:p>
        </w:tc>
        <w:tc>
          <w:tcPr>
            <w:tcW w:w="4799" w:type="dxa"/>
            <w:tcBorders>
              <w:top w:val="single" w:sz="4" w:space="0" w:color="auto"/>
            </w:tcBorders>
            <w:vAlign w:val="center"/>
          </w:tcPr>
          <w:p w14:paraId="49EC2FB5" w14:textId="0DF4574E" w:rsidR="00C963E7" w:rsidRPr="00B00FB8" w:rsidRDefault="00C963E7" w:rsidP="00D87C28">
            <w:pPr>
              <w:jc w:val="center"/>
              <w:rPr>
                <w:rFonts w:ascii="Times New Roman" w:eastAsia="Calibri" w:hAnsi="Times New Roman" w:cs="Times New Roman"/>
                <w:b/>
                <w:sz w:val="24"/>
                <w:szCs w:val="24"/>
              </w:rPr>
            </w:pPr>
            <w:r w:rsidRPr="00B00FB8">
              <w:rPr>
                <w:rFonts w:ascii="Times New Roman" w:eastAsia="Calibri" w:hAnsi="Times New Roman" w:cs="Times New Roman"/>
                <w:b/>
                <w:sz w:val="24"/>
                <w:szCs w:val="24"/>
              </w:rPr>
              <w:t>Argumentai, kodėl į pastabas ir pasiūlymus neatsižvelgta arba atsižvelgta iš dalies</w:t>
            </w:r>
          </w:p>
        </w:tc>
      </w:tr>
      <w:tr w:rsidR="00C963E7" w:rsidRPr="00B00FB8" w14:paraId="0942E87C" w14:textId="77777777" w:rsidTr="57F7F71C">
        <w:trPr>
          <w:trHeight w:val="918"/>
        </w:trPr>
        <w:tc>
          <w:tcPr>
            <w:tcW w:w="680" w:type="dxa"/>
            <w:vAlign w:val="center"/>
          </w:tcPr>
          <w:p w14:paraId="1E007155" w14:textId="0FBA9557"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t>1</w:t>
            </w:r>
            <w:r w:rsidRPr="00B00FB8">
              <w:rPr>
                <w:rFonts w:ascii="Times New Roman" w:hAnsi="Times New Roman" w:cs="Times New Roman"/>
                <w:bCs/>
                <w:sz w:val="24"/>
                <w:szCs w:val="24"/>
              </w:rPr>
              <w:t>.</w:t>
            </w:r>
          </w:p>
        </w:tc>
        <w:tc>
          <w:tcPr>
            <w:tcW w:w="1985" w:type="dxa"/>
            <w:vAlign w:val="center"/>
          </w:tcPr>
          <w:p w14:paraId="12087E1B" w14:textId="2E3E3137" w:rsidR="00C963E7" w:rsidRPr="001743E4" w:rsidRDefault="00C963E7" w:rsidP="00D87C28">
            <w:pPr>
              <w:jc w:val="center"/>
              <w:rPr>
                <w:rFonts w:ascii="Times New Roman" w:eastAsia="Calibri" w:hAnsi="Times New Roman" w:cs="Times New Roman"/>
                <w:sz w:val="24"/>
                <w:szCs w:val="24"/>
              </w:rPr>
            </w:pPr>
            <w:r w:rsidRPr="001743E4">
              <w:rPr>
                <w:rFonts w:ascii="Times New Roman" w:eastAsia="Calibri" w:hAnsi="Times New Roman" w:cs="Times New Roman"/>
                <w:sz w:val="24"/>
                <w:szCs w:val="24"/>
              </w:rPr>
              <w:t>Finansų ministerijos 2021 m. balandžio 22 d. raštas Nr. 6K-2102667</w:t>
            </w:r>
          </w:p>
        </w:tc>
        <w:tc>
          <w:tcPr>
            <w:tcW w:w="8100" w:type="dxa"/>
            <w:vAlign w:val="center"/>
          </w:tcPr>
          <w:p w14:paraId="6ADA9C6F" w14:textId="150F4C2D" w:rsidR="00C963E7" w:rsidRPr="00B00FB8" w:rsidRDefault="00C963E7" w:rsidP="003B55F2">
            <w:pPr>
              <w:jc w:val="both"/>
              <w:rPr>
                <w:rFonts w:ascii="Times New Roman" w:eastAsia="Calibri" w:hAnsi="Times New Roman" w:cs="Times New Roman"/>
                <w:sz w:val="24"/>
                <w:szCs w:val="24"/>
              </w:rPr>
            </w:pPr>
            <w:r w:rsidRPr="00B00FB8">
              <w:rPr>
                <w:rFonts w:ascii="Times New Roman" w:eastAsia="Calibri" w:hAnsi="Times New Roman" w:cs="Times New Roman"/>
                <w:sz w:val="24"/>
                <w:szCs w:val="24"/>
              </w:rPr>
              <w:t>Įstatymo projekte nustatyta, kad trijų metų</w:t>
            </w:r>
            <w:r>
              <w:rPr>
                <w:rFonts w:ascii="Times New Roman" w:eastAsia="Calibri" w:hAnsi="Times New Roman" w:cs="Times New Roman"/>
                <w:sz w:val="24"/>
                <w:szCs w:val="24"/>
              </w:rPr>
              <w:t xml:space="preserve"> Klimato kaitos programos (toliau –  Programa)</w:t>
            </w:r>
            <w:r w:rsidRPr="00B00FB8">
              <w:rPr>
                <w:rFonts w:ascii="Times New Roman" w:eastAsia="Calibri" w:hAnsi="Times New Roman" w:cs="Times New Roman"/>
                <w:sz w:val="24"/>
                <w:szCs w:val="24"/>
              </w:rPr>
              <w:t xml:space="preserve"> investicijų planus tvirtins Lietuvos Respublikos Vyriausybė, suderinusi su Lietuvos Respublikos Seimo Aplinkos apsaugos komitetu ir kitomis suinteresuotomis institucijomis bei visuomene. Pažymime, kad procesas iš esmės atitinka Plėtros programos rengimo ir derinimo procesą, dėl to siūlome nekurti lygiagrečių investicijų planų, o viską strategiškai, pagrįstai ir parodant papildomumą planuoti rengiamose Plėtros programose.</w:t>
            </w:r>
          </w:p>
        </w:tc>
        <w:tc>
          <w:tcPr>
            <w:tcW w:w="4799" w:type="dxa"/>
            <w:vAlign w:val="center"/>
          </w:tcPr>
          <w:p w14:paraId="5FB04B3A" w14:textId="3A40A410" w:rsidR="00C963E7" w:rsidRPr="00B00FB8" w:rsidRDefault="00C963E7" w:rsidP="21E8D1A7">
            <w:pPr>
              <w:jc w:val="both"/>
              <w:rPr>
                <w:rFonts w:ascii="Times New Roman" w:eastAsia="Calibri" w:hAnsi="Times New Roman" w:cs="Times New Roman"/>
                <w:sz w:val="24"/>
                <w:szCs w:val="24"/>
              </w:rPr>
            </w:pPr>
            <w:r w:rsidRPr="00B00FB8">
              <w:rPr>
                <w:rFonts w:ascii="Times New Roman" w:eastAsia="Calibri" w:hAnsi="Times New Roman" w:cs="Times New Roman"/>
                <w:b/>
                <w:bCs/>
                <w:sz w:val="24"/>
                <w:szCs w:val="24"/>
              </w:rPr>
              <w:t>Neatsižvelgta.</w:t>
            </w:r>
            <w:r w:rsidR="00095741">
              <w:rPr>
                <w:rFonts w:ascii="Times New Roman" w:eastAsia="Calibri" w:hAnsi="Times New Roman" w:cs="Times New Roman"/>
                <w:sz w:val="24"/>
                <w:szCs w:val="24"/>
              </w:rPr>
              <w:t xml:space="preserve"> </w:t>
            </w:r>
            <w:r w:rsidRPr="00B00FB8">
              <w:rPr>
                <w:rFonts w:ascii="Times New Roman" w:eastAsia="Calibri" w:hAnsi="Times New Roman" w:cs="Times New Roman"/>
                <w:sz w:val="24"/>
                <w:szCs w:val="24"/>
              </w:rPr>
              <w:t xml:space="preserve"> Programos finansavimo sritys ir priemonės yra siauresnės ir detalesnės</w:t>
            </w:r>
            <w:r>
              <w:rPr>
                <w:rFonts w:ascii="Times New Roman" w:eastAsia="Calibri" w:hAnsi="Times New Roman" w:cs="Times New Roman"/>
                <w:sz w:val="24"/>
                <w:szCs w:val="24"/>
              </w:rPr>
              <w:t>,</w:t>
            </w:r>
            <w:r w:rsidRPr="00B00FB8">
              <w:rPr>
                <w:rFonts w:ascii="Times New Roman" w:eastAsia="Calibri" w:hAnsi="Times New Roman" w:cs="Times New Roman"/>
                <w:sz w:val="24"/>
                <w:szCs w:val="24"/>
              </w:rPr>
              <w:t xml:space="preserve"> negu Plėtros programose nurodomos veiklos ir strateginiai tikslai. Kadangi lėšos į Programą gaunamos vykdant apyvartinių taršos leidimų pardavimus aukcionuose, todėl nėra žinoma tiksli pajamų suma. Šiuo atžvilgiu sudėtinga suplanuoti tikslias lėšas, esant detalesniam Programos planavimui</w:t>
            </w:r>
            <w:r w:rsidR="00095741">
              <w:rPr>
                <w:rFonts w:ascii="Times New Roman" w:eastAsia="Calibri" w:hAnsi="Times New Roman" w:cs="Times New Roman"/>
                <w:sz w:val="24"/>
                <w:szCs w:val="24"/>
              </w:rPr>
              <w:t xml:space="preserve"> investicijų planuose</w:t>
            </w:r>
            <w:r w:rsidRPr="00B00FB8">
              <w:rPr>
                <w:rFonts w:ascii="Times New Roman" w:eastAsia="Calibri" w:hAnsi="Times New Roman" w:cs="Times New Roman"/>
                <w:sz w:val="24"/>
                <w:szCs w:val="24"/>
              </w:rPr>
              <w:t>, bus galima numatyti tikslesnes lėšas priemonei ir jas keisti, esant poreikiui.</w:t>
            </w:r>
          </w:p>
        </w:tc>
      </w:tr>
      <w:tr w:rsidR="00C963E7" w:rsidRPr="00B00FB8" w14:paraId="7EAE2569" w14:textId="77777777" w:rsidTr="57F7F71C">
        <w:trPr>
          <w:trHeight w:val="918"/>
        </w:trPr>
        <w:tc>
          <w:tcPr>
            <w:tcW w:w="680" w:type="dxa"/>
            <w:vAlign w:val="center"/>
          </w:tcPr>
          <w:p w14:paraId="44D09F8A" w14:textId="0D16B95A"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t>2</w:t>
            </w:r>
            <w:r w:rsidRPr="00B00FB8">
              <w:rPr>
                <w:rFonts w:ascii="Times New Roman" w:hAnsi="Times New Roman" w:cs="Times New Roman"/>
                <w:bCs/>
                <w:sz w:val="24"/>
                <w:szCs w:val="24"/>
              </w:rPr>
              <w:t>.</w:t>
            </w:r>
          </w:p>
        </w:tc>
        <w:tc>
          <w:tcPr>
            <w:tcW w:w="1985" w:type="dxa"/>
            <w:vMerge w:val="restart"/>
            <w:vAlign w:val="center"/>
          </w:tcPr>
          <w:p w14:paraId="12854F05" w14:textId="213B06D1" w:rsidR="00C963E7" w:rsidRPr="00B00FB8" w:rsidRDefault="00C963E7" w:rsidP="00D87C28">
            <w:pPr>
              <w:jc w:val="center"/>
              <w:rPr>
                <w:rFonts w:ascii="Times New Roman" w:eastAsia="Calibri" w:hAnsi="Times New Roman" w:cs="Times New Roman"/>
                <w:sz w:val="24"/>
                <w:szCs w:val="24"/>
              </w:rPr>
            </w:pPr>
            <w:r w:rsidRPr="00B00FB8">
              <w:rPr>
                <w:rFonts w:ascii="Times New Roman" w:eastAsia="Calibri" w:hAnsi="Times New Roman" w:cs="Times New Roman"/>
                <w:sz w:val="24"/>
                <w:szCs w:val="24"/>
              </w:rPr>
              <w:t xml:space="preserve">Ekonomikos ir inovacijų ministerijos 2021 m. balandžio 28  </w:t>
            </w:r>
            <w:r w:rsidRPr="00B00FB8">
              <w:rPr>
                <w:rFonts w:ascii="Times New Roman" w:eastAsia="Calibri" w:hAnsi="Times New Roman" w:cs="Times New Roman"/>
                <w:sz w:val="24"/>
                <w:szCs w:val="24"/>
              </w:rPr>
              <w:lastRenderedPageBreak/>
              <w:t xml:space="preserve">d. Nr. </w:t>
            </w:r>
            <w:r w:rsidR="00DA78ED">
              <w:rPr>
                <w:rFonts w:ascii="Times New Roman" w:eastAsia="Calibri" w:hAnsi="Times New Roman" w:cs="Times New Roman"/>
                <w:sz w:val="24"/>
                <w:szCs w:val="24"/>
              </w:rPr>
              <w:t>3-1997</w:t>
            </w:r>
            <w:r w:rsidRPr="00B00FB8">
              <w:rPr>
                <w:rFonts w:ascii="Times New Roman" w:eastAsia="Calibri" w:hAnsi="Times New Roman" w:cs="Times New Roman"/>
                <w:sz w:val="24"/>
                <w:szCs w:val="24"/>
              </w:rPr>
              <w:t xml:space="preserve"> raštas</w:t>
            </w:r>
          </w:p>
        </w:tc>
        <w:tc>
          <w:tcPr>
            <w:tcW w:w="8100" w:type="dxa"/>
            <w:vAlign w:val="center"/>
          </w:tcPr>
          <w:p w14:paraId="1F353D26" w14:textId="789E3CC2" w:rsidR="00C963E7" w:rsidRPr="00B00FB8" w:rsidRDefault="00C963E7" w:rsidP="003B55F2">
            <w:pPr>
              <w:jc w:val="both"/>
              <w:rPr>
                <w:rFonts w:ascii="Times New Roman" w:eastAsia="Calibri" w:hAnsi="Times New Roman" w:cs="Times New Roman"/>
                <w:sz w:val="24"/>
                <w:szCs w:val="24"/>
              </w:rPr>
            </w:pPr>
            <w:r w:rsidRPr="639E307C">
              <w:rPr>
                <w:rFonts w:ascii="Times New Roman" w:eastAsia="Calibri" w:hAnsi="Times New Roman" w:cs="Times New Roman"/>
                <w:sz w:val="24"/>
                <w:szCs w:val="24"/>
              </w:rPr>
              <w:lastRenderedPageBreak/>
              <w:t>Siekiant teisinio aiškumo ir apibrėžtumo, siūlome papildyti Įstatymo projekto 2 straipsnį (Pagrindinės  šio įstatymo sąvokos) įtraukiant sąvoką „klimato krizė“</w:t>
            </w:r>
          </w:p>
        </w:tc>
        <w:tc>
          <w:tcPr>
            <w:tcW w:w="4799" w:type="dxa"/>
            <w:vAlign w:val="center"/>
          </w:tcPr>
          <w:p w14:paraId="58779579" w14:textId="4E0ED040" w:rsidR="00C963E7" w:rsidRPr="00B00FB8" w:rsidRDefault="00C963E7" w:rsidP="639E307C">
            <w:pPr>
              <w:jc w:val="both"/>
              <w:rPr>
                <w:rFonts w:ascii="Times New Roman" w:eastAsia="Calibri" w:hAnsi="Times New Roman" w:cs="Times New Roman"/>
                <w:b/>
                <w:bCs/>
                <w:sz w:val="24"/>
                <w:szCs w:val="24"/>
              </w:rPr>
            </w:pPr>
            <w:r w:rsidRPr="639E307C">
              <w:rPr>
                <w:rFonts w:ascii="Times New Roman" w:eastAsia="Calibri" w:hAnsi="Times New Roman" w:cs="Times New Roman"/>
                <w:b/>
                <w:bCs/>
                <w:sz w:val="24"/>
                <w:szCs w:val="24"/>
              </w:rPr>
              <w:t>Neatsižvelgta</w:t>
            </w:r>
            <w:r w:rsidRPr="639E307C">
              <w:rPr>
                <w:rFonts w:ascii="Times New Roman" w:eastAsia="Calibri" w:hAnsi="Times New Roman" w:cs="Times New Roman"/>
                <w:sz w:val="24"/>
                <w:szCs w:val="24"/>
              </w:rPr>
              <w:t xml:space="preserve">. Pažymėtina, kad terminai „klimato krizė“ ir „klimato kaita“ plačiai  naudojami tiek tarptautiniuose, tiek ES dokumentuose ir yra visuotinai priimti, todėl manome, kad nėra būtinybės šias sąvokas </w:t>
            </w:r>
            <w:r w:rsidRPr="639E307C">
              <w:rPr>
                <w:rFonts w:ascii="Times New Roman" w:eastAsia="Calibri" w:hAnsi="Times New Roman" w:cs="Times New Roman"/>
                <w:sz w:val="24"/>
                <w:szCs w:val="24"/>
              </w:rPr>
              <w:lastRenderedPageBreak/>
              <w:t xml:space="preserve">apibrėžti įstatymo projekte. </w:t>
            </w:r>
          </w:p>
        </w:tc>
      </w:tr>
      <w:tr w:rsidR="00C963E7" w:rsidRPr="00B00FB8" w14:paraId="0DE0CC0A" w14:textId="77777777" w:rsidTr="57F7F71C">
        <w:trPr>
          <w:trHeight w:val="918"/>
        </w:trPr>
        <w:tc>
          <w:tcPr>
            <w:tcW w:w="680" w:type="dxa"/>
            <w:vAlign w:val="center"/>
          </w:tcPr>
          <w:p w14:paraId="57DD3632" w14:textId="6BDB1261"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lastRenderedPageBreak/>
              <w:t>3</w:t>
            </w:r>
            <w:r w:rsidRPr="00B00FB8">
              <w:rPr>
                <w:rFonts w:ascii="Times New Roman" w:hAnsi="Times New Roman" w:cs="Times New Roman"/>
                <w:bCs/>
                <w:sz w:val="24"/>
                <w:szCs w:val="24"/>
              </w:rPr>
              <w:t>.</w:t>
            </w:r>
          </w:p>
        </w:tc>
        <w:tc>
          <w:tcPr>
            <w:tcW w:w="1985" w:type="dxa"/>
            <w:vMerge/>
            <w:vAlign w:val="center"/>
          </w:tcPr>
          <w:p w14:paraId="5C751180" w14:textId="77777777" w:rsidR="00C963E7" w:rsidRPr="00B00FB8" w:rsidRDefault="00C963E7" w:rsidP="00D87C28">
            <w:pPr>
              <w:jc w:val="center"/>
              <w:rPr>
                <w:rFonts w:ascii="Times New Roman" w:eastAsia="Calibri" w:hAnsi="Times New Roman" w:cs="Times New Roman"/>
                <w:b/>
                <w:sz w:val="24"/>
                <w:szCs w:val="24"/>
              </w:rPr>
            </w:pPr>
          </w:p>
        </w:tc>
        <w:tc>
          <w:tcPr>
            <w:tcW w:w="8100" w:type="dxa"/>
            <w:vAlign w:val="center"/>
          </w:tcPr>
          <w:p w14:paraId="122D4693" w14:textId="38F8AA01" w:rsidR="00C963E7" w:rsidRPr="00B00FB8" w:rsidRDefault="00C963E7" w:rsidP="00535061">
            <w:pPr>
              <w:jc w:val="both"/>
              <w:rPr>
                <w:rFonts w:ascii="Times New Roman" w:eastAsia="Calibri" w:hAnsi="Times New Roman" w:cs="Times New Roman"/>
                <w:sz w:val="24"/>
                <w:szCs w:val="24"/>
              </w:rPr>
            </w:pPr>
            <w:r w:rsidRPr="00B00FB8">
              <w:rPr>
                <w:rFonts w:ascii="Times New Roman" w:eastAsia="Calibri" w:hAnsi="Times New Roman" w:cs="Times New Roman"/>
                <w:sz w:val="24"/>
                <w:szCs w:val="24"/>
              </w:rPr>
              <w:t xml:space="preserve">Siūlome patikslinti įstatymo projektu keičiamo 3 straipsnio 3 dalį, kadangi dabartinė formuluotė gali būti suprantama skirtingai dėl nacionalinės klimato krizės plano prilyginimo Nacionaliniam energetikos ir klimato srities veiksmų planui.    </w:t>
            </w:r>
          </w:p>
        </w:tc>
        <w:tc>
          <w:tcPr>
            <w:tcW w:w="4799" w:type="dxa"/>
            <w:vAlign w:val="center"/>
          </w:tcPr>
          <w:p w14:paraId="6DF93E88" w14:textId="1B1589D5" w:rsidR="00C963E7" w:rsidRPr="00B00FB8" w:rsidRDefault="00C963E7" w:rsidP="00E234DD">
            <w:pPr>
              <w:jc w:val="both"/>
              <w:rPr>
                <w:rFonts w:ascii="Times New Roman" w:eastAsia="Calibri" w:hAnsi="Times New Roman" w:cs="Times New Roman"/>
                <w:b/>
                <w:sz w:val="24"/>
                <w:szCs w:val="24"/>
              </w:rPr>
            </w:pPr>
            <w:r w:rsidRPr="00B00FB8">
              <w:rPr>
                <w:rFonts w:ascii="Times New Roman" w:eastAsia="Calibri" w:hAnsi="Times New Roman" w:cs="Times New Roman"/>
                <w:b/>
                <w:sz w:val="24"/>
                <w:szCs w:val="24"/>
              </w:rPr>
              <w:t>Neatsižvelgta</w:t>
            </w:r>
            <w:r w:rsidRPr="00B00FB8">
              <w:rPr>
                <w:rFonts w:ascii="Times New Roman" w:eastAsia="Calibri" w:hAnsi="Times New Roman" w:cs="Times New Roman"/>
                <w:sz w:val="24"/>
                <w:szCs w:val="24"/>
              </w:rPr>
              <w:t>. Įstatymo projekto 3 straipsnio 3 dalyje detalizuojama, kad pagal Strateginio valdymo įstatymo 7 str. nacionalinės darbotvarkės planu laikomas Nacionalinis energetikos ir klimato srities veiksmų planas.</w:t>
            </w:r>
          </w:p>
        </w:tc>
      </w:tr>
      <w:tr w:rsidR="00C963E7" w:rsidRPr="00B00FB8" w14:paraId="73B80ABC" w14:textId="77777777" w:rsidTr="57F7F71C">
        <w:trPr>
          <w:trHeight w:val="918"/>
        </w:trPr>
        <w:tc>
          <w:tcPr>
            <w:tcW w:w="680" w:type="dxa"/>
            <w:vAlign w:val="center"/>
          </w:tcPr>
          <w:p w14:paraId="14D698B3" w14:textId="5EA6A283"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t>4</w:t>
            </w:r>
            <w:r w:rsidRPr="00B00FB8">
              <w:rPr>
                <w:rFonts w:ascii="Times New Roman" w:hAnsi="Times New Roman" w:cs="Times New Roman"/>
                <w:bCs/>
                <w:sz w:val="24"/>
                <w:szCs w:val="24"/>
              </w:rPr>
              <w:t>.</w:t>
            </w:r>
          </w:p>
        </w:tc>
        <w:tc>
          <w:tcPr>
            <w:tcW w:w="1985" w:type="dxa"/>
            <w:vMerge w:val="restart"/>
            <w:vAlign w:val="center"/>
          </w:tcPr>
          <w:p w14:paraId="07ACC9D2" w14:textId="2341753A" w:rsidR="00C963E7" w:rsidRPr="00B00FB8" w:rsidRDefault="00C963E7" w:rsidP="00D87C28">
            <w:pPr>
              <w:jc w:val="center"/>
              <w:rPr>
                <w:rFonts w:ascii="Times New Roman" w:eastAsia="Calibri" w:hAnsi="Times New Roman" w:cs="Times New Roman"/>
                <w:sz w:val="24"/>
                <w:szCs w:val="24"/>
              </w:rPr>
            </w:pPr>
            <w:r w:rsidRPr="00B00FB8">
              <w:rPr>
                <w:rFonts w:ascii="Times New Roman" w:eastAsia="Calibri" w:hAnsi="Times New Roman" w:cs="Times New Roman"/>
                <w:sz w:val="24"/>
                <w:szCs w:val="24"/>
              </w:rPr>
              <w:t xml:space="preserve">Teisingumo ministerijos 2021 m. balandžio 29 d. </w:t>
            </w:r>
            <w:r w:rsidR="00DA78ED">
              <w:rPr>
                <w:rFonts w:ascii="Times New Roman" w:eastAsia="Calibri" w:hAnsi="Times New Roman" w:cs="Times New Roman"/>
                <w:sz w:val="24"/>
                <w:szCs w:val="24"/>
              </w:rPr>
              <w:t xml:space="preserve">Nr. </w:t>
            </w:r>
            <w:r w:rsidRPr="00B00FB8">
              <w:rPr>
                <w:rFonts w:ascii="Times New Roman" w:eastAsia="Calibri" w:hAnsi="Times New Roman" w:cs="Times New Roman"/>
                <w:sz w:val="24"/>
                <w:szCs w:val="24"/>
              </w:rPr>
              <w:t xml:space="preserve">(1.6Mr) 2T-406 raštas </w:t>
            </w:r>
          </w:p>
        </w:tc>
        <w:tc>
          <w:tcPr>
            <w:tcW w:w="8100" w:type="dxa"/>
            <w:vAlign w:val="center"/>
          </w:tcPr>
          <w:p w14:paraId="0AC73903" w14:textId="34893D51" w:rsidR="00C963E7" w:rsidRPr="00B00FB8" w:rsidRDefault="00C963E7" w:rsidP="003B55F2">
            <w:pPr>
              <w:jc w:val="both"/>
              <w:rPr>
                <w:rFonts w:ascii="Times New Roman" w:eastAsia="Calibri" w:hAnsi="Times New Roman" w:cs="Times New Roman"/>
                <w:sz w:val="24"/>
                <w:szCs w:val="24"/>
              </w:rPr>
            </w:pPr>
            <w:r w:rsidRPr="00B00FB8">
              <w:rPr>
                <w:rFonts w:ascii="Times New Roman" w:eastAsia="Calibri" w:hAnsi="Times New Roman" w:cs="Times New Roman"/>
                <w:sz w:val="24"/>
                <w:szCs w:val="24"/>
              </w:rPr>
              <w:t>Atsižvelgiant į Įstatymo 8 str. 5 d. ribojimą, pagal kurį būtų draudžiama disponuoti Sąjungos registre veiklos vykdytojo ir (ar) orlaivių naudotojo sąskaitoje turimais apyvartiniais taršos leidimais, kurie buvo paskirti nemokamai, kai veiklos vykdytojui ir (ar) orlaivio naudotojui iškeliama </w:t>
            </w:r>
            <w:r w:rsidRPr="00B00FB8">
              <w:rPr>
                <w:rFonts w:ascii="Times New Roman" w:eastAsia="Calibri" w:hAnsi="Times New Roman" w:cs="Times New Roman"/>
                <w:i/>
                <w:iCs/>
                <w:sz w:val="24"/>
                <w:szCs w:val="24"/>
              </w:rPr>
              <w:t>bankroto byla</w:t>
            </w:r>
            <w:r w:rsidRPr="00B00FB8">
              <w:rPr>
                <w:rFonts w:ascii="Times New Roman" w:eastAsia="Calibri" w:hAnsi="Times New Roman" w:cs="Times New Roman"/>
                <w:sz w:val="24"/>
                <w:szCs w:val="24"/>
              </w:rPr>
              <w:t>, manytina, kad Įstatymo projektą reikėtų pildyti pereinamojo pobūdžio nuostatomis, aptariant šios normos taikymą (netaikymą) iki Įstatymo projekto įsigaliojimo pradėtoms bankroto procedūroms/asmenų teisėms ir pareigoms.  </w:t>
            </w:r>
          </w:p>
        </w:tc>
        <w:tc>
          <w:tcPr>
            <w:tcW w:w="4799" w:type="dxa"/>
            <w:vAlign w:val="center"/>
          </w:tcPr>
          <w:p w14:paraId="394F2246" w14:textId="04E0534E" w:rsidR="00C963E7" w:rsidRPr="00B00FB8" w:rsidRDefault="00C963E7" w:rsidP="3DEDC4AF">
            <w:pPr>
              <w:jc w:val="both"/>
              <w:rPr>
                <w:rFonts w:ascii="Times New Roman" w:eastAsia="Calibri" w:hAnsi="Times New Roman" w:cs="Times New Roman"/>
                <w:sz w:val="24"/>
                <w:szCs w:val="24"/>
              </w:rPr>
            </w:pPr>
            <w:r w:rsidRPr="3DEDC4AF">
              <w:rPr>
                <w:rFonts w:ascii="Times New Roman" w:eastAsia="Calibri" w:hAnsi="Times New Roman" w:cs="Times New Roman"/>
                <w:b/>
                <w:bCs/>
                <w:sz w:val="24"/>
                <w:szCs w:val="24"/>
              </w:rPr>
              <w:t xml:space="preserve">Neatsižvelgta. </w:t>
            </w:r>
            <w:r w:rsidRPr="3DEDC4AF">
              <w:rPr>
                <w:rFonts w:ascii="Times New Roman" w:eastAsia="Calibri" w:hAnsi="Times New Roman" w:cs="Times New Roman"/>
                <w:sz w:val="24"/>
                <w:szCs w:val="24"/>
              </w:rPr>
              <w:t xml:space="preserve">Praktikoje pasitaikantys atvejai, kai bankrutuojančios įmonės neatsiskaito </w:t>
            </w:r>
            <w:r>
              <w:rPr>
                <w:rFonts w:ascii="Times New Roman" w:eastAsia="Calibri" w:hAnsi="Times New Roman" w:cs="Times New Roman"/>
                <w:sz w:val="24"/>
                <w:szCs w:val="24"/>
              </w:rPr>
              <w:t xml:space="preserve">už </w:t>
            </w:r>
            <w:r w:rsidRPr="3DEDC4AF">
              <w:rPr>
                <w:rFonts w:ascii="Times New Roman" w:eastAsia="Calibri" w:hAnsi="Times New Roman" w:cs="Times New Roman"/>
                <w:sz w:val="24"/>
                <w:szCs w:val="24"/>
              </w:rPr>
              <w:t>atitinkam</w:t>
            </w:r>
            <w:r>
              <w:rPr>
                <w:rFonts w:ascii="Times New Roman" w:eastAsia="Calibri" w:hAnsi="Times New Roman" w:cs="Times New Roman"/>
                <w:sz w:val="24"/>
                <w:szCs w:val="24"/>
              </w:rPr>
              <w:t>ą</w:t>
            </w:r>
            <w:r w:rsidRPr="3DEDC4AF">
              <w:rPr>
                <w:rFonts w:ascii="Times New Roman" w:eastAsia="Calibri" w:hAnsi="Times New Roman" w:cs="Times New Roman"/>
                <w:sz w:val="24"/>
                <w:szCs w:val="24"/>
              </w:rPr>
              <w:t xml:space="preserve"> kiek</w:t>
            </w:r>
            <w:r>
              <w:rPr>
                <w:rFonts w:ascii="Times New Roman" w:eastAsia="Calibri" w:hAnsi="Times New Roman" w:cs="Times New Roman"/>
                <w:sz w:val="24"/>
                <w:szCs w:val="24"/>
              </w:rPr>
              <w:t>į</w:t>
            </w:r>
            <w:r w:rsidRPr="3DEDC4AF">
              <w:rPr>
                <w:rFonts w:ascii="Times New Roman" w:eastAsia="Calibri" w:hAnsi="Times New Roman" w:cs="Times New Roman"/>
                <w:sz w:val="24"/>
                <w:szCs w:val="24"/>
              </w:rPr>
              <w:t xml:space="preserve"> apyvartinių taršos leidimų už išmestą šiltnamio efektą sukeliančių dujų kiekį, sąlygoja veiklos vykdytojo Sąjungos registre turimos sąskaitos blokavimą pagal Komisijos deleguotojo reglamento 2019/1122 32 straipsnio nuostatas. Kadangi sąskaitoje yra laikomi nemokamai suteikti ATL, jų panaudojimas tampa galimas tik tuo atveju, kai yra atsiskaitoma už išmestą ŠESD kiekį.</w:t>
            </w:r>
          </w:p>
          <w:p w14:paraId="17E2D2A7" w14:textId="4556383B" w:rsidR="00C963E7" w:rsidRPr="00B00FB8" w:rsidRDefault="00C963E7" w:rsidP="3DEDC4AF">
            <w:pPr>
              <w:jc w:val="both"/>
              <w:rPr>
                <w:rFonts w:ascii="Times New Roman" w:eastAsia="Calibri" w:hAnsi="Times New Roman" w:cs="Times New Roman"/>
                <w:sz w:val="24"/>
                <w:szCs w:val="24"/>
              </w:rPr>
            </w:pPr>
            <w:r w:rsidRPr="639E307C">
              <w:rPr>
                <w:rFonts w:ascii="Times New Roman" w:eastAsia="Calibri" w:hAnsi="Times New Roman" w:cs="Times New Roman"/>
                <w:sz w:val="24"/>
                <w:szCs w:val="24"/>
              </w:rPr>
              <w:t>Todėl esamoje situacijoje siūlomas reguliavimas iš dalies jau yra įgyvendinamas, tačiau praktikoje faktiškai apie bankroto atvejus sužinoma iki kiekvienų metu vasario 10 d.</w:t>
            </w:r>
            <w:r>
              <w:rPr>
                <w:rFonts w:ascii="Times New Roman" w:eastAsia="Calibri" w:hAnsi="Times New Roman" w:cs="Times New Roman"/>
                <w:sz w:val="24"/>
                <w:szCs w:val="24"/>
              </w:rPr>
              <w:t>,</w:t>
            </w:r>
            <w:r w:rsidRPr="639E307C">
              <w:rPr>
                <w:rFonts w:ascii="Times New Roman" w:eastAsia="Calibri" w:hAnsi="Times New Roman" w:cs="Times New Roman"/>
                <w:sz w:val="24"/>
                <w:szCs w:val="24"/>
              </w:rPr>
              <w:t xml:space="preserve"> kai yra gaunamos/negaunamos ES ATL prekybos sistemoje dalyvaujančių veiklos vykdytojų veiklos lygio duomenų ataskaitos. Jei bankroto atvejai yra pradedami po šios </w:t>
            </w:r>
            <w:r w:rsidRPr="639E307C">
              <w:rPr>
                <w:rFonts w:ascii="Times New Roman" w:eastAsia="Calibri" w:hAnsi="Times New Roman" w:cs="Times New Roman"/>
                <w:sz w:val="24"/>
                <w:szCs w:val="24"/>
              </w:rPr>
              <w:lastRenderedPageBreak/>
              <w:t>datos, apie juos dažniausiai sužinoma tik kitų metų vasario 10 d. Todėl siekiant užtikrinti, kad bankroto atveju nemokamai skirti apyvartiniai taršos leidimai būtų naudojami atsiskaitant už išmestą ŠESD kiekį, būtinas veiklos vykdytojo sąskaitos apribojimas iš karto gavus pranešimą apie vykdomą bankroto procedūrą ar šią informaciją radus juridinių asmenų registre ar kituose registruose (kurie teikia informaciją apie bankroto procedūras).</w:t>
            </w:r>
          </w:p>
        </w:tc>
      </w:tr>
      <w:tr w:rsidR="00C963E7" w:rsidRPr="00B00FB8" w14:paraId="690C4EF3" w14:textId="77777777" w:rsidTr="57F7F71C">
        <w:trPr>
          <w:trHeight w:val="918"/>
        </w:trPr>
        <w:tc>
          <w:tcPr>
            <w:tcW w:w="680" w:type="dxa"/>
            <w:vAlign w:val="center"/>
          </w:tcPr>
          <w:p w14:paraId="50A76B65" w14:textId="4CE2209D"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lastRenderedPageBreak/>
              <w:t>5</w:t>
            </w:r>
            <w:r w:rsidRPr="00B00FB8">
              <w:rPr>
                <w:rFonts w:ascii="Times New Roman" w:hAnsi="Times New Roman" w:cs="Times New Roman"/>
                <w:bCs/>
                <w:sz w:val="24"/>
                <w:szCs w:val="24"/>
              </w:rPr>
              <w:t>.</w:t>
            </w:r>
          </w:p>
        </w:tc>
        <w:tc>
          <w:tcPr>
            <w:tcW w:w="1985" w:type="dxa"/>
            <w:vMerge/>
            <w:vAlign w:val="center"/>
          </w:tcPr>
          <w:p w14:paraId="41CFD34A" w14:textId="77777777" w:rsidR="00C963E7" w:rsidRPr="00B00FB8" w:rsidRDefault="00C963E7" w:rsidP="00D87C28">
            <w:pPr>
              <w:jc w:val="center"/>
              <w:rPr>
                <w:rFonts w:ascii="Times New Roman" w:eastAsia="Calibri" w:hAnsi="Times New Roman" w:cs="Times New Roman"/>
                <w:b/>
                <w:sz w:val="24"/>
                <w:szCs w:val="24"/>
              </w:rPr>
            </w:pPr>
          </w:p>
        </w:tc>
        <w:tc>
          <w:tcPr>
            <w:tcW w:w="8100" w:type="dxa"/>
            <w:vAlign w:val="center"/>
          </w:tcPr>
          <w:p w14:paraId="5CE9904D" w14:textId="08E3B953" w:rsidR="00C963E7" w:rsidRPr="00B00FB8" w:rsidRDefault="00C963E7" w:rsidP="003B55F2">
            <w:pPr>
              <w:jc w:val="both"/>
              <w:rPr>
                <w:rFonts w:ascii="Times New Roman" w:eastAsia="Calibri" w:hAnsi="Times New Roman" w:cs="Times New Roman"/>
                <w:sz w:val="24"/>
                <w:szCs w:val="24"/>
              </w:rPr>
            </w:pPr>
            <w:r w:rsidRPr="00B00FB8">
              <w:rPr>
                <w:rFonts w:ascii="Times New Roman" w:eastAsia="Calibri" w:hAnsi="Times New Roman" w:cs="Times New Roman"/>
                <w:sz w:val="24"/>
                <w:szCs w:val="24"/>
              </w:rPr>
              <w:t>Siūlytina tikslinti dėstomą Įstatymo 10 str. 4 d. 4 p. formuluotę „Programos lėšos, naudojamos einamaisiais biudžetiniais metais šio straipsnio 3 dalies 1-8 punktuose nurodytoms priemonėms ir ankstesnių metų Programos tęstinėms priemonėms finansuoti“ (t. y. jos nuostatą –„ir ankstesnių metų Programos tęstinėms priemonėms finansuoti“),</w:t>
            </w:r>
            <w:r>
              <w:rPr>
                <w:rFonts w:ascii="Times New Roman" w:eastAsia="Calibri" w:hAnsi="Times New Roman" w:cs="Times New Roman"/>
                <w:sz w:val="24"/>
                <w:szCs w:val="24"/>
              </w:rPr>
              <w:t xml:space="preserve"> </w:t>
            </w:r>
            <w:r w:rsidRPr="00B00FB8">
              <w:rPr>
                <w:rFonts w:ascii="Times New Roman" w:eastAsia="Calibri" w:hAnsi="Times New Roman" w:cs="Times New Roman"/>
                <w:sz w:val="24"/>
                <w:szCs w:val="24"/>
              </w:rPr>
              <w:t xml:space="preserve"> nes nėra aišku, ar siekiama įvardyti kitas, nei Įstatymo 10 str. 3 dalies 1-8 p. nurodytas priemones (jeigu tas pačias – nuostata būtų perteklinė, nes nėra ribojimo, kad priemonės gali būti finansuojamos tik vienerius biudžetinius metus/turi būti įgyvendintos per vienerius biudžetinius metus). Jeigu siekiama taip sureguliuoti priemonių, kurių atsisakoma Įstatymo projektu (žr., pvz., dėstomus Įstatymo 10 str. 3 d. 1 ir 4 p.), tolimesnį finansavimą, manytina, kad tokias nuostatas būtų tinkamiau dėstyti Įstatymo projekto baigiamosiose nuostatose.   </w:t>
            </w:r>
          </w:p>
        </w:tc>
        <w:tc>
          <w:tcPr>
            <w:tcW w:w="4799" w:type="dxa"/>
            <w:vAlign w:val="center"/>
          </w:tcPr>
          <w:p w14:paraId="6AAF1ADB" w14:textId="0435E9AA" w:rsidR="00C963E7" w:rsidRDefault="00C963E7" w:rsidP="001743E4">
            <w:pPr>
              <w:jc w:val="both"/>
              <w:rPr>
                <w:rFonts w:ascii="Times New Roman" w:eastAsia="Calibri" w:hAnsi="Times New Roman" w:cs="Times New Roman"/>
                <w:sz w:val="24"/>
                <w:szCs w:val="24"/>
              </w:rPr>
            </w:pPr>
            <w:r w:rsidRPr="639E307C">
              <w:rPr>
                <w:rFonts w:ascii="Times New Roman" w:eastAsia="Calibri" w:hAnsi="Times New Roman" w:cs="Times New Roman"/>
                <w:b/>
                <w:bCs/>
                <w:sz w:val="24"/>
                <w:szCs w:val="24"/>
              </w:rPr>
              <w:t>Neatsižvelgta.</w:t>
            </w:r>
            <w:r>
              <w:rPr>
                <w:rFonts w:ascii="Times New Roman" w:eastAsia="Calibri" w:hAnsi="Times New Roman" w:cs="Times New Roman"/>
                <w:b/>
                <w:bCs/>
                <w:sz w:val="24"/>
                <w:szCs w:val="24"/>
              </w:rPr>
              <w:t xml:space="preserve"> </w:t>
            </w:r>
            <w:r w:rsidRPr="639E307C">
              <w:rPr>
                <w:rFonts w:ascii="Times New Roman" w:eastAsia="Calibri" w:hAnsi="Times New Roman" w:cs="Times New Roman"/>
                <w:sz w:val="24"/>
                <w:szCs w:val="24"/>
              </w:rPr>
              <w:t>Keičiama Įstatymo nuostata projekte susijusi su biudžeto lėšų naudojimu. Pažymėtina, kad Finansų ministerija šiai nuosta</w:t>
            </w:r>
            <w:r w:rsidR="008B62F1">
              <w:rPr>
                <w:rFonts w:ascii="Times New Roman" w:eastAsia="Calibri" w:hAnsi="Times New Roman" w:cs="Times New Roman"/>
                <w:sz w:val="24"/>
                <w:szCs w:val="24"/>
              </w:rPr>
              <w:t>tai pastabų neteikė. Paliekant šią nuostatą būtų užtikrinamas tęstinis lėšų išmokėjimas jau</w:t>
            </w:r>
            <w:bookmarkStart w:id="0" w:name="_GoBack"/>
            <w:bookmarkEnd w:id="0"/>
            <w:r w:rsidRPr="639E307C">
              <w:rPr>
                <w:rFonts w:ascii="Times New Roman" w:eastAsia="Calibri" w:hAnsi="Times New Roman" w:cs="Times New Roman"/>
                <w:sz w:val="24"/>
                <w:szCs w:val="24"/>
              </w:rPr>
              <w:t xml:space="preserve"> įgyvendinamiems projektams.</w:t>
            </w:r>
          </w:p>
          <w:p w14:paraId="0751D2B0" w14:textId="02642F99" w:rsidR="00C963E7" w:rsidRPr="00B00FB8" w:rsidRDefault="00C963E7" w:rsidP="639E307C">
            <w:pPr>
              <w:jc w:val="center"/>
              <w:rPr>
                <w:rFonts w:ascii="Times New Roman" w:eastAsia="Calibri" w:hAnsi="Times New Roman" w:cs="Times New Roman"/>
                <w:b/>
                <w:bCs/>
                <w:sz w:val="24"/>
                <w:szCs w:val="24"/>
              </w:rPr>
            </w:pPr>
          </w:p>
        </w:tc>
      </w:tr>
      <w:tr w:rsidR="00C963E7" w:rsidRPr="00B00FB8" w14:paraId="681453F4" w14:textId="77777777" w:rsidTr="57F7F71C">
        <w:trPr>
          <w:trHeight w:val="918"/>
        </w:trPr>
        <w:tc>
          <w:tcPr>
            <w:tcW w:w="680" w:type="dxa"/>
            <w:vAlign w:val="center"/>
          </w:tcPr>
          <w:p w14:paraId="3D4F4726" w14:textId="5688DF8D"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t>6</w:t>
            </w:r>
            <w:r w:rsidRPr="00B00FB8">
              <w:rPr>
                <w:rFonts w:ascii="Times New Roman" w:hAnsi="Times New Roman" w:cs="Times New Roman"/>
                <w:bCs/>
                <w:sz w:val="24"/>
                <w:szCs w:val="24"/>
              </w:rPr>
              <w:t>.</w:t>
            </w:r>
          </w:p>
        </w:tc>
        <w:tc>
          <w:tcPr>
            <w:tcW w:w="1985" w:type="dxa"/>
            <w:vMerge/>
            <w:vAlign w:val="center"/>
          </w:tcPr>
          <w:p w14:paraId="25694497" w14:textId="77777777" w:rsidR="00C963E7" w:rsidRPr="00B00FB8" w:rsidRDefault="00C963E7" w:rsidP="00D87C28">
            <w:pPr>
              <w:jc w:val="center"/>
              <w:rPr>
                <w:rFonts w:ascii="Times New Roman" w:eastAsia="Calibri" w:hAnsi="Times New Roman" w:cs="Times New Roman"/>
                <w:b/>
                <w:sz w:val="24"/>
                <w:szCs w:val="24"/>
              </w:rPr>
            </w:pPr>
          </w:p>
        </w:tc>
        <w:tc>
          <w:tcPr>
            <w:tcW w:w="8100" w:type="dxa"/>
            <w:vAlign w:val="center"/>
          </w:tcPr>
          <w:p w14:paraId="527908C8" w14:textId="58B839C1" w:rsidR="00C963E7" w:rsidRPr="00B00FB8" w:rsidRDefault="00C963E7" w:rsidP="003B55F2">
            <w:pPr>
              <w:jc w:val="both"/>
              <w:rPr>
                <w:rFonts w:ascii="Times New Roman" w:eastAsia="Calibri" w:hAnsi="Times New Roman" w:cs="Times New Roman"/>
                <w:sz w:val="24"/>
                <w:szCs w:val="24"/>
              </w:rPr>
            </w:pPr>
            <w:r w:rsidRPr="726C887E">
              <w:rPr>
                <w:rFonts w:ascii="Times New Roman" w:eastAsia="Calibri" w:hAnsi="Times New Roman" w:cs="Times New Roman"/>
                <w:sz w:val="24"/>
                <w:szCs w:val="24"/>
              </w:rPr>
              <w:t>Dėstomoje Įstatymo 12</w:t>
            </w:r>
            <w:r w:rsidRPr="726C887E">
              <w:rPr>
                <w:rFonts w:ascii="Times New Roman" w:eastAsia="Calibri" w:hAnsi="Times New Roman" w:cs="Times New Roman"/>
                <w:sz w:val="24"/>
                <w:szCs w:val="24"/>
                <w:vertAlign w:val="superscript"/>
              </w:rPr>
              <w:t>3</w:t>
            </w:r>
            <w:r w:rsidRPr="726C887E">
              <w:rPr>
                <w:rFonts w:ascii="Times New Roman" w:eastAsia="Calibri" w:hAnsi="Times New Roman" w:cs="Times New Roman"/>
                <w:sz w:val="24"/>
                <w:szCs w:val="24"/>
              </w:rPr>
              <w:t xml:space="preserve"> str. 1 d. nurodoma, kad aplinkos ministras nustato nacionalinę išmetamų į atmosferą šiltnamio efektą sukeliančių dujų apskaitos sistemą, o Įstatymo 12</w:t>
            </w:r>
            <w:r w:rsidRPr="726C887E">
              <w:rPr>
                <w:rFonts w:ascii="Times New Roman" w:eastAsia="Calibri" w:hAnsi="Times New Roman" w:cs="Times New Roman"/>
                <w:sz w:val="24"/>
                <w:szCs w:val="24"/>
                <w:vertAlign w:val="superscript"/>
              </w:rPr>
              <w:t>4</w:t>
            </w:r>
            <w:r w:rsidRPr="726C887E">
              <w:rPr>
                <w:rFonts w:ascii="Times New Roman" w:eastAsia="Calibri" w:hAnsi="Times New Roman" w:cs="Times New Roman"/>
                <w:sz w:val="24"/>
                <w:szCs w:val="24"/>
              </w:rPr>
              <w:t xml:space="preserve"> str. nurodoma, kad Vyriausybė arba jos įgaliota institucija, nustato nacionalinę politikos ir priemonių ataskaitų ir šiltnamio efektą sukeliančių dujų kiekio prognozių ataskaitų rengimo ir teikimo sistemą. </w:t>
            </w:r>
            <w:r w:rsidRPr="726C887E">
              <w:rPr>
                <w:rFonts w:ascii="Times New Roman" w:eastAsia="Calibri" w:hAnsi="Times New Roman" w:cs="Times New Roman"/>
                <w:sz w:val="24"/>
                <w:szCs w:val="24"/>
              </w:rPr>
              <w:lastRenderedPageBreak/>
              <w:t xml:space="preserve">Pastebėtina, kad iš šių nuostatų nėra aišku, koks būtų tokių sistemų statusas (ar šiuo atveju norima kurti Lietuvos Respublikos valstybės informacinių išteklių valdymo įstatymo 30 str. nurodomas valstybės informacines sistemas?). Be to, jeigu būtų poreikis priimti ir naujus įgyvendinamuosius teisės aktus, Įstatymo projekto baigiamosios nuostatos pildytinos pasiūlymu atitinkamiems teisėkūros subjektams priimti Įstatymo projekto įgyvendinamuosius teisės aktus.   </w:t>
            </w:r>
          </w:p>
        </w:tc>
        <w:tc>
          <w:tcPr>
            <w:tcW w:w="4799" w:type="dxa"/>
            <w:vAlign w:val="center"/>
          </w:tcPr>
          <w:p w14:paraId="0684005F" w14:textId="5F99A863" w:rsidR="00C963E7" w:rsidRPr="001743E4" w:rsidRDefault="00C963E7" w:rsidP="4CB76272">
            <w:pPr>
              <w:jc w:val="both"/>
              <w:rPr>
                <w:rFonts w:ascii="Times New Roman" w:eastAsia="Calibri" w:hAnsi="Times New Roman" w:cs="Times New Roman"/>
                <w:sz w:val="24"/>
                <w:szCs w:val="24"/>
              </w:rPr>
            </w:pPr>
            <w:r w:rsidRPr="001743E4">
              <w:rPr>
                <w:rFonts w:ascii="Times New Roman" w:eastAsia="Calibri" w:hAnsi="Times New Roman" w:cs="Times New Roman"/>
                <w:b/>
                <w:bCs/>
                <w:sz w:val="24"/>
                <w:szCs w:val="24"/>
              </w:rPr>
              <w:lastRenderedPageBreak/>
              <w:t xml:space="preserve">Atsižvelgta iš dalies. </w:t>
            </w:r>
            <w:r w:rsidRPr="001743E4">
              <w:rPr>
                <w:rFonts w:ascii="Times New Roman" w:eastAsia="Calibri" w:hAnsi="Times New Roman" w:cs="Times New Roman"/>
                <w:sz w:val="24"/>
                <w:szCs w:val="24"/>
              </w:rPr>
              <w:t>Nacionalinė išmetamų į atmosferą šiltnamio efektą sukeliančių dujų apskaitos sistema (12</w:t>
            </w:r>
            <w:r w:rsidRPr="001743E4">
              <w:rPr>
                <w:rFonts w:ascii="Times New Roman" w:eastAsia="Calibri" w:hAnsi="Times New Roman" w:cs="Times New Roman"/>
                <w:sz w:val="24"/>
                <w:szCs w:val="24"/>
                <w:vertAlign w:val="superscript"/>
              </w:rPr>
              <w:t>3</w:t>
            </w:r>
            <w:r w:rsidRPr="001743E4">
              <w:rPr>
                <w:rFonts w:ascii="Times New Roman" w:eastAsia="Calibri" w:hAnsi="Times New Roman" w:cs="Times New Roman"/>
                <w:sz w:val="24"/>
                <w:szCs w:val="24"/>
              </w:rPr>
              <w:t xml:space="preserve"> str.) ir nacionalinė politikos ir priemonių ataskaitų ir šiltnamio efektą sukeliančių dujų kiekio prognozių </w:t>
            </w:r>
            <w:r w:rsidRPr="001743E4">
              <w:rPr>
                <w:rFonts w:ascii="Times New Roman" w:eastAsia="Calibri" w:hAnsi="Times New Roman" w:cs="Times New Roman"/>
                <w:sz w:val="24"/>
                <w:szCs w:val="24"/>
              </w:rPr>
              <w:lastRenderedPageBreak/>
              <w:t>ataskaitų rengimo ir teikimo sistema (12</w:t>
            </w:r>
            <w:r w:rsidRPr="001743E4">
              <w:rPr>
                <w:rFonts w:ascii="Times New Roman" w:eastAsia="Calibri" w:hAnsi="Times New Roman" w:cs="Times New Roman"/>
                <w:sz w:val="24"/>
                <w:szCs w:val="24"/>
                <w:vertAlign w:val="superscript"/>
              </w:rPr>
              <w:t>4</w:t>
            </w:r>
            <w:r w:rsidRPr="001743E4">
              <w:rPr>
                <w:rFonts w:ascii="Times New Roman" w:eastAsia="Calibri" w:hAnsi="Times New Roman" w:cs="Times New Roman"/>
                <w:sz w:val="24"/>
                <w:szCs w:val="24"/>
              </w:rPr>
              <w:t xml:space="preserve"> str.) </w:t>
            </w:r>
            <w:r w:rsidRPr="001743E4">
              <w:rPr>
                <w:rFonts w:ascii="Times New Roman" w:eastAsia="Times New Roman" w:hAnsi="Times New Roman" w:cs="Times New Roman"/>
                <w:color w:val="000000" w:themeColor="text1"/>
                <w:sz w:val="24"/>
                <w:szCs w:val="24"/>
              </w:rPr>
              <w:t>apima institucines, teisines ir procedūrines šių ataskaitų rengimo ir teikimo n</w:t>
            </w:r>
            <w:r w:rsidRPr="001743E4">
              <w:rPr>
                <w:rFonts w:ascii="Times New Roman" w:eastAsiaTheme="minorEastAsia" w:hAnsi="Times New Roman" w:cs="Times New Roman"/>
                <w:sz w:val="24"/>
                <w:szCs w:val="24"/>
              </w:rPr>
              <w:t>uostatas, vadovaujantis Europos Parlamento ir Tarybos reglamento (ES) 2018/1999 (37 ir 39 str.) ir Komisijos įgyvendinimo reglamento 2020/1208 (26-29 str., 36 str. ir XXIII priedas) nustatytais reikalavimais. Aiškinamasis raštas papildytas, nurodant, kad reikalavimai minėtoms sistemoms yra nustatyti atitinkamuose ES teisės aktuose.</w:t>
            </w:r>
          </w:p>
          <w:p w14:paraId="0852B5C7" w14:textId="58E9B845" w:rsidR="00C963E7" w:rsidRPr="00B00FB8" w:rsidRDefault="00C963E7" w:rsidP="4CB76272">
            <w:pPr>
              <w:jc w:val="both"/>
              <w:rPr>
                <w:rFonts w:ascii="Times New Roman" w:eastAsia="Calibri" w:hAnsi="Times New Roman" w:cs="Times New Roman"/>
                <w:sz w:val="24"/>
                <w:szCs w:val="24"/>
              </w:rPr>
            </w:pPr>
            <w:r w:rsidRPr="001743E4">
              <w:rPr>
                <w:rFonts w:ascii="Times New Roman" w:eastAsiaTheme="minorEastAsia" w:hAnsi="Times New Roman" w:cs="Times New Roman"/>
                <w:sz w:val="24"/>
                <w:szCs w:val="24"/>
              </w:rPr>
              <w:t>Reikalingi priimti įgyvendinamųjų teisės aktų pakeitimai, susiję su nacionalinių sistemų reglamentavimu, yra išvardinti aiškinamajame rašte (Nr.8 ir Nr.12).</w:t>
            </w:r>
          </w:p>
        </w:tc>
      </w:tr>
      <w:tr w:rsidR="00C963E7" w:rsidRPr="00B00FB8" w14:paraId="231F44BF" w14:textId="77777777" w:rsidTr="57F7F71C">
        <w:trPr>
          <w:trHeight w:val="918"/>
        </w:trPr>
        <w:tc>
          <w:tcPr>
            <w:tcW w:w="680" w:type="dxa"/>
            <w:vAlign w:val="center"/>
          </w:tcPr>
          <w:p w14:paraId="2F8C1273" w14:textId="2311A903"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lastRenderedPageBreak/>
              <w:t>7</w:t>
            </w:r>
            <w:r w:rsidRPr="00B00FB8">
              <w:rPr>
                <w:rFonts w:ascii="Times New Roman" w:hAnsi="Times New Roman" w:cs="Times New Roman"/>
                <w:bCs/>
                <w:sz w:val="24"/>
                <w:szCs w:val="24"/>
              </w:rPr>
              <w:t>.</w:t>
            </w:r>
          </w:p>
        </w:tc>
        <w:tc>
          <w:tcPr>
            <w:tcW w:w="1985" w:type="dxa"/>
            <w:vMerge w:val="restart"/>
          </w:tcPr>
          <w:p w14:paraId="2BAC8624" w14:textId="33B739CF" w:rsidR="00C963E7" w:rsidRPr="00B00FB8" w:rsidRDefault="00C963E7" w:rsidP="00143F8A">
            <w:pPr>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autoservisų asociacijos </w:t>
            </w:r>
            <w:r w:rsidRPr="00B00FB8">
              <w:rPr>
                <w:rFonts w:ascii="Times New Roman" w:eastAsia="Calibri" w:hAnsi="Times New Roman" w:cs="Times New Roman"/>
                <w:sz w:val="24"/>
                <w:szCs w:val="24"/>
              </w:rPr>
              <w:t xml:space="preserve"> 2021 m. balandžio 19 d.</w:t>
            </w:r>
            <w:r>
              <w:rPr>
                <w:rFonts w:ascii="Times New Roman" w:eastAsia="Calibri" w:hAnsi="Times New Roman" w:cs="Times New Roman"/>
                <w:sz w:val="24"/>
                <w:szCs w:val="24"/>
              </w:rPr>
              <w:t xml:space="preserve"> raštas</w:t>
            </w:r>
          </w:p>
        </w:tc>
        <w:tc>
          <w:tcPr>
            <w:tcW w:w="8100" w:type="dxa"/>
          </w:tcPr>
          <w:p w14:paraId="14A2EE0B" w14:textId="1E1AB81A" w:rsidR="00C963E7" w:rsidRPr="0008212C" w:rsidRDefault="00C963E7" w:rsidP="00143F8A">
            <w:pPr>
              <w:ind w:left="-108"/>
              <w:jc w:val="both"/>
              <w:rPr>
                <w:rFonts w:ascii="Times New Roman" w:eastAsia="Calibri" w:hAnsi="Times New Roman" w:cs="Times New Roman"/>
                <w:sz w:val="24"/>
                <w:szCs w:val="24"/>
              </w:rPr>
            </w:pPr>
            <w:r w:rsidRPr="57F7F71C">
              <w:rPr>
                <w:rFonts w:ascii="Times New Roman" w:hAnsi="Times New Roman" w:cs="Times New Roman"/>
                <w:sz w:val="24"/>
                <w:szCs w:val="24"/>
              </w:rPr>
              <w:t xml:space="preserve">Įstatymo projekte ir kituose teisės aktuose (reglamentuose) automobilių kondicionierių pildymas ( remontas) yra išskirtinė autoservisų remonto paslauga ir galima ne remonto dirbtuvių patalpose. Kyla klausimas, kaip užtikrinti saugų pildymo ir </w:t>
            </w:r>
            <w:proofErr w:type="spellStart"/>
            <w:r w:rsidRPr="57F7F71C">
              <w:rPr>
                <w:rFonts w:ascii="Times New Roman" w:hAnsi="Times New Roman" w:cs="Times New Roman"/>
                <w:sz w:val="24"/>
                <w:szCs w:val="24"/>
              </w:rPr>
              <w:t>fluorintų</w:t>
            </w:r>
            <w:proofErr w:type="spellEnd"/>
            <w:r w:rsidRPr="57F7F71C">
              <w:rPr>
                <w:rFonts w:ascii="Times New Roman" w:hAnsi="Times New Roman" w:cs="Times New Roman"/>
                <w:sz w:val="24"/>
                <w:szCs w:val="24"/>
              </w:rPr>
              <w:t xml:space="preserve"> dujų neišleidimo į atmosferą, jeigu darbai vykdomi atviroje erdvėje?</w:t>
            </w:r>
          </w:p>
        </w:tc>
        <w:tc>
          <w:tcPr>
            <w:tcW w:w="4799" w:type="dxa"/>
          </w:tcPr>
          <w:p w14:paraId="4992E31A" w14:textId="555D5B96" w:rsidR="00C963E7" w:rsidRPr="00B00FB8" w:rsidRDefault="00C963E7" w:rsidP="639E307C">
            <w:pPr>
              <w:jc w:val="both"/>
              <w:rPr>
                <w:rFonts w:ascii="Times New Roman" w:eastAsia="Calibri" w:hAnsi="Times New Roman" w:cs="Times New Roman"/>
                <w:b/>
                <w:bCs/>
                <w:sz w:val="24"/>
                <w:szCs w:val="24"/>
              </w:rPr>
            </w:pPr>
            <w:r w:rsidRPr="639E307C">
              <w:rPr>
                <w:rFonts w:ascii="Times New Roman" w:eastAsia="Calibri" w:hAnsi="Times New Roman" w:cs="Times New Roman"/>
                <w:b/>
                <w:bCs/>
                <w:sz w:val="24"/>
                <w:szCs w:val="24"/>
              </w:rPr>
              <w:t xml:space="preserve">Neatsižvelgta. </w:t>
            </w:r>
            <w:proofErr w:type="spellStart"/>
            <w:r w:rsidRPr="639E307C">
              <w:rPr>
                <w:rFonts w:ascii="Times New Roman" w:eastAsia="Calibri" w:hAnsi="Times New Roman" w:cs="Times New Roman"/>
                <w:sz w:val="24"/>
                <w:szCs w:val="24"/>
              </w:rPr>
              <w:t>Fluorintos</w:t>
            </w:r>
            <w:proofErr w:type="spellEnd"/>
            <w:r w:rsidRPr="639E307C">
              <w:rPr>
                <w:rFonts w:ascii="Times New Roman" w:eastAsia="Calibri" w:hAnsi="Times New Roman" w:cs="Times New Roman"/>
                <w:sz w:val="24"/>
                <w:szCs w:val="24"/>
              </w:rPr>
              <w:t xml:space="preserve"> ŠESD yra dujos, kurios, patekusios į atmosferą tiek iš uždarų patalpų per ventiliaciją, tiek atvirame ore, stipriai veikia šiltnamio efektą ir prisideda prie klimato kaitos.  Išnagrinėjus esamą ES ir nacionalinę teisinę bazę ir transporto priemonių oro kondicionierių pildymo veiklos specifiką, nenustatyta, kad, atliekant šią veiklą, didesnė </w:t>
            </w:r>
            <w:proofErr w:type="spellStart"/>
            <w:r w:rsidRPr="639E307C">
              <w:rPr>
                <w:rFonts w:ascii="Times New Roman" w:eastAsia="Calibri" w:hAnsi="Times New Roman" w:cs="Times New Roman"/>
                <w:sz w:val="24"/>
                <w:szCs w:val="24"/>
              </w:rPr>
              <w:t>fluorintų</w:t>
            </w:r>
            <w:proofErr w:type="spellEnd"/>
            <w:r w:rsidRPr="639E307C">
              <w:rPr>
                <w:rFonts w:ascii="Times New Roman" w:eastAsia="Calibri" w:hAnsi="Times New Roman" w:cs="Times New Roman"/>
                <w:sz w:val="24"/>
                <w:szCs w:val="24"/>
              </w:rPr>
              <w:t xml:space="preserve"> ŠESD patekimo į atmosferą rizika kyla pildant transporto priemonių oro kondicionierius uždarose ar atvirose erdvėse. Todėl laikomės nuomonės, kad </w:t>
            </w:r>
            <w:proofErr w:type="spellStart"/>
            <w:r w:rsidRPr="639E307C">
              <w:rPr>
                <w:rFonts w:ascii="Times New Roman" w:eastAsia="Calibri" w:hAnsi="Times New Roman" w:cs="Times New Roman"/>
                <w:sz w:val="24"/>
                <w:szCs w:val="24"/>
              </w:rPr>
              <w:t>fluorintų</w:t>
            </w:r>
            <w:proofErr w:type="spellEnd"/>
            <w:r w:rsidRPr="639E307C">
              <w:rPr>
                <w:rFonts w:ascii="Times New Roman" w:eastAsia="Calibri" w:hAnsi="Times New Roman" w:cs="Times New Roman"/>
                <w:sz w:val="24"/>
                <w:szCs w:val="24"/>
              </w:rPr>
              <w:t xml:space="preserve"> ŠESD </w:t>
            </w:r>
            <w:r w:rsidRPr="639E307C">
              <w:rPr>
                <w:rFonts w:ascii="Times New Roman" w:eastAsia="Calibri" w:hAnsi="Times New Roman" w:cs="Times New Roman"/>
                <w:sz w:val="24"/>
                <w:szCs w:val="24"/>
              </w:rPr>
              <w:lastRenderedPageBreak/>
              <w:t xml:space="preserve">patekimo į atmosferą rizika bet kokioje aplinkoje yra vienoda. Siekiant sumažinti neigiamą poveikį klimato kaitai, manome, kad svarbiausias teisinio reguliavimo aspektas yra, naudojantis atitinkama įranga, užtikrinti, kad nėra </w:t>
            </w:r>
            <w:proofErr w:type="spellStart"/>
            <w:r w:rsidRPr="639E307C">
              <w:rPr>
                <w:rFonts w:ascii="Times New Roman" w:eastAsia="Calibri" w:hAnsi="Times New Roman" w:cs="Times New Roman"/>
                <w:sz w:val="24"/>
                <w:szCs w:val="24"/>
              </w:rPr>
              <w:t>fluorintų</w:t>
            </w:r>
            <w:proofErr w:type="spellEnd"/>
            <w:r w:rsidRPr="639E307C">
              <w:rPr>
                <w:rFonts w:ascii="Times New Roman" w:eastAsia="Calibri" w:hAnsi="Times New Roman" w:cs="Times New Roman"/>
                <w:sz w:val="24"/>
                <w:szCs w:val="24"/>
              </w:rPr>
              <w:t xml:space="preserve"> ŠESD nuotėkio iš transporto priemonių oro kondicionierių prieš užpildant </w:t>
            </w:r>
            <w:proofErr w:type="spellStart"/>
            <w:r w:rsidRPr="639E307C">
              <w:rPr>
                <w:rFonts w:ascii="Times New Roman" w:eastAsia="Calibri" w:hAnsi="Times New Roman" w:cs="Times New Roman"/>
                <w:sz w:val="24"/>
                <w:szCs w:val="24"/>
              </w:rPr>
              <w:t>fluorintomis</w:t>
            </w:r>
            <w:proofErr w:type="spellEnd"/>
            <w:r w:rsidRPr="639E307C">
              <w:rPr>
                <w:rFonts w:ascii="Times New Roman" w:eastAsia="Calibri" w:hAnsi="Times New Roman" w:cs="Times New Roman"/>
                <w:sz w:val="24"/>
                <w:szCs w:val="24"/>
              </w:rPr>
              <w:t xml:space="preserve"> ŠESD.</w:t>
            </w:r>
          </w:p>
        </w:tc>
      </w:tr>
      <w:tr w:rsidR="00C963E7" w:rsidRPr="00B00FB8" w14:paraId="4C9CD5B1" w14:textId="77777777" w:rsidTr="57F7F71C">
        <w:trPr>
          <w:trHeight w:val="918"/>
        </w:trPr>
        <w:tc>
          <w:tcPr>
            <w:tcW w:w="680" w:type="dxa"/>
            <w:vAlign w:val="center"/>
          </w:tcPr>
          <w:p w14:paraId="0E52AAE1" w14:textId="5A9778E5"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lastRenderedPageBreak/>
              <w:t>8</w:t>
            </w:r>
            <w:r w:rsidRPr="00B00FB8">
              <w:rPr>
                <w:rFonts w:ascii="Times New Roman" w:hAnsi="Times New Roman" w:cs="Times New Roman"/>
                <w:bCs/>
                <w:sz w:val="24"/>
                <w:szCs w:val="24"/>
              </w:rPr>
              <w:t>.</w:t>
            </w:r>
          </w:p>
        </w:tc>
        <w:tc>
          <w:tcPr>
            <w:tcW w:w="1985" w:type="dxa"/>
            <w:vMerge/>
          </w:tcPr>
          <w:p w14:paraId="14723323" w14:textId="77777777" w:rsidR="00C963E7" w:rsidRPr="00B00FB8" w:rsidRDefault="00C963E7" w:rsidP="00143F8A">
            <w:pPr>
              <w:jc w:val="both"/>
              <w:rPr>
                <w:rFonts w:ascii="Times New Roman" w:eastAsia="Calibri" w:hAnsi="Times New Roman" w:cs="Times New Roman"/>
                <w:b/>
                <w:sz w:val="24"/>
                <w:szCs w:val="24"/>
              </w:rPr>
            </w:pPr>
          </w:p>
        </w:tc>
        <w:tc>
          <w:tcPr>
            <w:tcW w:w="8100" w:type="dxa"/>
          </w:tcPr>
          <w:p w14:paraId="0BA39305" w14:textId="77777777" w:rsidR="00C963E7" w:rsidRPr="0008212C" w:rsidRDefault="00C963E7" w:rsidP="0008212C">
            <w:pPr>
              <w:jc w:val="both"/>
              <w:rPr>
                <w:rFonts w:ascii="Times New Roman" w:hAnsi="Times New Roman" w:cs="Times New Roman"/>
                <w:sz w:val="24"/>
                <w:szCs w:val="24"/>
              </w:rPr>
            </w:pPr>
            <w:r w:rsidRPr="0008212C">
              <w:rPr>
                <w:rFonts w:ascii="Times New Roman" w:hAnsi="Times New Roman" w:cs="Times New Roman"/>
                <w:sz w:val="24"/>
                <w:szCs w:val="24"/>
              </w:rPr>
              <w:t>Įstatymo 12</w:t>
            </w:r>
            <w:r w:rsidRPr="0008212C">
              <w:rPr>
                <w:rFonts w:ascii="Times New Roman" w:hAnsi="Times New Roman" w:cs="Times New Roman"/>
                <w:sz w:val="24"/>
                <w:szCs w:val="24"/>
                <w:vertAlign w:val="superscript"/>
              </w:rPr>
              <w:t xml:space="preserve">2 </w:t>
            </w:r>
            <w:r w:rsidRPr="0008212C">
              <w:rPr>
                <w:rFonts w:ascii="Times New Roman" w:hAnsi="Times New Roman" w:cs="Times New Roman"/>
                <w:sz w:val="24"/>
                <w:szCs w:val="24"/>
              </w:rPr>
              <w:t xml:space="preserve">straipsnio 2 dalyje nustatoma, kad </w:t>
            </w:r>
            <w:r w:rsidRPr="0008212C">
              <w:rPr>
                <w:rFonts w:ascii="Times New Roman" w:hAnsi="Times New Roman" w:cs="Times New Roman"/>
                <w:i/>
                <w:sz w:val="24"/>
                <w:szCs w:val="24"/>
              </w:rPr>
              <w:t xml:space="preserve">transporto priemonių oro kondicionierių pildymo </w:t>
            </w:r>
            <w:proofErr w:type="spellStart"/>
            <w:r w:rsidRPr="0008212C">
              <w:rPr>
                <w:rFonts w:ascii="Times New Roman" w:hAnsi="Times New Roman" w:cs="Times New Roman"/>
                <w:i/>
                <w:sz w:val="24"/>
                <w:szCs w:val="24"/>
              </w:rPr>
              <w:t>fluorintomis</w:t>
            </w:r>
            <w:proofErr w:type="spellEnd"/>
            <w:r w:rsidRPr="0008212C">
              <w:rPr>
                <w:rFonts w:ascii="Times New Roman" w:hAnsi="Times New Roman" w:cs="Times New Roman"/>
                <w:i/>
                <w:sz w:val="24"/>
                <w:szCs w:val="24"/>
              </w:rPr>
              <w:t xml:space="preserve"> šiltnamio efektą sukeliančiomis dujomis veiklos vykdytojas, prieš užpildydamas įrangą, privalo įsitikinti, kad nėra </w:t>
            </w:r>
            <w:proofErr w:type="spellStart"/>
            <w:r w:rsidRPr="0008212C">
              <w:rPr>
                <w:rFonts w:ascii="Times New Roman" w:hAnsi="Times New Roman" w:cs="Times New Roman"/>
                <w:i/>
                <w:sz w:val="24"/>
                <w:szCs w:val="24"/>
              </w:rPr>
              <w:t>fluorintų</w:t>
            </w:r>
            <w:proofErr w:type="spellEnd"/>
            <w:r w:rsidRPr="0008212C">
              <w:rPr>
                <w:rFonts w:ascii="Times New Roman" w:hAnsi="Times New Roman" w:cs="Times New Roman"/>
                <w:i/>
                <w:sz w:val="24"/>
                <w:szCs w:val="24"/>
              </w:rPr>
              <w:t xml:space="preserve"> šiltnamio efektą sukeliančių dujų nuotėkio iš įrangos ir įranga techniškai tvarkinga; </w:t>
            </w:r>
            <w:r w:rsidRPr="0008212C">
              <w:rPr>
                <w:rFonts w:ascii="Times New Roman" w:hAnsi="Times New Roman" w:cs="Times New Roman"/>
                <w:sz w:val="24"/>
                <w:szCs w:val="24"/>
              </w:rPr>
              <w:t xml:space="preserve"> </w:t>
            </w:r>
          </w:p>
          <w:p w14:paraId="7C207E6F" w14:textId="194F8F6F" w:rsidR="00C963E7" w:rsidRPr="00B00FB8" w:rsidRDefault="00C963E7" w:rsidP="0008212C">
            <w:pPr>
              <w:jc w:val="both"/>
              <w:rPr>
                <w:rFonts w:ascii="Times New Roman" w:eastAsia="Calibri" w:hAnsi="Times New Roman" w:cs="Times New Roman"/>
                <w:sz w:val="24"/>
                <w:szCs w:val="24"/>
              </w:rPr>
            </w:pPr>
            <w:r w:rsidRPr="57F7F71C">
              <w:rPr>
                <w:rFonts w:ascii="Times New Roman" w:hAnsi="Times New Roman" w:cs="Times New Roman"/>
                <w:sz w:val="24"/>
                <w:szCs w:val="24"/>
              </w:rPr>
              <w:t xml:space="preserve">Nerimą kelia žodžiai </w:t>
            </w:r>
            <w:r w:rsidRPr="57F7F71C">
              <w:rPr>
                <w:rFonts w:ascii="Times New Roman" w:hAnsi="Times New Roman" w:cs="Times New Roman"/>
                <w:i/>
                <w:iCs/>
                <w:sz w:val="24"/>
                <w:szCs w:val="24"/>
              </w:rPr>
              <w:t xml:space="preserve">privalo įsitikinti, </w:t>
            </w:r>
            <w:r w:rsidRPr="57F7F71C">
              <w:rPr>
                <w:rFonts w:ascii="Times New Roman" w:hAnsi="Times New Roman" w:cs="Times New Roman"/>
                <w:sz w:val="24"/>
                <w:szCs w:val="24"/>
              </w:rPr>
              <w:t>kadangi įsitikinimas neįmanomas neatlikus rimtų technologinių patikrų, o iš akies ar klausos tokio sudėtingo įrenginio kaip automobilio kondicionierius nepatikrinsi.</w:t>
            </w:r>
            <w:r w:rsidRPr="57F7F71C">
              <w:rPr>
                <w:i/>
                <w:iCs/>
              </w:rPr>
              <w:t xml:space="preserve"> </w:t>
            </w:r>
          </w:p>
        </w:tc>
        <w:tc>
          <w:tcPr>
            <w:tcW w:w="4799" w:type="dxa"/>
          </w:tcPr>
          <w:p w14:paraId="059F556C" w14:textId="11B750A4" w:rsidR="00C963E7" w:rsidRPr="00B00FB8" w:rsidRDefault="00C963E7" w:rsidP="639E307C">
            <w:pPr>
              <w:pStyle w:val="BodyText"/>
              <w:ind w:firstLine="0"/>
            </w:pPr>
            <w:r w:rsidRPr="639E307C">
              <w:rPr>
                <w:rFonts w:eastAsia="Calibri"/>
                <w:b/>
                <w:bCs/>
              </w:rPr>
              <w:t xml:space="preserve">Neatsižvelgta. </w:t>
            </w:r>
            <w:r w:rsidRPr="639E307C">
              <w:rPr>
                <w:rFonts w:eastAsia="Calibri"/>
              </w:rPr>
              <w:t>K</w:t>
            </w:r>
            <w:r w:rsidRPr="57F7F71C">
              <w:rPr>
                <w:color w:val="000000" w:themeColor="text1"/>
              </w:rPr>
              <w:t xml:space="preserve">onkrečių pasiūlymų, kaip tobulinti teisės akto formuluotes, kreipimesi nėra suformuluota. Pažymėtina, kad </w:t>
            </w:r>
            <w:r w:rsidRPr="00B00FB8">
              <w:t xml:space="preserve"> Reglamento Nr. 517/2014 3 straipsnyje įtvirtintas draudimas „į atmosferą sąmoningai išleisti </w:t>
            </w:r>
            <w:proofErr w:type="spellStart"/>
            <w:r w:rsidRPr="00B00FB8">
              <w:t>fluorintas</w:t>
            </w:r>
            <w:proofErr w:type="spellEnd"/>
            <w:r>
              <w:t xml:space="preserve"> šiltnamio efektą sukeliančias dujas, jei išleidimas nėra techniškai būtinas jas naudojant pagal paskirtį“ galioja visiems transporto priemonių oro kondicionierių pildymo veiklos subjektams</w:t>
            </w:r>
            <w:r w:rsidRPr="57F7F71C">
              <w:t xml:space="preserve">. Taip pat įtvirtintas reikalavimas, kad </w:t>
            </w:r>
            <w:r>
              <w:t>„</w:t>
            </w:r>
            <w:r w:rsidRPr="57F7F71C">
              <w:rPr>
                <w:color w:val="000000" w:themeColor="text1"/>
                <w:szCs w:val="24"/>
                <w:lang w:val="lt"/>
              </w:rPr>
              <w:t xml:space="preserve">transporto priemonių oro kondicionierių pildymo </w:t>
            </w:r>
            <w:proofErr w:type="spellStart"/>
            <w:r w:rsidRPr="57F7F71C">
              <w:rPr>
                <w:color w:val="000000" w:themeColor="text1"/>
                <w:szCs w:val="24"/>
              </w:rPr>
              <w:t>fluorintomis</w:t>
            </w:r>
            <w:proofErr w:type="spellEnd"/>
            <w:r w:rsidRPr="57F7F71C">
              <w:rPr>
                <w:color w:val="000000" w:themeColor="text1"/>
                <w:szCs w:val="24"/>
                <w:lang w:val="lt"/>
              </w:rPr>
              <w:t xml:space="preserve"> šiltnamio efektą sukeliančiomis dujomis veiklos vykdytojas, prieš užpildydamas įrangą, privalo įsitikinti, kad nėra </w:t>
            </w:r>
            <w:proofErr w:type="spellStart"/>
            <w:r w:rsidRPr="57F7F71C">
              <w:rPr>
                <w:color w:val="000000" w:themeColor="text1"/>
                <w:szCs w:val="24"/>
              </w:rPr>
              <w:t>fluorintų</w:t>
            </w:r>
            <w:proofErr w:type="spellEnd"/>
            <w:r w:rsidRPr="57F7F71C">
              <w:rPr>
                <w:color w:val="000000" w:themeColor="text1"/>
                <w:szCs w:val="24"/>
                <w:lang w:val="lt"/>
              </w:rPr>
              <w:t xml:space="preserve"> šiltnamio efektą sukeliančių dujų nuotėkio iš įrangos ir įranga techniškai tvarkinga</w:t>
            </w:r>
            <w:r>
              <w:t>“</w:t>
            </w:r>
            <w:r w:rsidRPr="57F7F71C">
              <w:rPr>
                <w:color w:val="000000" w:themeColor="text1"/>
                <w:szCs w:val="24"/>
                <w:lang w:val="lt"/>
              </w:rPr>
              <w:t>.</w:t>
            </w:r>
            <w:r w:rsidRPr="00B00FB8">
              <w:t xml:space="preserve"> </w:t>
            </w:r>
            <w:r>
              <w:t xml:space="preserve">Siekdami užtikrinti šių nuostatų įgyvendinimą, įtvirtiname privalomą reikalavimą paslaugos teikėjams, prieš suteikiant paslaugą, įsitikinti, ar įranga techniškai tvarkinga. Transporto priemonių </w:t>
            </w:r>
            <w:r>
              <w:lastRenderedPageBreak/>
              <w:t xml:space="preserve">sandarumo patikrinimas vykdomas vakuumavimo įranga, UV dažais ir kt. priemonėmis. </w:t>
            </w:r>
          </w:p>
        </w:tc>
      </w:tr>
      <w:tr w:rsidR="00C963E7" w:rsidRPr="00B00FB8" w14:paraId="0DA3B085" w14:textId="77777777" w:rsidTr="57F7F71C">
        <w:trPr>
          <w:trHeight w:val="918"/>
        </w:trPr>
        <w:tc>
          <w:tcPr>
            <w:tcW w:w="680" w:type="dxa"/>
            <w:vAlign w:val="center"/>
          </w:tcPr>
          <w:p w14:paraId="03D39DB8" w14:textId="2AAEEA8A" w:rsidR="00C963E7" w:rsidRPr="00B00FB8" w:rsidRDefault="00C963E7" w:rsidP="00D87C28">
            <w:pPr>
              <w:jc w:val="center"/>
              <w:rPr>
                <w:rFonts w:ascii="Times New Roman" w:hAnsi="Times New Roman" w:cs="Times New Roman"/>
                <w:bCs/>
                <w:sz w:val="24"/>
                <w:szCs w:val="24"/>
              </w:rPr>
            </w:pPr>
            <w:r>
              <w:rPr>
                <w:rFonts w:ascii="Times New Roman" w:hAnsi="Times New Roman" w:cs="Times New Roman"/>
                <w:bCs/>
                <w:sz w:val="24"/>
                <w:szCs w:val="24"/>
              </w:rPr>
              <w:lastRenderedPageBreak/>
              <w:t>9</w:t>
            </w:r>
            <w:r w:rsidRPr="00B00FB8">
              <w:rPr>
                <w:rFonts w:ascii="Times New Roman" w:hAnsi="Times New Roman" w:cs="Times New Roman"/>
                <w:bCs/>
                <w:sz w:val="24"/>
                <w:szCs w:val="24"/>
              </w:rPr>
              <w:t>.</w:t>
            </w:r>
          </w:p>
        </w:tc>
        <w:tc>
          <w:tcPr>
            <w:tcW w:w="1985" w:type="dxa"/>
            <w:vMerge/>
          </w:tcPr>
          <w:p w14:paraId="68565264" w14:textId="77777777" w:rsidR="00C963E7" w:rsidRPr="00B00FB8" w:rsidRDefault="00C963E7" w:rsidP="00143F8A">
            <w:pPr>
              <w:jc w:val="both"/>
              <w:rPr>
                <w:rFonts w:ascii="Times New Roman" w:eastAsia="Calibri" w:hAnsi="Times New Roman" w:cs="Times New Roman"/>
                <w:b/>
                <w:sz w:val="24"/>
                <w:szCs w:val="24"/>
              </w:rPr>
            </w:pPr>
          </w:p>
        </w:tc>
        <w:tc>
          <w:tcPr>
            <w:tcW w:w="8100" w:type="dxa"/>
          </w:tcPr>
          <w:p w14:paraId="52A3A928" w14:textId="496DAA29" w:rsidR="00C963E7" w:rsidRPr="0008212C" w:rsidRDefault="00C963E7" w:rsidP="00143F8A">
            <w:pPr>
              <w:jc w:val="both"/>
              <w:rPr>
                <w:rFonts w:ascii="Times New Roman" w:eastAsia="Calibri" w:hAnsi="Times New Roman" w:cs="Times New Roman"/>
                <w:sz w:val="24"/>
                <w:szCs w:val="24"/>
              </w:rPr>
            </w:pPr>
            <w:r w:rsidRPr="57F7F71C">
              <w:rPr>
                <w:rFonts w:ascii="Times New Roman" w:hAnsi="Times New Roman" w:cs="Times New Roman"/>
                <w:sz w:val="24"/>
                <w:szCs w:val="24"/>
              </w:rPr>
              <w:t>Įstatymo projekte nurodytas keistas atliktai paslaugai garantinis laikotarpis. Kodėl nustatomas toks išskirtinumas? Kokia skaičiavimo ar teisine patirtimi buvo pasiremta?  Kiek žinoma, tokia apklausa legaliuose autoserviso paslaugas teikiančiose įmonėse nebuvo atlikta ir nebuvo jokių kompetentingų konsultacijų.</w:t>
            </w:r>
          </w:p>
        </w:tc>
        <w:tc>
          <w:tcPr>
            <w:tcW w:w="4799" w:type="dxa"/>
          </w:tcPr>
          <w:p w14:paraId="6B9D53C6" w14:textId="762122BB" w:rsidR="00C963E7" w:rsidRPr="00B00FB8" w:rsidRDefault="00C963E7" w:rsidP="00B00FB8">
            <w:pPr>
              <w:jc w:val="both"/>
              <w:rPr>
                <w:rFonts w:ascii="Times New Roman" w:eastAsia="Calibri" w:hAnsi="Times New Roman" w:cs="Times New Roman"/>
                <w:b/>
                <w:sz w:val="24"/>
                <w:szCs w:val="24"/>
              </w:rPr>
            </w:pPr>
            <w:r w:rsidRPr="00B00FB8">
              <w:rPr>
                <w:rFonts w:ascii="Times New Roman" w:eastAsia="Calibri" w:hAnsi="Times New Roman" w:cs="Times New Roman"/>
                <w:b/>
                <w:sz w:val="24"/>
                <w:szCs w:val="24"/>
              </w:rPr>
              <w:t xml:space="preserve">Neatsižvelgta. </w:t>
            </w:r>
            <w:r w:rsidRPr="00B00FB8">
              <w:rPr>
                <w:rFonts w:ascii="Times New Roman" w:eastAsia="Times New Roman" w:hAnsi="Times New Roman" w:cs="Times New Roman"/>
                <w:sz w:val="24"/>
                <w:szCs w:val="20"/>
              </w:rPr>
              <w:t>Trijų mėnesių garantinis terminas pasirinktas atsižvelgiant į paslaugos teikimo sezoniškumą, aktyvumo piką pasiekiant vasaros metu, ir paslaugos gavėjo poreikį sezono metu gauti kokybišką paslaugą. Tvarkingų automobilių oro kondicionierių sistemos yra hermetiškos, todėl įprastomis sąlygomis neturėtų būti nuotėkio.</w:t>
            </w:r>
            <w:r w:rsidRPr="00B00FB8">
              <w:rPr>
                <w:rStyle w:val="eop"/>
                <w:color w:val="000000"/>
                <w:shd w:val="clear" w:color="auto" w:fill="FFFFFF"/>
              </w:rPr>
              <w:t> </w:t>
            </w:r>
          </w:p>
        </w:tc>
      </w:tr>
    </w:tbl>
    <w:p w14:paraId="762CBD44" w14:textId="76B3320A" w:rsidR="003B208D" w:rsidRPr="00B00FB8" w:rsidRDefault="003B208D" w:rsidP="00D87C28">
      <w:pPr>
        <w:tabs>
          <w:tab w:val="left" w:pos="8222"/>
        </w:tabs>
        <w:spacing w:line="240" w:lineRule="auto"/>
        <w:ind w:right="425"/>
        <w:rPr>
          <w:rFonts w:ascii="Times New Roman" w:eastAsia="Calibri" w:hAnsi="Times New Roman" w:cs="Times New Roman"/>
          <w:sz w:val="24"/>
          <w:szCs w:val="24"/>
        </w:rPr>
      </w:pPr>
    </w:p>
    <w:sectPr w:rsidR="003B208D" w:rsidRPr="00B00FB8" w:rsidSect="00C963E7">
      <w:footerReference w:type="default" r:id="rId12"/>
      <w:pgSz w:w="16838" w:h="11906" w:orient="landscape"/>
      <w:pgMar w:top="1701" w:right="395"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05F8" w14:textId="77777777" w:rsidR="00A24259" w:rsidRDefault="00A24259" w:rsidP="00CE0B5F">
      <w:pPr>
        <w:spacing w:after="0" w:line="240" w:lineRule="auto"/>
      </w:pPr>
      <w:r>
        <w:separator/>
      </w:r>
    </w:p>
  </w:endnote>
  <w:endnote w:type="continuationSeparator" w:id="0">
    <w:p w14:paraId="2D7B5D1E" w14:textId="77777777" w:rsidR="00A24259" w:rsidRDefault="00A24259" w:rsidP="00CE0B5F">
      <w:pPr>
        <w:spacing w:after="0" w:line="240" w:lineRule="auto"/>
      </w:pPr>
      <w:r>
        <w:continuationSeparator/>
      </w:r>
    </w:p>
  </w:endnote>
  <w:endnote w:type="continuationNotice" w:id="1">
    <w:p w14:paraId="2B315934" w14:textId="77777777" w:rsidR="00A24259" w:rsidRDefault="00A24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B433" w14:textId="77777777" w:rsidR="007A5288" w:rsidRDefault="007A528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8B62F1">
      <w:rPr>
        <w:caps/>
        <w:noProof/>
        <w:color w:val="4472C4" w:themeColor="accent1"/>
      </w:rPr>
      <w:t>4</w:t>
    </w:r>
    <w:r>
      <w:rPr>
        <w:caps/>
        <w:noProof/>
        <w:color w:val="4472C4" w:themeColor="accent1"/>
      </w:rPr>
      <w:fldChar w:fldCharType="end"/>
    </w:r>
  </w:p>
  <w:p w14:paraId="144B60D4" w14:textId="77777777" w:rsidR="007A5288" w:rsidRDefault="007A5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F49E6" w14:textId="77777777" w:rsidR="00A24259" w:rsidRDefault="00A24259" w:rsidP="00CE0B5F">
      <w:pPr>
        <w:spacing w:after="0" w:line="240" w:lineRule="auto"/>
      </w:pPr>
      <w:r>
        <w:separator/>
      </w:r>
    </w:p>
  </w:footnote>
  <w:footnote w:type="continuationSeparator" w:id="0">
    <w:p w14:paraId="2C9BBCA8" w14:textId="77777777" w:rsidR="00A24259" w:rsidRDefault="00A24259" w:rsidP="00CE0B5F">
      <w:pPr>
        <w:spacing w:after="0" w:line="240" w:lineRule="auto"/>
      </w:pPr>
      <w:r>
        <w:continuationSeparator/>
      </w:r>
    </w:p>
  </w:footnote>
  <w:footnote w:type="continuationNotice" w:id="1">
    <w:p w14:paraId="5BDEE144" w14:textId="77777777" w:rsidR="00A24259" w:rsidRDefault="00A2425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22F8"/>
    <w:multiLevelType w:val="multilevel"/>
    <w:tmpl w:val="825A4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24FCA"/>
    <w:multiLevelType w:val="hybridMultilevel"/>
    <w:tmpl w:val="9198D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B828A8"/>
    <w:multiLevelType w:val="hybridMultilevel"/>
    <w:tmpl w:val="A00E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1133A"/>
    <w:multiLevelType w:val="hybridMultilevel"/>
    <w:tmpl w:val="1EF86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C97376"/>
    <w:multiLevelType w:val="hybridMultilevel"/>
    <w:tmpl w:val="89448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C"/>
    <w:rsid w:val="000214AE"/>
    <w:rsid w:val="0002641E"/>
    <w:rsid w:val="00033F3A"/>
    <w:rsid w:val="0005281F"/>
    <w:rsid w:val="00066092"/>
    <w:rsid w:val="0007567F"/>
    <w:rsid w:val="0007635D"/>
    <w:rsid w:val="0008212C"/>
    <w:rsid w:val="000921BF"/>
    <w:rsid w:val="00095741"/>
    <w:rsid w:val="000C3322"/>
    <w:rsid w:val="000C63F9"/>
    <w:rsid w:val="000E0ACF"/>
    <w:rsid w:val="000E2C78"/>
    <w:rsid w:val="000E34CB"/>
    <w:rsid w:val="00103ECB"/>
    <w:rsid w:val="00106E8E"/>
    <w:rsid w:val="00116C9A"/>
    <w:rsid w:val="001171BE"/>
    <w:rsid w:val="0012160C"/>
    <w:rsid w:val="00143F8A"/>
    <w:rsid w:val="00144F20"/>
    <w:rsid w:val="00145A1A"/>
    <w:rsid w:val="0014775D"/>
    <w:rsid w:val="001632E9"/>
    <w:rsid w:val="001713BD"/>
    <w:rsid w:val="001743E4"/>
    <w:rsid w:val="00176C36"/>
    <w:rsid w:val="00181048"/>
    <w:rsid w:val="001B4072"/>
    <w:rsid w:val="001C270C"/>
    <w:rsid w:val="001C3BA8"/>
    <w:rsid w:val="001D1A1F"/>
    <w:rsid w:val="001D672C"/>
    <w:rsid w:val="001E41B4"/>
    <w:rsid w:val="001E6CA1"/>
    <w:rsid w:val="001F07F1"/>
    <w:rsid w:val="001F48A4"/>
    <w:rsid w:val="0020751D"/>
    <w:rsid w:val="00211430"/>
    <w:rsid w:val="0022229C"/>
    <w:rsid w:val="00242C96"/>
    <w:rsid w:val="0025595A"/>
    <w:rsid w:val="00261B13"/>
    <w:rsid w:val="00263798"/>
    <w:rsid w:val="00273A9B"/>
    <w:rsid w:val="002D5B9A"/>
    <w:rsid w:val="002D639D"/>
    <w:rsid w:val="002E04FA"/>
    <w:rsid w:val="002E2CC5"/>
    <w:rsid w:val="002E4C7E"/>
    <w:rsid w:val="0030064B"/>
    <w:rsid w:val="00302107"/>
    <w:rsid w:val="00304890"/>
    <w:rsid w:val="00312DA5"/>
    <w:rsid w:val="00312EA4"/>
    <w:rsid w:val="00313D51"/>
    <w:rsid w:val="003431D1"/>
    <w:rsid w:val="0034336E"/>
    <w:rsid w:val="0039074F"/>
    <w:rsid w:val="003B113E"/>
    <w:rsid w:val="003B208D"/>
    <w:rsid w:val="003B55F2"/>
    <w:rsid w:val="003B724D"/>
    <w:rsid w:val="003E2C49"/>
    <w:rsid w:val="003F2AED"/>
    <w:rsid w:val="00403BDC"/>
    <w:rsid w:val="00403CA8"/>
    <w:rsid w:val="00407544"/>
    <w:rsid w:val="00444E5E"/>
    <w:rsid w:val="004467D3"/>
    <w:rsid w:val="004642AA"/>
    <w:rsid w:val="00473B8C"/>
    <w:rsid w:val="00474CE4"/>
    <w:rsid w:val="0048780F"/>
    <w:rsid w:val="004C626C"/>
    <w:rsid w:val="004D34CE"/>
    <w:rsid w:val="004D52D9"/>
    <w:rsid w:val="004F32D6"/>
    <w:rsid w:val="00502A7F"/>
    <w:rsid w:val="005135A3"/>
    <w:rsid w:val="005158A6"/>
    <w:rsid w:val="00521CDB"/>
    <w:rsid w:val="00531E2D"/>
    <w:rsid w:val="005330E7"/>
    <w:rsid w:val="00533BDB"/>
    <w:rsid w:val="00535036"/>
    <w:rsid w:val="00535061"/>
    <w:rsid w:val="00554420"/>
    <w:rsid w:val="00561538"/>
    <w:rsid w:val="00564812"/>
    <w:rsid w:val="0057115C"/>
    <w:rsid w:val="0058354F"/>
    <w:rsid w:val="00595B0B"/>
    <w:rsid w:val="005A3AB3"/>
    <w:rsid w:val="005B4CCA"/>
    <w:rsid w:val="005C3945"/>
    <w:rsid w:val="005D5EB0"/>
    <w:rsid w:val="00600BCA"/>
    <w:rsid w:val="00604D20"/>
    <w:rsid w:val="00606E07"/>
    <w:rsid w:val="00610824"/>
    <w:rsid w:val="0061679C"/>
    <w:rsid w:val="00621F51"/>
    <w:rsid w:val="00636E7D"/>
    <w:rsid w:val="0065026A"/>
    <w:rsid w:val="00654C56"/>
    <w:rsid w:val="0065634A"/>
    <w:rsid w:val="00666032"/>
    <w:rsid w:val="00670A3D"/>
    <w:rsid w:val="00677C6E"/>
    <w:rsid w:val="00683ED5"/>
    <w:rsid w:val="0068505F"/>
    <w:rsid w:val="006B517A"/>
    <w:rsid w:val="006B5568"/>
    <w:rsid w:val="006C25B1"/>
    <w:rsid w:val="006C2DD5"/>
    <w:rsid w:val="006C76A0"/>
    <w:rsid w:val="006D0EC6"/>
    <w:rsid w:val="006D233B"/>
    <w:rsid w:val="006E4C9E"/>
    <w:rsid w:val="006E7540"/>
    <w:rsid w:val="006F14DC"/>
    <w:rsid w:val="00702D1B"/>
    <w:rsid w:val="007038AD"/>
    <w:rsid w:val="007205CC"/>
    <w:rsid w:val="00721ECE"/>
    <w:rsid w:val="007358FC"/>
    <w:rsid w:val="007563F3"/>
    <w:rsid w:val="007641EB"/>
    <w:rsid w:val="007776DE"/>
    <w:rsid w:val="00782294"/>
    <w:rsid w:val="0078266B"/>
    <w:rsid w:val="007A5288"/>
    <w:rsid w:val="007A6F37"/>
    <w:rsid w:val="007B7DA3"/>
    <w:rsid w:val="007C1CFA"/>
    <w:rsid w:val="007E6DE4"/>
    <w:rsid w:val="007F181F"/>
    <w:rsid w:val="007F49E6"/>
    <w:rsid w:val="00824A2B"/>
    <w:rsid w:val="00832736"/>
    <w:rsid w:val="00836FF0"/>
    <w:rsid w:val="008430A1"/>
    <w:rsid w:val="00843D9F"/>
    <w:rsid w:val="00846E43"/>
    <w:rsid w:val="008565F2"/>
    <w:rsid w:val="0086292F"/>
    <w:rsid w:val="0086479A"/>
    <w:rsid w:val="00884D28"/>
    <w:rsid w:val="00896958"/>
    <w:rsid w:val="008A1B2A"/>
    <w:rsid w:val="008A1EE5"/>
    <w:rsid w:val="008B62F1"/>
    <w:rsid w:val="008C1611"/>
    <w:rsid w:val="008F5124"/>
    <w:rsid w:val="008F768A"/>
    <w:rsid w:val="00913EE0"/>
    <w:rsid w:val="00917AA6"/>
    <w:rsid w:val="00921621"/>
    <w:rsid w:val="00933E5B"/>
    <w:rsid w:val="00934139"/>
    <w:rsid w:val="00944463"/>
    <w:rsid w:val="00960C84"/>
    <w:rsid w:val="00983EC5"/>
    <w:rsid w:val="009A0388"/>
    <w:rsid w:val="009A0615"/>
    <w:rsid w:val="009C5A91"/>
    <w:rsid w:val="009D1214"/>
    <w:rsid w:val="009D5AF3"/>
    <w:rsid w:val="00A03FD2"/>
    <w:rsid w:val="00A24259"/>
    <w:rsid w:val="00A41BD8"/>
    <w:rsid w:val="00A77A95"/>
    <w:rsid w:val="00A81504"/>
    <w:rsid w:val="00A8226C"/>
    <w:rsid w:val="00A84F4D"/>
    <w:rsid w:val="00A87E48"/>
    <w:rsid w:val="00A937EC"/>
    <w:rsid w:val="00A97781"/>
    <w:rsid w:val="00AB13EC"/>
    <w:rsid w:val="00AB3693"/>
    <w:rsid w:val="00AB7674"/>
    <w:rsid w:val="00AD2451"/>
    <w:rsid w:val="00AE2491"/>
    <w:rsid w:val="00AF0B5D"/>
    <w:rsid w:val="00AF71B1"/>
    <w:rsid w:val="00B00FB8"/>
    <w:rsid w:val="00B2B516"/>
    <w:rsid w:val="00B45F01"/>
    <w:rsid w:val="00B53BAC"/>
    <w:rsid w:val="00B65BB8"/>
    <w:rsid w:val="00B71ADB"/>
    <w:rsid w:val="00B81AE3"/>
    <w:rsid w:val="00B838A5"/>
    <w:rsid w:val="00B87447"/>
    <w:rsid w:val="00B92CCE"/>
    <w:rsid w:val="00B93108"/>
    <w:rsid w:val="00BB6303"/>
    <w:rsid w:val="00BC63B9"/>
    <w:rsid w:val="00BC69D7"/>
    <w:rsid w:val="00BF5C84"/>
    <w:rsid w:val="00C01F06"/>
    <w:rsid w:val="00C248A9"/>
    <w:rsid w:val="00C2525F"/>
    <w:rsid w:val="00C43672"/>
    <w:rsid w:val="00C616FA"/>
    <w:rsid w:val="00C664EB"/>
    <w:rsid w:val="00C8516F"/>
    <w:rsid w:val="00C92955"/>
    <w:rsid w:val="00C963E7"/>
    <w:rsid w:val="00CB035B"/>
    <w:rsid w:val="00CC1C12"/>
    <w:rsid w:val="00CE0B5F"/>
    <w:rsid w:val="00CE1CFD"/>
    <w:rsid w:val="00CF2B82"/>
    <w:rsid w:val="00CF3417"/>
    <w:rsid w:val="00D034C9"/>
    <w:rsid w:val="00D127CD"/>
    <w:rsid w:val="00D21353"/>
    <w:rsid w:val="00D35B74"/>
    <w:rsid w:val="00D45CE4"/>
    <w:rsid w:val="00D515F0"/>
    <w:rsid w:val="00D520EA"/>
    <w:rsid w:val="00D81382"/>
    <w:rsid w:val="00D87C28"/>
    <w:rsid w:val="00D8A73E"/>
    <w:rsid w:val="00DA6486"/>
    <w:rsid w:val="00DA78ED"/>
    <w:rsid w:val="00DB3656"/>
    <w:rsid w:val="00DC69A2"/>
    <w:rsid w:val="00DD150A"/>
    <w:rsid w:val="00DF4250"/>
    <w:rsid w:val="00E12550"/>
    <w:rsid w:val="00E1444A"/>
    <w:rsid w:val="00E234DD"/>
    <w:rsid w:val="00E2352B"/>
    <w:rsid w:val="00E266A7"/>
    <w:rsid w:val="00E26C3F"/>
    <w:rsid w:val="00E31D36"/>
    <w:rsid w:val="00E4427B"/>
    <w:rsid w:val="00E631BE"/>
    <w:rsid w:val="00E87A04"/>
    <w:rsid w:val="00E9683F"/>
    <w:rsid w:val="00EA31C1"/>
    <w:rsid w:val="00EA4EFC"/>
    <w:rsid w:val="00EB4FA7"/>
    <w:rsid w:val="00ED5986"/>
    <w:rsid w:val="00F004EC"/>
    <w:rsid w:val="00F067CA"/>
    <w:rsid w:val="00F150BE"/>
    <w:rsid w:val="00F41111"/>
    <w:rsid w:val="00F9045D"/>
    <w:rsid w:val="00F96472"/>
    <w:rsid w:val="00FA1539"/>
    <w:rsid w:val="00FA66D4"/>
    <w:rsid w:val="00FC1FDA"/>
    <w:rsid w:val="00FC71E9"/>
    <w:rsid w:val="00FD3DC2"/>
    <w:rsid w:val="00FF4D5F"/>
    <w:rsid w:val="00FF5907"/>
    <w:rsid w:val="010938DA"/>
    <w:rsid w:val="011EE32A"/>
    <w:rsid w:val="01B5FFAA"/>
    <w:rsid w:val="01C6F937"/>
    <w:rsid w:val="01F12A04"/>
    <w:rsid w:val="0235BC4C"/>
    <w:rsid w:val="0291DEF2"/>
    <w:rsid w:val="033AB475"/>
    <w:rsid w:val="03E54E26"/>
    <w:rsid w:val="040C4C48"/>
    <w:rsid w:val="044A5AAC"/>
    <w:rsid w:val="04A396FA"/>
    <w:rsid w:val="04CA9E70"/>
    <w:rsid w:val="04FF9719"/>
    <w:rsid w:val="05C1DE8E"/>
    <w:rsid w:val="05C97FB4"/>
    <w:rsid w:val="05CB6BE5"/>
    <w:rsid w:val="05D0394B"/>
    <w:rsid w:val="060CB136"/>
    <w:rsid w:val="072429DA"/>
    <w:rsid w:val="07881424"/>
    <w:rsid w:val="079557A6"/>
    <w:rsid w:val="07D60AFE"/>
    <w:rsid w:val="085596EF"/>
    <w:rsid w:val="088A5532"/>
    <w:rsid w:val="08B9E820"/>
    <w:rsid w:val="09100218"/>
    <w:rsid w:val="0959880F"/>
    <w:rsid w:val="0986BCB4"/>
    <w:rsid w:val="0A714D7D"/>
    <w:rsid w:val="0A7C8357"/>
    <w:rsid w:val="0A8A0E5E"/>
    <w:rsid w:val="0AD58C1E"/>
    <w:rsid w:val="0B7CF6C0"/>
    <w:rsid w:val="0C17B174"/>
    <w:rsid w:val="0C476855"/>
    <w:rsid w:val="0C65283D"/>
    <w:rsid w:val="0CB90B17"/>
    <w:rsid w:val="0CD4F617"/>
    <w:rsid w:val="0CFBB4B8"/>
    <w:rsid w:val="0D794F94"/>
    <w:rsid w:val="0DF58E7E"/>
    <w:rsid w:val="0E5BBB26"/>
    <w:rsid w:val="0EE17CE9"/>
    <w:rsid w:val="0F07F065"/>
    <w:rsid w:val="0F13BEF7"/>
    <w:rsid w:val="0F1C5EF3"/>
    <w:rsid w:val="0F3EFD80"/>
    <w:rsid w:val="0F65E0BA"/>
    <w:rsid w:val="0F7CE119"/>
    <w:rsid w:val="100F5DD6"/>
    <w:rsid w:val="109739FF"/>
    <w:rsid w:val="110FEF7C"/>
    <w:rsid w:val="112227FF"/>
    <w:rsid w:val="114AFA8E"/>
    <w:rsid w:val="128154A5"/>
    <w:rsid w:val="12BA0CE7"/>
    <w:rsid w:val="12DE18FA"/>
    <w:rsid w:val="13D6A7B9"/>
    <w:rsid w:val="143EBB34"/>
    <w:rsid w:val="14527A3A"/>
    <w:rsid w:val="145B6CDF"/>
    <w:rsid w:val="14959236"/>
    <w:rsid w:val="151C4611"/>
    <w:rsid w:val="156C1ACD"/>
    <w:rsid w:val="15A703E4"/>
    <w:rsid w:val="15A9A879"/>
    <w:rsid w:val="1622730E"/>
    <w:rsid w:val="16C0F7AB"/>
    <w:rsid w:val="17979222"/>
    <w:rsid w:val="180EF321"/>
    <w:rsid w:val="181E79B7"/>
    <w:rsid w:val="18AA18DC"/>
    <w:rsid w:val="18CEC089"/>
    <w:rsid w:val="195016EB"/>
    <w:rsid w:val="1968D8F6"/>
    <w:rsid w:val="19BC7AA8"/>
    <w:rsid w:val="1A6299BF"/>
    <w:rsid w:val="1B39AC5A"/>
    <w:rsid w:val="1B40CF2A"/>
    <w:rsid w:val="1B63C195"/>
    <w:rsid w:val="1BFADFFF"/>
    <w:rsid w:val="1D043CCB"/>
    <w:rsid w:val="1D2B53E4"/>
    <w:rsid w:val="1D5074AC"/>
    <w:rsid w:val="1D646D57"/>
    <w:rsid w:val="1D6CB11A"/>
    <w:rsid w:val="1D7944E5"/>
    <w:rsid w:val="1DD9C7E5"/>
    <w:rsid w:val="1E20732E"/>
    <w:rsid w:val="1E2DFDAA"/>
    <w:rsid w:val="1E3D247F"/>
    <w:rsid w:val="1E49CF0C"/>
    <w:rsid w:val="1E85101B"/>
    <w:rsid w:val="1EACF66D"/>
    <w:rsid w:val="1EE4D755"/>
    <w:rsid w:val="1F623F16"/>
    <w:rsid w:val="1F8E4B11"/>
    <w:rsid w:val="1FB4E6C6"/>
    <w:rsid w:val="20677477"/>
    <w:rsid w:val="206EED11"/>
    <w:rsid w:val="20CDA0A8"/>
    <w:rsid w:val="219A4EF5"/>
    <w:rsid w:val="21BBCA80"/>
    <w:rsid w:val="21E28FD9"/>
    <w:rsid w:val="21E8D1A7"/>
    <w:rsid w:val="220D8CF6"/>
    <w:rsid w:val="221047FD"/>
    <w:rsid w:val="22633122"/>
    <w:rsid w:val="2297BF1E"/>
    <w:rsid w:val="22E62922"/>
    <w:rsid w:val="234BE10F"/>
    <w:rsid w:val="23599E68"/>
    <w:rsid w:val="236ED37A"/>
    <w:rsid w:val="238B3B62"/>
    <w:rsid w:val="24C67D9A"/>
    <w:rsid w:val="25B30400"/>
    <w:rsid w:val="2613C37D"/>
    <w:rsid w:val="262B8513"/>
    <w:rsid w:val="26439972"/>
    <w:rsid w:val="26C5438D"/>
    <w:rsid w:val="27134793"/>
    <w:rsid w:val="2722F307"/>
    <w:rsid w:val="278FA2D8"/>
    <w:rsid w:val="2796D5E2"/>
    <w:rsid w:val="28989944"/>
    <w:rsid w:val="28BC795D"/>
    <w:rsid w:val="28C8429C"/>
    <w:rsid w:val="2959AA3E"/>
    <w:rsid w:val="29B3B18F"/>
    <w:rsid w:val="29E79520"/>
    <w:rsid w:val="2A02F647"/>
    <w:rsid w:val="2A676696"/>
    <w:rsid w:val="2A6EDA60"/>
    <w:rsid w:val="2AAE51BE"/>
    <w:rsid w:val="2B9951C1"/>
    <w:rsid w:val="2BA998E5"/>
    <w:rsid w:val="2DAE92F6"/>
    <w:rsid w:val="2DEAA535"/>
    <w:rsid w:val="2E85AD42"/>
    <w:rsid w:val="2E9CD603"/>
    <w:rsid w:val="2EA06E97"/>
    <w:rsid w:val="2F337A4C"/>
    <w:rsid w:val="2F807963"/>
    <w:rsid w:val="2FBA471B"/>
    <w:rsid w:val="302D3407"/>
    <w:rsid w:val="3059EEDD"/>
    <w:rsid w:val="30A60C9C"/>
    <w:rsid w:val="31599DEA"/>
    <w:rsid w:val="31C03BA8"/>
    <w:rsid w:val="321B020B"/>
    <w:rsid w:val="3255E415"/>
    <w:rsid w:val="32722899"/>
    <w:rsid w:val="3358D280"/>
    <w:rsid w:val="335A2F69"/>
    <w:rsid w:val="33637297"/>
    <w:rsid w:val="3372C80B"/>
    <w:rsid w:val="338A9E38"/>
    <w:rsid w:val="33CBFECE"/>
    <w:rsid w:val="3400799C"/>
    <w:rsid w:val="3485CC8F"/>
    <w:rsid w:val="34B07490"/>
    <w:rsid w:val="35E8398D"/>
    <w:rsid w:val="35EB0CAB"/>
    <w:rsid w:val="36EE732E"/>
    <w:rsid w:val="374D00DC"/>
    <w:rsid w:val="3782BAE5"/>
    <w:rsid w:val="37A9D53E"/>
    <w:rsid w:val="37E3FD4B"/>
    <w:rsid w:val="38345F52"/>
    <w:rsid w:val="38FC2C66"/>
    <w:rsid w:val="393A4163"/>
    <w:rsid w:val="396E4891"/>
    <w:rsid w:val="399AEA49"/>
    <w:rsid w:val="39D02FB3"/>
    <w:rsid w:val="3A32930F"/>
    <w:rsid w:val="3AAFFFE0"/>
    <w:rsid w:val="3B65414E"/>
    <w:rsid w:val="3B787117"/>
    <w:rsid w:val="3B9D9DA3"/>
    <w:rsid w:val="3BD41D3A"/>
    <w:rsid w:val="3C6B6BE3"/>
    <w:rsid w:val="3C755529"/>
    <w:rsid w:val="3C939877"/>
    <w:rsid w:val="3C9FAF8A"/>
    <w:rsid w:val="3CF2062C"/>
    <w:rsid w:val="3D1A9EB3"/>
    <w:rsid w:val="3D36CCD8"/>
    <w:rsid w:val="3D810F31"/>
    <w:rsid w:val="3D8C3980"/>
    <w:rsid w:val="3DB5473E"/>
    <w:rsid w:val="3DEDC4AF"/>
    <w:rsid w:val="3F51BF07"/>
    <w:rsid w:val="3F89D43A"/>
    <w:rsid w:val="3FA2034B"/>
    <w:rsid w:val="3FA5700E"/>
    <w:rsid w:val="3FDAD940"/>
    <w:rsid w:val="4022C40B"/>
    <w:rsid w:val="402648DA"/>
    <w:rsid w:val="4082E6AE"/>
    <w:rsid w:val="4119DEDB"/>
    <w:rsid w:val="417F9C46"/>
    <w:rsid w:val="4194FB48"/>
    <w:rsid w:val="4201972D"/>
    <w:rsid w:val="421C08FE"/>
    <w:rsid w:val="425ECC27"/>
    <w:rsid w:val="43C04CF8"/>
    <w:rsid w:val="441C9077"/>
    <w:rsid w:val="44511DA8"/>
    <w:rsid w:val="44AAC16F"/>
    <w:rsid w:val="44AD3A35"/>
    <w:rsid w:val="44CC0A4B"/>
    <w:rsid w:val="44F0EA23"/>
    <w:rsid w:val="45447FE9"/>
    <w:rsid w:val="46330C79"/>
    <w:rsid w:val="466C35C6"/>
    <w:rsid w:val="46C4290C"/>
    <w:rsid w:val="47127884"/>
    <w:rsid w:val="4729B36A"/>
    <w:rsid w:val="477D4C4D"/>
    <w:rsid w:val="47E5EB25"/>
    <w:rsid w:val="4833C714"/>
    <w:rsid w:val="48B5DBF5"/>
    <w:rsid w:val="48E42F58"/>
    <w:rsid w:val="497A714F"/>
    <w:rsid w:val="49A1CA89"/>
    <w:rsid w:val="49F921BB"/>
    <w:rsid w:val="4A17F10C"/>
    <w:rsid w:val="4AC0EE13"/>
    <w:rsid w:val="4B7FB5EB"/>
    <w:rsid w:val="4C08FBDA"/>
    <w:rsid w:val="4C6B6A5B"/>
    <w:rsid w:val="4C9F1170"/>
    <w:rsid w:val="4CB76272"/>
    <w:rsid w:val="4CBF21D0"/>
    <w:rsid w:val="4CC06F68"/>
    <w:rsid w:val="4CCBCB0E"/>
    <w:rsid w:val="4D3C87F6"/>
    <w:rsid w:val="4D3EE9C0"/>
    <w:rsid w:val="4D502EDF"/>
    <w:rsid w:val="4D75D74E"/>
    <w:rsid w:val="4D9596E5"/>
    <w:rsid w:val="4D9F802B"/>
    <w:rsid w:val="4DD88BE8"/>
    <w:rsid w:val="4E051698"/>
    <w:rsid w:val="4E4E7312"/>
    <w:rsid w:val="4FD9D755"/>
    <w:rsid w:val="4FF0FD0A"/>
    <w:rsid w:val="50A9EAA3"/>
    <w:rsid w:val="51422F6B"/>
    <w:rsid w:val="515DFC6A"/>
    <w:rsid w:val="518613D4"/>
    <w:rsid w:val="518CCD6B"/>
    <w:rsid w:val="51D96BC5"/>
    <w:rsid w:val="51DBC3D5"/>
    <w:rsid w:val="534FB47A"/>
    <w:rsid w:val="53E7DCDE"/>
    <w:rsid w:val="542793FF"/>
    <w:rsid w:val="54392ECC"/>
    <w:rsid w:val="549686F8"/>
    <w:rsid w:val="54BDB496"/>
    <w:rsid w:val="553359F6"/>
    <w:rsid w:val="559F4348"/>
    <w:rsid w:val="55E4CFBF"/>
    <w:rsid w:val="563A2E6D"/>
    <w:rsid w:val="566AD697"/>
    <w:rsid w:val="573B13A9"/>
    <w:rsid w:val="578829F4"/>
    <w:rsid w:val="5798B255"/>
    <w:rsid w:val="57F7F71C"/>
    <w:rsid w:val="580368AA"/>
    <w:rsid w:val="583B24E9"/>
    <w:rsid w:val="589FC359"/>
    <w:rsid w:val="58AF09AA"/>
    <w:rsid w:val="58ED23FB"/>
    <w:rsid w:val="59210C34"/>
    <w:rsid w:val="594E0FBA"/>
    <w:rsid w:val="59A31C33"/>
    <w:rsid w:val="59B9A549"/>
    <w:rsid w:val="5A37A48C"/>
    <w:rsid w:val="5A6CACF3"/>
    <w:rsid w:val="5A70EB4E"/>
    <w:rsid w:val="5A7E0F5B"/>
    <w:rsid w:val="5ADBF51A"/>
    <w:rsid w:val="5AEA91AE"/>
    <w:rsid w:val="5B1FE63C"/>
    <w:rsid w:val="5B935E10"/>
    <w:rsid w:val="5CE3EDAA"/>
    <w:rsid w:val="5CEC20FA"/>
    <w:rsid w:val="5D547AC1"/>
    <w:rsid w:val="5D78507E"/>
    <w:rsid w:val="5DBDE4FA"/>
    <w:rsid w:val="5E2180DD"/>
    <w:rsid w:val="5E8F6207"/>
    <w:rsid w:val="5E9814AB"/>
    <w:rsid w:val="5FF3BDFF"/>
    <w:rsid w:val="60180B16"/>
    <w:rsid w:val="603F3426"/>
    <w:rsid w:val="605AE56C"/>
    <w:rsid w:val="60D3BCB0"/>
    <w:rsid w:val="617A4F67"/>
    <w:rsid w:val="61C28898"/>
    <w:rsid w:val="61D1F569"/>
    <w:rsid w:val="62223C97"/>
    <w:rsid w:val="6288450E"/>
    <w:rsid w:val="62910541"/>
    <w:rsid w:val="62A5E37D"/>
    <w:rsid w:val="62BA03B6"/>
    <w:rsid w:val="62E35282"/>
    <w:rsid w:val="62FB5D8C"/>
    <w:rsid w:val="630546D2"/>
    <w:rsid w:val="632D86BF"/>
    <w:rsid w:val="639E307C"/>
    <w:rsid w:val="64195C2C"/>
    <w:rsid w:val="6516A7F0"/>
    <w:rsid w:val="6549641A"/>
    <w:rsid w:val="65D5680A"/>
    <w:rsid w:val="65FB61B6"/>
    <w:rsid w:val="66135F4E"/>
    <w:rsid w:val="661AF344"/>
    <w:rsid w:val="66305DF1"/>
    <w:rsid w:val="67636BB4"/>
    <w:rsid w:val="68B3EE6F"/>
    <w:rsid w:val="691430EE"/>
    <w:rsid w:val="6921F3AF"/>
    <w:rsid w:val="69921A41"/>
    <w:rsid w:val="69A94855"/>
    <w:rsid w:val="69CD8A2F"/>
    <w:rsid w:val="69F536DE"/>
    <w:rsid w:val="6A06C995"/>
    <w:rsid w:val="6A0E8187"/>
    <w:rsid w:val="6A49CE3B"/>
    <w:rsid w:val="6B08875B"/>
    <w:rsid w:val="6BA5110F"/>
    <w:rsid w:val="6BAC4A88"/>
    <w:rsid w:val="6CC42856"/>
    <w:rsid w:val="6D1D04D7"/>
    <w:rsid w:val="6D3E6A57"/>
    <w:rsid w:val="6D3EC8DA"/>
    <w:rsid w:val="6D859EF5"/>
    <w:rsid w:val="6D99175B"/>
    <w:rsid w:val="6DCF7746"/>
    <w:rsid w:val="6E260529"/>
    <w:rsid w:val="6E75FEEE"/>
    <w:rsid w:val="6E894007"/>
    <w:rsid w:val="6EAD0A71"/>
    <w:rsid w:val="6EE7626B"/>
    <w:rsid w:val="6F391074"/>
    <w:rsid w:val="6F55553C"/>
    <w:rsid w:val="6F63FC59"/>
    <w:rsid w:val="6F69D90C"/>
    <w:rsid w:val="6FE485E3"/>
    <w:rsid w:val="707B5FD8"/>
    <w:rsid w:val="7088B408"/>
    <w:rsid w:val="70C37393"/>
    <w:rsid w:val="70E1E0DB"/>
    <w:rsid w:val="714D1D8A"/>
    <w:rsid w:val="71782DEB"/>
    <w:rsid w:val="71CEF0D6"/>
    <w:rsid w:val="71E5E5E7"/>
    <w:rsid w:val="725C308F"/>
    <w:rsid w:val="726C887E"/>
    <w:rsid w:val="72A034A6"/>
    <w:rsid w:val="72CC1CF3"/>
    <w:rsid w:val="730E9F7E"/>
    <w:rsid w:val="73E5B060"/>
    <w:rsid w:val="743A5B43"/>
    <w:rsid w:val="75F0FDC5"/>
    <w:rsid w:val="7686CF58"/>
    <w:rsid w:val="76B58C94"/>
    <w:rsid w:val="76E7584E"/>
    <w:rsid w:val="77775798"/>
    <w:rsid w:val="77CFF58C"/>
    <w:rsid w:val="77DFD29B"/>
    <w:rsid w:val="77E597DB"/>
    <w:rsid w:val="78013153"/>
    <w:rsid w:val="7805E0D5"/>
    <w:rsid w:val="790F762A"/>
    <w:rsid w:val="79175EB1"/>
    <w:rsid w:val="79D5D6F4"/>
    <w:rsid w:val="7A215A23"/>
    <w:rsid w:val="7A54F1E4"/>
    <w:rsid w:val="7A5A57CB"/>
    <w:rsid w:val="7AF9C60F"/>
    <w:rsid w:val="7BF48D74"/>
    <w:rsid w:val="7C9D9FFE"/>
    <w:rsid w:val="7CD951F8"/>
    <w:rsid w:val="7D02594A"/>
    <w:rsid w:val="7D04C0E2"/>
    <w:rsid w:val="7D1AF1F9"/>
    <w:rsid w:val="7D34BAE7"/>
    <w:rsid w:val="7D4AFA59"/>
    <w:rsid w:val="7F09BEFC"/>
    <w:rsid w:val="7F444532"/>
    <w:rsid w:val="7F7EB7AE"/>
    <w:rsid w:val="7FCD36E8"/>
    <w:rsid w:val="7FD9A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18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 w:type="paragraph" w:styleId="FootnoteText">
    <w:name w:val="footnote text"/>
    <w:basedOn w:val="Normal"/>
    <w:link w:val="FootnoteTextChar"/>
    <w:semiHidden/>
    <w:unhideWhenUsed/>
    <w:rsid w:val="00143F8A"/>
    <w:pPr>
      <w:widowControl w:val="0"/>
      <w:suppressAutoHyphens/>
      <w:spacing w:after="0" w:line="240" w:lineRule="auto"/>
    </w:pPr>
    <w:rPr>
      <w:rFonts w:ascii="Times New Roman" w:eastAsia="Andale Sans UI" w:hAnsi="Times New Roman" w:cs="Tahoma"/>
      <w:sz w:val="20"/>
      <w:szCs w:val="20"/>
      <w:lang w:bidi="en-US"/>
    </w:rPr>
  </w:style>
  <w:style w:type="character" w:customStyle="1" w:styleId="FootnoteTextChar">
    <w:name w:val="Footnote Text Char"/>
    <w:basedOn w:val="DefaultParagraphFont"/>
    <w:link w:val="FootnoteText"/>
    <w:semiHidden/>
    <w:rsid w:val="00143F8A"/>
    <w:rPr>
      <w:rFonts w:eastAsia="Andale Sans UI" w:cs="Tahoma"/>
      <w:sz w:val="20"/>
      <w:szCs w:val="20"/>
      <w:lang w:bidi="en-US"/>
    </w:rPr>
  </w:style>
  <w:style w:type="character" w:styleId="FootnoteReference">
    <w:name w:val="footnote reference"/>
    <w:semiHidden/>
    <w:unhideWhenUsed/>
    <w:rsid w:val="00143F8A"/>
    <w:rPr>
      <w:vertAlign w:val="superscript"/>
    </w:rPr>
  </w:style>
  <w:style w:type="character" w:customStyle="1" w:styleId="normaltextrun">
    <w:name w:val="normaltextrun"/>
    <w:basedOn w:val="DefaultParagraphFont"/>
    <w:rsid w:val="00B00FB8"/>
  </w:style>
  <w:style w:type="character" w:customStyle="1" w:styleId="eop">
    <w:name w:val="eop"/>
    <w:basedOn w:val="DefaultParagraphFont"/>
    <w:rsid w:val="00B00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 w:type="paragraph" w:styleId="FootnoteText">
    <w:name w:val="footnote text"/>
    <w:basedOn w:val="Normal"/>
    <w:link w:val="FootnoteTextChar"/>
    <w:semiHidden/>
    <w:unhideWhenUsed/>
    <w:rsid w:val="00143F8A"/>
    <w:pPr>
      <w:widowControl w:val="0"/>
      <w:suppressAutoHyphens/>
      <w:spacing w:after="0" w:line="240" w:lineRule="auto"/>
    </w:pPr>
    <w:rPr>
      <w:rFonts w:ascii="Times New Roman" w:eastAsia="Andale Sans UI" w:hAnsi="Times New Roman" w:cs="Tahoma"/>
      <w:sz w:val="20"/>
      <w:szCs w:val="20"/>
      <w:lang w:bidi="en-US"/>
    </w:rPr>
  </w:style>
  <w:style w:type="character" w:customStyle="1" w:styleId="FootnoteTextChar">
    <w:name w:val="Footnote Text Char"/>
    <w:basedOn w:val="DefaultParagraphFont"/>
    <w:link w:val="FootnoteText"/>
    <w:semiHidden/>
    <w:rsid w:val="00143F8A"/>
    <w:rPr>
      <w:rFonts w:eastAsia="Andale Sans UI" w:cs="Tahoma"/>
      <w:sz w:val="20"/>
      <w:szCs w:val="20"/>
      <w:lang w:bidi="en-US"/>
    </w:rPr>
  </w:style>
  <w:style w:type="character" w:styleId="FootnoteReference">
    <w:name w:val="footnote reference"/>
    <w:semiHidden/>
    <w:unhideWhenUsed/>
    <w:rsid w:val="00143F8A"/>
    <w:rPr>
      <w:vertAlign w:val="superscript"/>
    </w:rPr>
  </w:style>
  <w:style w:type="character" w:customStyle="1" w:styleId="normaltextrun">
    <w:name w:val="normaltextrun"/>
    <w:basedOn w:val="DefaultParagraphFont"/>
    <w:rsid w:val="00B00FB8"/>
  </w:style>
  <w:style w:type="character" w:customStyle="1" w:styleId="eop">
    <w:name w:val="eop"/>
    <w:basedOn w:val="DefaultParagraphFont"/>
    <w:rsid w:val="00B0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0921">
      <w:bodyDiv w:val="1"/>
      <w:marLeft w:val="0"/>
      <w:marRight w:val="0"/>
      <w:marTop w:val="0"/>
      <w:marBottom w:val="0"/>
      <w:divBdr>
        <w:top w:val="none" w:sz="0" w:space="0" w:color="auto"/>
        <w:left w:val="none" w:sz="0" w:space="0" w:color="auto"/>
        <w:bottom w:val="none" w:sz="0" w:space="0" w:color="auto"/>
        <w:right w:val="none" w:sz="0" w:space="0" w:color="auto"/>
      </w:divBdr>
    </w:div>
    <w:div w:id="137919242">
      <w:bodyDiv w:val="1"/>
      <w:marLeft w:val="0"/>
      <w:marRight w:val="0"/>
      <w:marTop w:val="0"/>
      <w:marBottom w:val="0"/>
      <w:divBdr>
        <w:top w:val="none" w:sz="0" w:space="0" w:color="auto"/>
        <w:left w:val="none" w:sz="0" w:space="0" w:color="auto"/>
        <w:bottom w:val="none" w:sz="0" w:space="0" w:color="auto"/>
        <w:right w:val="none" w:sz="0" w:space="0" w:color="auto"/>
      </w:divBdr>
    </w:div>
    <w:div w:id="485825650">
      <w:bodyDiv w:val="1"/>
      <w:marLeft w:val="0"/>
      <w:marRight w:val="0"/>
      <w:marTop w:val="0"/>
      <w:marBottom w:val="0"/>
      <w:divBdr>
        <w:top w:val="none" w:sz="0" w:space="0" w:color="auto"/>
        <w:left w:val="none" w:sz="0" w:space="0" w:color="auto"/>
        <w:bottom w:val="none" w:sz="0" w:space="0" w:color="auto"/>
        <w:right w:val="none" w:sz="0" w:space="0" w:color="auto"/>
      </w:divBdr>
    </w:div>
    <w:div w:id="527380427">
      <w:bodyDiv w:val="1"/>
      <w:marLeft w:val="0"/>
      <w:marRight w:val="0"/>
      <w:marTop w:val="0"/>
      <w:marBottom w:val="0"/>
      <w:divBdr>
        <w:top w:val="none" w:sz="0" w:space="0" w:color="auto"/>
        <w:left w:val="none" w:sz="0" w:space="0" w:color="auto"/>
        <w:bottom w:val="none" w:sz="0" w:space="0" w:color="auto"/>
        <w:right w:val="none" w:sz="0" w:space="0" w:color="auto"/>
      </w:divBdr>
    </w:div>
    <w:div w:id="554046775">
      <w:bodyDiv w:val="1"/>
      <w:marLeft w:val="0"/>
      <w:marRight w:val="0"/>
      <w:marTop w:val="0"/>
      <w:marBottom w:val="0"/>
      <w:divBdr>
        <w:top w:val="none" w:sz="0" w:space="0" w:color="auto"/>
        <w:left w:val="none" w:sz="0" w:space="0" w:color="auto"/>
        <w:bottom w:val="none" w:sz="0" w:space="0" w:color="auto"/>
        <w:right w:val="none" w:sz="0" w:space="0" w:color="auto"/>
      </w:divBdr>
      <w:divsChild>
        <w:div w:id="1643775260">
          <w:marLeft w:val="0"/>
          <w:marRight w:val="0"/>
          <w:marTop w:val="0"/>
          <w:marBottom w:val="0"/>
          <w:divBdr>
            <w:top w:val="none" w:sz="0" w:space="0" w:color="auto"/>
            <w:left w:val="none" w:sz="0" w:space="0" w:color="auto"/>
            <w:bottom w:val="none" w:sz="0" w:space="0" w:color="auto"/>
            <w:right w:val="none" w:sz="0" w:space="0" w:color="auto"/>
          </w:divBdr>
        </w:div>
        <w:div w:id="361398172">
          <w:marLeft w:val="0"/>
          <w:marRight w:val="0"/>
          <w:marTop w:val="0"/>
          <w:marBottom w:val="0"/>
          <w:divBdr>
            <w:top w:val="none" w:sz="0" w:space="0" w:color="auto"/>
            <w:left w:val="none" w:sz="0" w:space="0" w:color="auto"/>
            <w:bottom w:val="none" w:sz="0" w:space="0" w:color="auto"/>
            <w:right w:val="none" w:sz="0" w:space="0" w:color="auto"/>
          </w:divBdr>
        </w:div>
        <w:div w:id="619341418">
          <w:marLeft w:val="0"/>
          <w:marRight w:val="0"/>
          <w:marTop w:val="0"/>
          <w:marBottom w:val="0"/>
          <w:divBdr>
            <w:top w:val="none" w:sz="0" w:space="0" w:color="auto"/>
            <w:left w:val="none" w:sz="0" w:space="0" w:color="auto"/>
            <w:bottom w:val="none" w:sz="0" w:space="0" w:color="auto"/>
            <w:right w:val="none" w:sz="0" w:space="0" w:color="auto"/>
          </w:divBdr>
        </w:div>
      </w:divsChild>
    </w:div>
    <w:div w:id="567763974">
      <w:bodyDiv w:val="1"/>
      <w:marLeft w:val="0"/>
      <w:marRight w:val="0"/>
      <w:marTop w:val="0"/>
      <w:marBottom w:val="0"/>
      <w:divBdr>
        <w:top w:val="none" w:sz="0" w:space="0" w:color="auto"/>
        <w:left w:val="none" w:sz="0" w:space="0" w:color="auto"/>
        <w:bottom w:val="none" w:sz="0" w:space="0" w:color="auto"/>
        <w:right w:val="none" w:sz="0" w:space="0" w:color="auto"/>
      </w:divBdr>
    </w:div>
    <w:div w:id="619343682">
      <w:bodyDiv w:val="1"/>
      <w:marLeft w:val="0"/>
      <w:marRight w:val="0"/>
      <w:marTop w:val="0"/>
      <w:marBottom w:val="0"/>
      <w:divBdr>
        <w:top w:val="none" w:sz="0" w:space="0" w:color="auto"/>
        <w:left w:val="none" w:sz="0" w:space="0" w:color="auto"/>
        <w:bottom w:val="none" w:sz="0" w:space="0" w:color="auto"/>
        <w:right w:val="none" w:sz="0" w:space="0" w:color="auto"/>
      </w:divBdr>
    </w:div>
    <w:div w:id="782042919">
      <w:bodyDiv w:val="1"/>
      <w:marLeft w:val="0"/>
      <w:marRight w:val="0"/>
      <w:marTop w:val="0"/>
      <w:marBottom w:val="0"/>
      <w:divBdr>
        <w:top w:val="none" w:sz="0" w:space="0" w:color="auto"/>
        <w:left w:val="none" w:sz="0" w:space="0" w:color="auto"/>
        <w:bottom w:val="none" w:sz="0" w:space="0" w:color="auto"/>
        <w:right w:val="none" w:sz="0" w:space="0" w:color="auto"/>
      </w:divBdr>
    </w:div>
    <w:div w:id="833452574">
      <w:bodyDiv w:val="1"/>
      <w:marLeft w:val="0"/>
      <w:marRight w:val="0"/>
      <w:marTop w:val="0"/>
      <w:marBottom w:val="0"/>
      <w:divBdr>
        <w:top w:val="none" w:sz="0" w:space="0" w:color="auto"/>
        <w:left w:val="none" w:sz="0" w:space="0" w:color="auto"/>
        <w:bottom w:val="none" w:sz="0" w:space="0" w:color="auto"/>
        <w:right w:val="none" w:sz="0" w:space="0" w:color="auto"/>
      </w:divBdr>
    </w:div>
    <w:div w:id="1250575167">
      <w:bodyDiv w:val="1"/>
      <w:marLeft w:val="0"/>
      <w:marRight w:val="0"/>
      <w:marTop w:val="0"/>
      <w:marBottom w:val="0"/>
      <w:divBdr>
        <w:top w:val="none" w:sz="0" w:space="0" w:color="auto"/>
        <w:left w:val="none" w:sz="0" w:space="0" w:color="auto"/>
        <w:bottom w:val="none" w:sz="0" w:space="0" w:color="auto"/>
        <w:right w:val="none" w:sz="0" w:space="0" w:color="auto"/>
      </w:divBdr>
    </w:div>
    <w:div w:id="1251743455">
      <w:bodyDiv w:val="1"/>
      <w:marLeft w:val="0"/>
      <w:marRight w:val="0"/>
      <w:marTop w:val="0"/>
      <w:marBottom w:val="0"/>
      <w:divBdr>
        <w:top w:val="none" w:sz="0" w:space="0" w:color="auto"/>
        <w:left w:val="none" w:sz="0" w:space="0" w:color="auto"/>
        <w:bottom w:val="none" w:sz="0" w:space="0" w:color="auto"/>
        <w:right w:val="none" w:sz="0" w:space="0" w:color="auto"/>
      </w:divBdr>
    </w:div>
    <w:div w:id="1410424654">
      <w:bodyDiv w:val="1"/>
      <w:marLeft w:val="0"/>
      <w:marRight w:val="0"/>
      <w:marTop w:val="0"/>
      <w:marBottom w:val="0"/>
      <w:divBdr>
        <w:top w:val="none" w:sz="0" w:space="0" w:color="auto"/>
        <w:left w:val="none" w:sz="0" w:space="0" w:color="auto"/>
        <w:bottom w:val="none" w:sz="0" w:space="0" w:color="auto"/>
        <w:right w:val="none" w:sz="0" w:space="0" w:color="auto"/>
      </w:divBdr>
    </w:div>
    <w:div w:id="1960717505">
      <w:bodyDiv w:val="1"/>
      <w:marLeft w:val="0"/>
      <w:marRight w:val="0"/>
      <w:marTop w:val="0"/>
      <w:marBottom w:val="0"/>
      <w:divBdr>
        <w:top w:val="none" w:sz="0" w:space="0" w:color="auto"/>
        <w:left w:val="none" w:sz="0" w:space="0" w:color="auto"/>
        <w:bottom w:val="none" w:sz="0" w:space="0" w:color="auto"/>
        <w:right w:val="none" w:sz="0" w:space="0" w:color="auto"/>
      </w:divBdr>
      <w:divsChild>
        <w:div w:id="44379537">
          <w:marLeft w:val="0"/>
          <w:marRight w:val="0"/>
          <w:marTop w:val="0"/>
          <w:marBottom w:val="0"/>
          <w:divBdr>
            <w:top w:val="none" w:sz="0" w:space="0" w:color="auto"/>
            <w:left w:val="none" w:sz="0" w:space="0" w:color="auto"/>
            <w:bottom w:val="none" w:sz="0" w:space="0" w:color="auto"/>
            <w:right w:val="none" w:sz="0" w:space="0" w:color="auto"/>
          </w:divBdr>
        </w:div>
        <w:div w:id="55404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427c796106444bad"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e906d38aea404c3f" Type="http://schemas.microsoft.com/office/2011/relationships/people" Target="people.xml"/><Relationship Id="Rba445d1337b844d9"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Lina Čeičytė</DisplayName>
        <AccountId>134</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D9AC-10B3-4119-8EEA-B99F7523F4DC}">
  <ds:schemaRefs>
    <ds:schemaRef ds:uri="http://schemas.microsoft.com/sharepoint/v3/contenttype/forms"/>
  </ds:schemaRefs>
</ds:datastoreItem>
</file>

<file path=customXml/itemProps2.xml><?xml version="1.0" encoding="utf-8"?>
<ds:datastoreItem xmlns:ds="http://schemas.openxmlformats.org/officeDocument/2006/customXml" ds:itemID="{0CEA4DCF-1FEA-4D97-A9D3-4F5968A952DD}">
  <ds:schemaRefs>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5aad5d0-9c26-490e-8743-a6c7ceabd501"/>
    <ds:schemaRef ds:uri="http://schemas.microsoft.com/office/2006/documentManagement/typ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D72FFB6-262E-447D-A392-319282A0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3DD63-C301-4CE7-BA83-8567597C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Sabaliauskiene</dc:creator>
  <cp:lastModifiedBy>Lina Čeičytė</cp:lastModifiedBy>
  <cp:revision>7</cp:revision>
  <dcterms:created xsi:type="dcterms:W3CDTF">2021-05-17T08:05:00Z</dcterms:created>
  <dcterms:modified xsi:type="dcterms:W3CDTF">2021-05-17T12:45:00Z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