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3039C" w14:textId="08FEEB0A" w:rsidR="00A1481D" w:rsidRPr="00006B11" w:rsidRDefault="00A1481D">
      <w:pPr>
        <w:rPr>
          <w:sz w:val="22"/>
          <w:szCs w:val="22"/>
        </w:rPr>
      </w:pPr>
    </w:p>
    <w:tbl>
      <w:tblPr>
        <w:tblStyle w:val="TableGrid"/>
        <w:tblW w:w="0" w:type="auto"/>
        <w:tblLook w:val="04A0" w:firstRow="1" w:lastRow="0" w:firstColumn="1" w:lastColumn="0" w:noHBand="0" w:noVBand="1"/>
      </w:tblPr>
      <w:tblGrid>
        <w:gridCol w:w="1415"/>
        <w:gridCol w:w="1415"/>
        <w:gridCol w:w="2552"/>
        <w:gridCol w:w="2977"/>
        <w:gridCol w:w="2404"/>
      </w:tblGrid>
      <w:tr w:rsidR="00C33A0B" w:rsidRPr="00006B11" w14:paraId="2A4B3B6C" w14:textId="77777777" w:rsidTr="009705BE">
        <w:trPr>
          <w:trHeight w:val="769"/>
        </w:trPr>
        <w:tc>
          <w:tcPr>
            <w:tcW w:w="2830" w:type="dxa"/>
            <w:gridSpan w:val="2"/>
            <w:vMerge w:val="restart"/>
            <w:shd w:val="clear" w:color="auto" w:fill="D9E2F3" w:themeFill="accent1" w:themeFillTint="33"/>
          </w:tcPr>
          <w:p w14:paraId="0B4D8A22" w14:textId="1496A562" w:rsidR="00C33A0B" w:rsidRPr="00006B11" w:rsidRDefault="00C33A0B" w:rsidP="0040729D">
            <w:pPr>
              <w:jc w:val="center"/>
              <w:rPr>
                <w:b/>
                <w:bCs/>
                <w:sz w:val="22"/>
                <w:szCs w:val="22"/>
              </w:rPr>
            </w:pPr>
            <w:r w:rsidRPr="00006B11">
              <w:rPr>
                <w:b/>
                <w:bCs/>
                <w:sz w:val="22"/>
                <w:szCs w:val="22"/>
              </w:rPr>
              <w:t>ĮSTATYMO</w:t>
            </w:r>
          </w:p>
          <w:p w14:paraId="38B8FD30" w14:textId="5721EEF5" w:rsidR="00C33A0B" w:rsidRPr="00006B11" w:rsidRDefault="00C33A0B" w:rsidP="0040729D">
            <w:pPr>
              <w:jc w:val="center"/>
              <w:rPr>
                <w:b/>
                <w:bCs/>
                <w:sz w:val="22"/>
                <w:szCs w:val="22"/>
              </w:rPr>
            </w:pPr>
            <w:r w:rsidRPr="00006B11">
              <w:rPr>
                <w:b/>
                <w:bCs/>
                <w:sz w:val="22"/>
                <w:szCs w:val="22"/>
              </w:rPr>
              <w:t>PROJEKTAS</w:t>
            </w:r>
          </w:p>
          <w:p w14:paraId="2BD5F52D" w14:textId="0448B773" w:rsidR="0046371A" w:rsidRPr="000D7EA0" w:rsidRDefault="0046371A" w:rsidP="0046371A">
            <w:pPr>
              <w:jc w:val="center"/>
              <w:rPr>
                <w:sz w:val="22"/>
                <w:szCs w:val="22"/>
              </w:rPr>
            </w:pPr>
            <w:r>
              <w:rPr>
                <w:b/>
                <w:bCs/>
                <w:sz w:val="22"/>
                <w:szCs w:val="22"/>
              </w:rPr>
              <w:t xml:space="preserve">Nr. </w:t>
            </w:r>
            <w:r w:rsidRPr="000D7EA0">
              <w:rPr>
                <w:sz w:val="22"/>
                <w:szCs w:val="22"/>
              </w:rPr>
              <w:t>TAP-21-1310</w:t>
            </w:r>
            <w:r w:rsidR="00C33A0B" w:rsidRPr="000D7EA0">
              <w:rPr>
                <w:sz w:val="22"/>
                <w:szCs w:val="22"/>
              </w:rPr>
              <w:t xml:space="preserve"> </w:t>
            </w:r>
          </w:p>
          <w:p w14:paraId="6A099752" w14:textId="77777777" w:rsidR="00C33A0B" w:rsidRPr="000D7EA0" w:rsidRDefault="000D7EA0" w:rsidP="0040729D">
            <w:pPr>
              <w:jc w:val="center"/>
              <w:rPr>
                <w:sz w:val="22"/>
                <w:szCs w:val="22"/>
              </w:rPr>
            </w:pPr>
            <w:r w:rsidRPr="000D7EA0">
              <w:rPr>
                <w:sz w:val="22"/>
                <w:szCs w:val="22"/>
              </w:rPr>
              <w:t>TAP-21-13</w:t>
            </w:r>
            <w:r w:rsidRPr="000D7EA0">
              <w:rPr>
                <w:sz w:val="22"/>
                <w:szCs w:val="22"/>
              </w:rPr>
              <w:t>07</w:t>
            </w:r>
          </w:p>
          <w:p w14:paraId="38CC5EDE" w14:textId="5F25E250" w:rsidR="000D7EA0" w:rsidRPr="000D7EA0" w:rsidRDefault="000D7EA0" w:rsidP="0040729D">
            <w:pPr>
              <w:jc w:val="center"/>
              <w:rPr>
                <w:sz w:val="22"/>
                <w:szCs w:val="22"/>
              </w:rPr>
            </w:pPr>
            <w:r w:rsidRPr="000D7EA0">
              <w:rPr>
                <w:sz w:val="22"/>
                <w:szCs w:val="22"/>
              </w:rPr>
              <w:t>TAP-21-1</w:t>
            </w:r>
            <w:r w:rsidRPr="000D7EA0">
              <w:rPr>
                <w:sz w:val="22"/>
                <w:szCs w:val="22"/>
              </w:rPr>
              <w:t>131</w:t>
            </w:r>
          </w:p>
          <w:p w14:paraId="6F8F1502" w14:textId="77777777" w:rsidR="000D7EA0" w:rsidRPr="000D7EA0" w:rsidRDefault="000D7EA0" w:rsidP="0040729D">
            <w:pPr>
              <w:jc w:val="center"/>
              <w:rPr>
                <w:sz w:val="22"/>
                <w:szCs w:val="22"/>
              </w:rPr>
            </w:pPr>
            <w:r w:rsidRPr="000D7EA0">
              <w:rPr>
                <w:sz w:val="22"/>
                <w:szCs w:val="22"/>
              </w:rPr>
              <w:t>TAP-21-1</w:t>
            </w:r>
            <w:r w:rsidRPr="000D7EA0">
              <w:rPr>
                <w:sz w:val="22"/>
                <w:szCs w:val="22"/>
              </w:rPr>
              <w:t>129</w:t>
            </w:r>
          </w:p>
          <w:p w14:paraId="64FA06D9" w14:textId="77777777" w:rsidR="000D7EA0" w:rsidRPr="000D7EA0" w:rsidRDefault="000D7EA0" w:rsidP="0040729D">
            <w:pPr>
              <w:jc w:val="center"/>
              <w:rPr>
                <w:sz w:val="22"/>
                <w:szCs w:val="22"/>
              </w:rPr>
            </w:pPr>
            <w:r w:rsidRPr="000D7EA0">
              <w:rPr>
                <w:sz w:val="22"/>
                <w:szCs w:val="22"/>
              </w:rPr>
              <w:t>TAP-21-1</w:t>
            </w:r>
            <w:r w:rsidRPr="000D7EA0">
              <w:rPr>
                <w:sz w:val="22"/>
                <w:szCs w:val="22"/>
              </w:rPr>
              <w:t>130</w:t>
            </w:r>
          </w:p>
          <w:p w14:paraId="62D67B07" w14:textId="77777777" w:rsidR="000D7EA0" w:rsidRPr="000D7EA0" w:rsidRDefault="000D7EA0" w:rsidP="0040729D">
            <w:pPr>
              <w:jc w:val="center"/>
              <w:rPr>
                <w:sz w:val="22"/>
                <w:szCs w:val="22"/>
              </w:rPr>
            </w:pPr>
            <w:r w:rsidRPr="000D7EA0">
              <w:rPr>
                <w:sz w:val="22"/>
                <w:szCs w:val="22"/>
              </w:rPr>
              <w:t>TAP-21-1</w:t>
            </w:r>
            <w:r w:rsidRPr="000D7EA0">
              <w:rPr>
                <w:sz w:val="22"/>
                <w:szCs w:val="22"/>
              </w:rPr>
              <w:t>127</w:t>
            </w:r>
          </w:p>
          <w:p w14:paraId="482C4B7C" w14:textId="77777777" w:rsidR="000D7EA0" w:rsidRPr="000D7EA0" w:rsidRDefault="000D7EA0" w:rsidP="0040729D">
            <w:pPr>
              <w:jc w:val="center"/>
              <w:rPr>
                <w:sz w:val="22"/>
                <w:szCs w:val="22"/>
              </w:rPr>
            </w:pPr>
            <w:r w:rsidRPr="000D7EA0">
              <w:rPr>
                <w:sz w:val="22"/>
                <w:szCs w:val="22"/>
              </w:rPr>
              <w:t>TAP-21-1</w:t>
            </w:r>
            <w:r w:rsidRPr="000D7EA0">
              <w:rPr>
                <w:sz w:val="22"/>
                <w:szCs w:val="22"/>
              </w:rPr>
              <w:t>126</w:t>
            </w:r>
          </w:p>
          <w:p w14:paraId="4A2B97EA" w14:textId="6BE924AA" w:rsidR="000D7EA0" w:rsidRPr="00006B11" w:rsidRDefault="000D7EA0" w:rsidP="0040729D">
            <w:pPr>
              <w:jc w:val="center"/>
              <w:rPr>
                <w:b/>
                <w:bCs/>
                <w:sz w:val="22"/>
                <w:szCs w:val="22"/>
              </w:rPr>
            </w:pPr>
            <w:r w:rsidRPr="000D7EA0">
              <w:rPr>
                <w:sz w:val="22"/>
                <w:szCs w:val="22"/>
              </w:rPr>
              <w:t>TAP-21-</w:t>
            </w:r>
            <w:r w:rsidRPr="000D7EA0">
              <w:rPr>
                <w:sz w:val="22"/>
                <w:szCs w:val="22"/>
              </w:rPr>
              <w:t>1128</w:t>
            </w:r>
          </w:p>
        </w:tc>
        <w:tc>
          <w:tcPr>
            <w:tcW w:w="7933" w:type="dxa"/>
            <w:gridSpan w:val="3"/>
          </w:tcPr>
          <w:p w14:paraId="22C10489" w14:textId="77777777" w:rsidR="0046371A" w:rsidRDefault="00C33A0B" w:rsidP="0046371A">
            <w:pPr>
              <w:shd w:val="clear" w:color="auto" w:fill="FFFFFF"/>
              <w:spacing w:after="60"/>
              <w:ind w:right="79"/>
              <w:jc w:val="left"/>
              <w:rPr>
                <w:b/>
                <w:bCs/>
                <w:caps/>
                <w:sz w:val="20"/>
              </w:rPr>
            </w:pPr>
            <w:r w:rsidRPr="00006B11">
              <w:rPr>
                <w:b/>
                <w:sz w:val="22"/>
                <w:szCs w:val="22"/>
              </w:rPr>
              <w:t xml:space="preserve">DĖL </w:t>
            </w:r>
            <w:r w:rsidR="0046371A" w:rsidRPr="0046371A">
              <w:rPr>
                <w:b/>
                <w:bCs/>
                <w:caps/>
                <w:sz w:val="20"/>
              </w:rPr>
              <w:t>Lietuvos Respublikos strateginio valdymo įstatymo Nr. XIII-3096 pakeitimo įstatymo,</w:t>
            </w:r>
          </w:p>
          <w:p w14:paraId="3D86EBC2" w14:textId="77777777" w:rsidR="0046371A" w:rsidRDefault="0046371A" w:rsidP="0046371A">
            <w:pPr>
              <w:shd w:val="clear" w:color="auto" w:fill="FFFFFF"/>
              <w:spacing w:after="60"/>
              <w:ind w:right="79"/>
              <w:jc w:val="left"/>
              <w:rPr>
                <w:b/>
                <w:bCs/>
                <w:caps/>
                <w:sz w:val="20"/>
              </w:rPr>
            </w:pPr>
            <w:r w:rsidRPr="0046371A">
              <w:rPr>
                <w:b/>
                <w:bCs/>
                <w:caps/>
                <w:sz w:val="20"/>
              </w:rPr>
              <w:t>Lietuvos Respublikos regioninės plėtros įstatymo Nr. VIII-1889 2, 4, 5, 6, 7, 9, 10, 11, 12, 13, 14, 23, 25, 26, 28 straipsnių pakeitimo ir 15 straipsnio pripažinimo netekusiu galios įstatymo,</w:t>
            </w:r>
          </w:p>
          <w:p w14:paraId="39975886" w14:textId="77777777" w:rsidR="0046371A" w:rsidRDefault="0046371A" w:rsidP="0046371A">
            <w:pPr>
              <w:shd w:val="clear" w:color="auto" w:fill="FFFFFF"/>
              <w:spacing w:after="60"/>
              <w:ind w:right="79"/>
              <w:jc w:val="left"/>
              <w:rPr>
                <w:b/>
                <w:bCs/>
                <w:caps/>
                <w:sz w:val="20"/>
              </w:rPr>
            </w:pPr>
            <w:r w:rsidRPr="0046371A">
              <w:rPr>
                <w:b/>
                <w:bCs/>
                <w:caps/>
                <w:sz w:val="20"/>
              </w:rPr>
              <w:t>Lietuvos Respublikos investicijų įstatymo Nr. VIII-1312 1, 2, 3, 91, 12 ir 13 straipsnių pakeitimo įstatymo,</w:t>
            </w:r>
          </w:p>
          <w:p w14:paraId="4E2A5CE4" w14:textId="77777777" w:rsidR="0046371A" w:rsidRDefault="0046371A" w:rsidP="0046371A">
            <w:pPr>
              <w:shd w:val="clear" w:color="auto" w:fill="FFFFFF"/>
              <w:spacing w:after="60"/>
              <w:ind w:right="79"/>
              <w:jc w:val="left"/>
              <w:rPr>
                <w:b/>
                <w:bCs/>
                <w:caps/>
                <w:sz w:val="20"/>
              </w:rPr>
            </w:pPr>
            <w:r w:rsidRPr="0046371A">
              <w:rPr>
                <w:b/>
                <w:bCs/>
                <w:caps/>
                <w:sz w:val="20"/>
              </w:rPr>
              <w:t>Lietuvos Respublikos žemės įstatymo Nr. I-446 9 ir 45 straipsnių pakeitimo įstatymo,</w:t>
            </w:r>
          </w:p>
          <w:p w14:paraId="6A2F79F4" w14:textId="77777777" w:rsidR="0046371A" w:rsidRDefault="0046371A" w:rsidP="0046371A">
            <w:pPr>
              <w:shd w:val="clear" w:color="auto" w:fill="FFFFFF"/>
              <w:spacing w:after="60"/>
              <w:ind w:right="79"/>
              <w:jc w:val="left"/>
              <w:rPr>
                <w:b/>
                <w:bCs/>
                <w:caps/>
                <w:sz w:val="20"/>
              </w:rPr>
            </w:pPr>
            <w:r w:rsidRPr="0046371A">
              <w:rPr>
                <w:b/>
                <w:bCs/>
                <w:caps/>
                <w:sz w:val="20"/>
              </w:rPr>
              <w:t>Lietuvos Respublikos teritorijų planavimo įstatymo Nr. I-1120 2 straipsnio pakeitimo įstatymo,</w:t>
            </w:r>
          </w:p>
          <w:p w14:paraId="5A8C8577" w14:textId="77777777" w:rsidR="0046371A" w:rsidRDefault="0046371A" w:rsidP="0046371A">
            <w:pPr>
              <w:shd w:val="clear" w:color="auto" w:fill="FFFFFF"/>
              <w:spacing w:after="60"/>
              <w:ind w:right="79"/>
              <w:jc w:val="left"/>
              <w:rPr>
                <w:b/>
                <w:bCs/>
                <w:caps/>
                <w:sz w:val="20"/>
              </w:rPr>
            </w:pPr>
            <w:r w:rsidRPr="0046371A">
              <w:rPr>
                <w:b/>
                <w:bCs/>
                <w:caps/>
                <w:sz w:val="20"/>
              </w:rPr>
              <w:t>Lietuvos Respublikos teritorijų planavimo įstatymo Nr. I-1120 2, 4, 6, 17, 20, 23 ir 28 straipsnių pakeitimo įstatymo Nr. XIII-3163 8 straipsnio pakeitimo įstatymo,</w:t>
            </w:r>
          </w:p>
          <w:p w14:paraId="056FBA50" w14:textId="053B99EB" w:rsidR="00C33A0B" w:rsidRPr="0046371A" w:rsidRDefault="0046371A" w:rsidP="00006B11">
            <w:pPr>
              <w:shd w:val="clear" w:color="auto" w:fill="FFFFFF"/>
              <w:ind w:right="79"/>
              <w:jc w:val="left"/>
              <w:rPr>
                <w:b/>
                <w:bCs/>
                <w:caps/>
                <w:sz w:val="22"/>
                <w:szCs w:val="22"/>
              </w:rPr>
            </w:pPr>
            <w:r w:rsidRPr="0046371A">
              <w:rPr>
                <w:b/>
                <w:bCs/>
                <w:caps/>
                <w:sz w:val="20"/>
              </w:rPr>
              <w:t>Lietuvos Respublikos viešojo administravimo įstatymo Nr. VIII-1234 5 straipsnio pakeitimo įstatymo projektų pateikimo Lietuvos Respublikos Seimui</w:t>
            </w:r>
            <w:r w:rsidR="00C33A0B" w:rsidRPr="0046371A">
              <w:rPr>
                <w:b/>
                <w:bCs/>
                <w:caps/>
                <w:sz w:val="22"/>
                <w:szCs w:val="22"/>
              </w:rPr>
              <w:t xml:space="preserve"> </w:t>
            </w:r>
          </w:p>
        </w:tc>
      </w:tr>
      <w:tr w:rsidR="00B25236" w:rsidRPr="00006B11" w14:paraId="680C4BE6" w14:textId="77777777" w:rsidTr="008E1A5B">
        <w:tc>
          <w:tcPr>
            <w:tcW w:w="2830" w:type="dxa"/>
            <w:gridSpan w:val="2"/>
            <w:vMerge/>
            <w:shd w:val="clear" w:color="auto" w:fill="D9E2F3" w:themeFill="accent1" w:themeFillTint="33"/>
          </w:tcPr>
          <w:p w14:paraId="2FBF12A7" w14:textId="77777777" w:rsidR="00B25236" w:rsidRPr="00006B11" w:rsidRDefault="00B25236" w:rsidP="0040729D">
            <w:pPr>
              <w:rPr>
                <w:b/>
                <w:bCs/>
                <w:sz w:val="22"/>
                <w:szCs w:val="22"/>
              </w:rPr>
            </w:pPr>
          </w:p>
        </w:tc>
        <w:tc>
          <w:tcPr>
            <w:tcW w:w="2552" w:type="dxa"/>
            <w:shd w:val="clear" w:color="auto" w:fill="D9D9D9" w:themeFill="background1" w:themeFillShade="D9"/>
          </w:tcPr>
          <w:p w14:paraId="503B590D" w14:textId="77777777" w:rsidR="00B25236" w:rsidRPr="00006B11" w:rsidRDefault="00B25236" w:rsidP="0040729D">
            <w:pPr>
              <w:rPr>
                <w:b/>
                <w:bCs/>
                <w:sz w:val="22"/>
                <w:szCs w:val="22"/>
              </w:rPr>
            </w:pPr>
            <w:r w:rsidRPr="00006B11">
              <w:rPr>
                <w:b/>
                <w:bCs/>
                <w:sz w:val="22"/>
                <w:szCs w:val="22"/>
              </w:rPr>
              <w:t>Rengėjas</w:t>
            </w:r>
          </w:p>
        </w:tc>
        <w:tc>
          <w:tcPr>
            <w:tcW w:w="2977" w:type="dxa"/>
            <w:shd w:val="clear" w:color="auto" w:fill="D9D9D9" w:themeFill="background1" w:themeFillShade="D9"/>
          </w:tcPr>
          <w:p w14:paraId="7F93410A" w14:textId="5E0886FB" w:rsidR="00B25236" w:rsidRPr="00006B11" w:rsidRDefault="00B25236" w:rsidP="0040729D">
            <w:pPr>
              <w:rPr>
                <w:b/>
                <w:bCs/>
                <w:sz w:val="22"/>
                <w:szCs w:val="22"/>
              </w:rPr>
            </w:pPr>
            <w:r w:rsidRPr="00006B11">
              <w:rPr>
                <w:b/>
                <w:bCs/>
                <w:sz w:val="22"/>
                <w:szCs w:val="22"/>
              </w:rPr>
              <w:t>Svarstyta</w:t>
            </w:r>
          </w:p>
        </w:tc>
        <w:tc>
          <w:tcPr>
            <w:tcW w:w="2404" w:type="dxa"/>
            <w:shd w:val="clear" w:color="auto" w:fill="D9D9D9" w:themeFill="background1" w:themeFillShade="D9"/>
          </w:tcPr>
          <w:p w14:paraId="572CAD97" w14:textId="54F7B41B" w:rsidR="00B25236" w:rsidRPr="00006B11" w:rsidRDefault="00B25236" w:rsidP="0040729D">
            <w:pPr>
              <w:rPr>
                <w:b/>
                <w:bCs/>
                <w:sz w:val="22"/>
                <w:szCs w:val="22"/>
              </w:rPr>
            </w:pPr>
            <w:r w:rsidRPr="00006B11">
              <w:rPr>
                <w:b/>
                <w:bCs/>
                <w:sz w:val="22"/>
                <w:szCs w:val="22"/>
              </w:rPr>
              <w:t xml:space="preserve">Siūloma </w:t>
            </w:r>
          </w:p>
        </w:tc>
      </w:tr>
      <w:tr w:rsidR="00DB2853" w:rsidRPr="00006B11" w14:paraId="69ACFA99" w14:textId="77777777" w:rsidTr="00DB2853">
        <w:trPr>
          <w:trHeight w:val="830"/>
        </w:trPr>
        <w:tc>
          <w:tcPr>
            <w:tcW w:w="1415" w:type="dxa"/>
            <w:shd w:val="clear" w:color="auto" w:fill="D9E2F3" w:themeFill="accent1" w:themeFillTint="33"/>
          </w:tcPr>
          <w:p w14:paraId="7D27CEDF" w14:textId="7D919000" w:rsidR="00DB2853" w:rsidRPr="00B25236" w:rsidRDefault="00DB2853" w:rsidP="00B25236">
            <w:pPr>
              <w:jc w:val="left"/>
              <w:rPr>
                <w:sz w:val="22"/>
                <w:szCs w:val="22"/>
              </w:rPr>
            </w:pPr>
            <w:r w:rsidRPr="00B25236">
              <w:rPr>
                <w:sz w:val="22"/>
                <w:szCs w:val="22"/>
              </w:rPr>
              <w:t>Įtraukta į artimiausią Seimo sesiją</w:t>
            </w:r>
          </w:p>
        </w:tc>
        <w:tc>
          <w:tcPr>
            <w:tcW w:w="1415" w:type="dxa"/>
            <w:shd w:val="clear" w:color="auto" w:fill="D9E2F3" w:themeFill="accent1" w:themeFillTint="33"/>
          </w:tcPr>
          <w:p w14:paraId="5D500BC3" w14:textId="6396C72A" w:rsidR="00DB2853" w:rsidRPr="00006B11" w:rsidRDefault="00DB2853" w:rsidP="00B25236">
            <w:pPr>
              <w:rPr>
                <w:bCs/>
                <w:sz w:val="22"/>
                <w:szCs w:val="22"/>
              </w:rPr>
            </w:pPr>
            <w:r w:rsidRPr="00006B11">
              <w:rPr>
                <w:bCs/>
                <w:sz w:val="22"/>
                <w:szCs w:val="22"/>
              </w:rPr>
              <w:t>Taip</w:t>
            </w:r>
          </w:p>
          <w:p w14:paraId="3AC8B2C9" w14:textId="2A638D65" w:rsidR="00DB2853" w:rsidRPr="00006B11" w:rsidRDefault="00DB2853" w:rsidP="00B25236">
            <w:pPr>
              <w:rPr>
                <w:b/>
                <w:bCs/>
                <w:sz w:val="22"/>
                <w:szCs w:val="22"/>
              </w:rPr>
            </w:pPr>
          </w:p>
        </w:tc>
        <w:tc>
          <w:tcPr>
            <w:tcW w:w="2552" w:type="dxa"/>
          </w:tcPr>
          <w:p w14:paraId="4917DBD6" w14:textId="2ABE5A31" w:rsidR="00DB2853" w:rsidRPr="00DB2853" w:rsidRDefault="00DB2853" w:rsidP="00DB2853">
            <w:pPr>
              <w:jc w:val="left"/>
              <w:rPr>
                <w:sz w:val="22"/>
                <w:szCs w:val="22"/>
              </w:rPr>
            </w:pPr>
            <w:r>
              <w:rPr>
                <w:sz w:val="22"/>
                <w:szCs w:val="22"/>
              </w:rPr>
              <w:t xml:space="preserve">Finansų </w:t>
            </w:r>
            <w:r w:rsidRPr="00B25236">
              <w:rPr>
                <w:sz w:val="22"/>
                <w:szCs w:val="22"/>
              </w:rPr>
              <w:t>ministerija</w:t>
            </w:r>
          </w:p>
          <w:p w14:paraId="407FA901" w14:textId="7011BA66" w:rsidR="00DB2853" w:rsidRPr="00006B11" w:rsidRDefault="00DB2853" w:rsidP="001A0258">
            <w:pPr>
              <w:jc w:val="left"/>
              <w:rPr>
                <w:i/>
                <w:iCs/>
                <w:sz w:val="22"/>
                <w:szCs w:val="22"/>
              </w:rPr>
            </w:pPr>
          </w:p>
        </w:tc>
        <w:tc>
          <w:tcPr>
            <w:tcW w:w="2977" w:type="dxa"/>
          </w:tcPr>
          <w:p w14:paraId="7592DEBF" w14:textId="5912161E" w:rsidR="00DB2853" w:rsidRPr="00DB2853" w:rsidRDefault="00DB2853" w:rsidP="0040729D">
            <w:pPr>
              <w:jc w:val="left"/>
              <w:rPr>
                <w:i/>
                <w:iCs/>
                <w:sz w:val="22"/>
                <w:szCs w:val="22"/>
              </w:rPr>
            </w:pPr>
            <w:r w:rsidRPr="00DB2853">
              <w:rPr>
                <w:i/>
                <w:iCs/>
                <w:sz w:val="22"/>
                <w:szCs w:val="22"/>
              </w:rPr>
              <w:t>Nesvarstyta</w:t>
            </w:r>
          </w:p>
        </w:tc>
        <w:tc>
          <w:tcPr>
            <w:tcW w:w="2404" w:type="dxa"/>
          </w:tcPr>
          <w:p w14:paraId="401C5822" w14:textId="5671985E" w:rsidR="00DB2853" w:rsidRPr="00B25236" w:rsidRDefault="00DB2853" w:rsidP="0040729D">
            <w:pPr>
              <w:jc w:val="left"/>
              <w:rPr>
                <w:b/>
                <w:bCs/>
                <w:sz w:val="22"/>
                <w:szCs w:val="22"/>
              </w:rPr>
            </w:pPr>
            <w:r w:rsidRPr="00B25236">
              <w:rPr>
                <w:b/>
                <w:bCs/>
                <w:sz w:val="22"/>
                <w:szCs w:val="22"/>
              </w:rPr>
              <w:t>Svarstyti</w:t>
            </w:r>
          </w:p>
          <w:p w14:paraId="7140D949" w14:textId="18E65AB0" w:rsidR="00DB2853" w:rsidRPr="00DB2853" w:rsidRDefault="00DB2853" w:rsidP="00DB2853">
            <w:pPr>
              <w:ind w:left="227"/>
              <w:jc w:val="left"/>
              <w:rPr>
                <w:bCs/>
                <w:sz w:val="22"/>
                <w:szCs w:val="22"/>
              </w:rPr>
            </w:pPr>
            <w:r w:rsidRPr="00B25236">
              <w:rPr>
                <w:bCs/>
                <w:sz w:val="22"/>
                <w:szCs w:val="22"/>
              </w:rPr>
              <w:t>TAP</w:t>
            </w:r>
          </w:p>
          <w:p w14:paraId="55F9C2A4" w14:textId="2127CD30" w:rsidR="00DB2853" w:rsidRPr="00006B11" w:rsidRDefault="00DB2853" w:rsidP="0040729D">
            <w:pPr>
              <w:jc w:val="left"/>
              <w:rPr>
                <w:sz w:val="22"/>
                <w:szCs w:val="22"/>
              </w:rPr>
            </w:pPr>
          </w:p>
        </w:tc>
      </w:tr>
    </w:tbl>
    <w:p w14:paraId="22434D32" w14:textId="0DBC3922" w:rsidR="00141833" w:rsidRPr="00006B11" w:rsidRDefault="00141833">
      <w:pPr>
        <w:rPr>
          <w:sz w:val="22"/>
          <w:szCs w:val="22"/>
        </w:rPr>
      </w:pPr>
    </w:p>
    <w:tbl>
      <w:tblPr>
        <w:tblStyle w:val="TableGrid"/>
        <w:tblW w:w="10768" w:type="dxa"/>
        <w:tblLook w:val="04A0" w:firstRow="1" w:lastRow="0" w:firstColumn="1" w:lastColumn="0" w:noHBand="0" w:noVBand="1"/>
      </w:tblPr>
      <w:tblGrid>
        <w:gridCol w:w="1980"/>
        <w:gridCol w:w="6379"/>
        <w:gridCol w:w="2409"/>
      </w:tblGrid>
      <w:tr w:rsidR="00292C60" w:rsidRPr="00006B11" w14:paraId="0DFB9C0E" w14:textId="77777777" w:rsidTr="008E1A5B">
        <w:trPr>
          <w:trHeight w:val="278"/>
        </w:trPr>
        <w:tc>
          <w:tcPr>
            <w:tcW w:w="1980" w:type="dxa"/>
            <w:vMerge w:val="restart"/>
            <w:shd w:val="clear" w:color="auto" w:fill="D9E2F3" w:themeFill="accent1" w:themeFillTint="33"/>
          </w:tcPr>
          <w:p w14:paraId="14D9EE28" w14:textId="03234644" w:rsidR="00292C60" w:rsidRPr="00006B11" w:rsidRDefault="00292C60" w:rsidP="0092329D">
            <w:pPr>
              <w:rPr>
                <w:b/>
                <w:bCs/>
                <w:sz w:val="22"/>
                <w:szCs w:val="22"/>
              </w:rPr>
            </w:pPr>
            <w:r w:rsidRPr="00006B11">
              <w:rPr>
                <w:b/>
                <w:bCs/>
                <w:sz w:val="22"/>
                <w:szCs w:val="22"/>
              </w:rPr>
              <w:t>DALYKINIS VERTINIMAS</w:t>
            </w:r>
          </w:p>
        </w:tc>
        <w:tc>
          <w:tcPr>
            <w:tcW w:w="6379" w:type="dxa"/>
            <w:shd w:val="clear" w:color="auto" w:fill="FFFFFF" w:themeFill="background1"/>
          </w:tcPr>
          <w:p w14:paraId="3D041FAE" w14:textId="77777777" w:rsidR="00292C60" w:rsidRPr="009E1CCF" w:rsidRDefault="00292C60" w:rsidP="0092329D">
            <w:pPr>
              <w:shd w:val="clear" w:color="auto" w:fill="FFFFFF"/>
              <w:ind w:right="79"/>
              <w:jc w:val="left"/>
              <w:rPr>
                <w:bCs/>
                <w:sz w:val="22"/>
                <w:szCs w:val="22"/>
              </w:rPr>
            </w:pPr>
            <w:r w:rsidRPr="009E1CCF">
              <w:rPr>
                <w:bCs/>
                <w:sz w:val="22"/>
                <w:szCs w:val="22"/>
              </w:rPr>
              <w:t>Siūlomos pagrįstos priemonės, kurios padės išspręsti nustatytą problemą</w:t>
            </w:r>
          </w:p>
        </w:tc>
        <w:tc>
          <w:tcPr>
            <w:tcW w:w="2409" w:type="dxa"/>
            <w:shd w:val="clear" w:color="auto" w:fill="FFFFFF" w:themeFill="background1"/>
          </w:tcPr>
          <w:p w14:paraId="2FEBCED3" w14:textId="7AE62736" w:rsidR="00292C60" w:rsidRDefault="00292C60" w:rsidP="0092329D">
            <w:pPr>
              <w:rPr>
                <w:bCs/>
                <w:sz w:val="22"/>
                <w:szCs w:val="22"/>
              </w:rPr>
            </w:pPr>
            <w:r w:rsidRPr="00006B11">
              <w:rPr>
                <w:bCs/>
                <w:sz w:val="22"/>
                <w:szCs w:val="22"/>
              </w:rPr>
              <w:t>Taip</w:t>
            </w:r>
          </w:p>
          <w:p w14:paraId="07922E01" w14:textId="6A7B3614" w:rsidR="00292C60" w:rsidRPr="00292C60" w:rsidRDefault="00292C60" w:rsidP="0092329D">
            <w:pPr>
              <w:rPr>
                <w:bCs/>
                <w:sz w:val="22"/>
                <w:szCs w:val="22"/>
              </w:rPr>
            </w:pPr>
          </w:p>
        </w:tc>
      </w:tr>
      <w:tr w:rsidR="00292C60" w:rsidRPr="00006B11" w14:paraId="47D08D9B" w14:textId="77777777" w:rsidTr="008E1A5B">
        <w:trPr>
          <w:trHeight w:val="276"/>
        </w:trPr>
        <w:tc>
          <w:tcPr>
            <w:tcW w:w="1980" w:type="dxa"/>
            <w:vMerge/>
            <w:shd w:val="clear" w:color="auto" w:fill="D9E2F3" w:themeFill="accent1" w:themeFillTint="33"/>
          </w:tcPr>
          <w:p w14:paraId="0BB744E9" w14:textId="77777777" w:rsidR="00292C60" w:rsidRPr="00006B11" w:rsidRDefault="00292C60" w:rsidP="0092329D">
            <w:pPr>
              <w:rPr>
                <w:b/>
                <w:bCs/>
                <w:sz w:val="22"/>
                <w:szCs w:val="22"/>
              </w:rPr>
            </w:pPr>
          </w:p>
        </w:tc>
        <w:tc>
          <w:tcPr>
            <w:tcW w:w="6379" w:type="dxa"/>
            <w:shd w:val="clear" w:color="auto" w:fill="FFFFFF" w:themeFill="background1"/>
          </w:tcPr>
          <w:p w14:paraId="5DDA3BE2" w14:textId="3C0EA674" w:rsidR="00292C60" w:rsidRPr="009E1CCF" w:rsidRDefault="00292C60" w:rsidP="0092329D">
            <w:pPr>
              <w:shd w:val="clear" w:color="auto" w:fill="FFFFFF"/>
              <w:ind w:right="79"/>
              <w:jc w:val="left"/>
              <w:rPr>
                <w:bCs/>
                <w:sz w:val="22"/>
                <w:szCs w:val="22"/>
              </w:rPr>
            </w:pPr>
            <w:r w:rsidRPr="009E1CCF">
              <w:rPr>
                <w:bCs/>
                <w:sz w:val="22"/>
                <w:szCs w:val="22"/>
              </w:rPr>
              <w:t>Siūlomas sprendimas pagrįstas įrodymais (duomenimis, faktine informacija)</w:t>
            </w:r>
          </w:p>
        </w:tc>
        <w:tc>
          <w:tcPr>
            <w:tcW w:w="2409" w:type="dxa"/>
            <w:shd w:val="clear" w:color="auto" w:fill="FFFFFF" w:themeFill="background1"/>
          </w:tcPr>
          <w:p w14:paraId="10DB4AC8" w14:textId="3E3DF258" w:rsidR="00292C60" w:rsidRPr="00292C60" w:rsidRDefault="00292C60" w:rsidP="0092329D">
            <w:pPr>
              <w:rPr>
                <w:bCs/>
                <w:sz w:val="22"/>
                <w:szCs w:val="22"/>
              </w:rPr>
            </w:pPr>
            <w:r w:rsidRPr="00292C60">
              <w:rPr>
                <w:bCs/>
                <w:sz w:val="22"/>
                <w:szCs w:val="22"/>
              </w:rPr>
              <w:t>Ne</w:t>
            </w:r>
          </w:p>
        </w:tc>
      </w:tr>
      <w:tr w:rsidR="00292C60" w:rsidRPr="00006B11" w14:paraId="533A60D8" w14:textId="77777777" w:rsidTr="008E1A5B">
        <w:trPr>
          <w:trHeight w:val="276"/>
        </w:trPr>
        <w:tc>
          <w:tcPr>
            <w:tcW w:w="1980" w:type="dxa"/>
            <w:vMerge/>
            <w:shd w:val="clear" w:color="auto" w:fill="D9E2F3" w:themeFill="accent1" w:themeFillTint="33"/>
          </w:tcPr>
          <w:p w14:paraId="26D560EE" w14:textId="77777777" w:rsidR="00292C60" w:rsidRPr="00006B11" w:rsidRDefault="00292C60" w:rsidP="0092329D">
            <w:pPr>
              <w:rPr>
                <w:b/>
                <w:bCs/>
                <w:sz w:val="22"/>
                <w:szCs w:val="22"/>
              </w:rPr>
            </w:pPr>
          </w:p>
        </w:tc>
        <w:tc>
          <w:tcPr>
            <w:tcW w:w="6379" w:type="dxa"/>
            <w:shd w:val="clear" w:color="auto" w:fill="FFFFFF" w:themeFill="background1"/>
          </w:tcPr>
          <w:p w14:paraId="511CB6C2" w14:textId="14FEA043" w:rsidR="00292C60" w:rsidRPr="009E1CCF" w:rsidRDefault="00292C60" w:rsidP="0092329D">
            <w:pPr>
              <w:shd w:val="clear" w:color="auto" w:fill="FFFFFF"/>
              <w:ind w:right="79"/>
              <w:jc w:val="left"/>
              <w:rPr>
                <w:bCs/>
                <w:sz w:val="22"/>
                <w:szCs w:val="22"/>
              </w:rPr>
            </w:pPr>
            <w:r w:rsidRPr="009E1CCF">
              <w:rPr>
                <w:bCs/>
                <w:sz w:val="22"/>
                <w:szCs w:val="22"/>
              </w:rPr>
              <w:t>Teisės akto projektas parengtas laikantis Vyriausybės darbo reglamento reikalavimų</w:t>
            </w:r>
            <w:r w:rsidR="009E1CCF">
              <w:rPr>
                <w:bCs/>
                <w:sz w:val="22"/>
                <w:szCs w:val="22"/>
              </w:rPr>
              <w:t xml:space="preserve"> dėl derinimo </w:t>
            </w:r>
            <w:r w:rsidR="0092329D">
              <w:rPr>
                <w:bCs/>
                <w:sz w:val="22"/>
                <w:szCs w:val="22"/>
              </w:rPr>
              <w:t>subjektų</w:t>
            </w:r>
            <w:r w:rsidR="009E1CCF">
              <w:rPr>
                <w:bCs/>
                <w:sz w:val="22"/>
                <w:szCs w:val="22"/>
              </w:rPr>
              <w:t xml:space="preserve">, terminų, </w:t>
            </w:r>
            <w:r w:rsidR="0092329D">
              <w:rPr>
                <w:bCs/>
                <w:sz w:val="22"/>
                <w:szCs w:val="22"/>
              </w:rPr>
              <w:t>projekto lydimosios medžiagos</w:t>
            </w:r>
          </w:p>
        </w:tc>
        <w:tc>
          <w:tcPr>
            <w:tcW w:w="2409" w:type="dxa"/>
            <w:shd w:val="clear" w:color="auto" w:fill="FFFFFF" w:themeFill="background1"/>
          </w:tcPr>
          <w:p w14:paraId="6426DB24" w14:textId="77FF4C7B" w:rsidR="00292C60" w:rsidRDefault="00292C60" w:rsidP="0092329D">
            <w:pPr>
              <w:rPr>
                <w:bCs/>
                <w:sz w:val="22"/>
                <w:szCs w:val="22"/>
              </w:rPr>
            </w:pPr>
            <w:r w:rsidRPr="00006B11">
              <w:rPr>
                <w:bCs/>
                <w:sz w:val="22"/>
                <w:szCs w:val="22"/>
              </w:rPr>
              <w:t>Taip</w:t>
            </w:r>
          </w:p>
          <w:p w14:paraId="62F45A55" w14:textId="03FA9541" w:rsidR="00292C60" w:rsidRPr="009E1CCF" w:rsidRDefault="00292C60" w:rsidP="0092329D">
            <w:pPr>
              <w:rPr>
                <w:bCs/>
                <w:sz w:val="22"/>
                <w:szCs w:val="22"/>
              </w:rPr>
            </w:pPr>
          </w:p>
        </w:tc>
      </w:tr>
      <w:tr w:rsidR="00292C60" w:rsidRPr="00006B11" w14:paraId="34C5487D" w14:textId="77777777" w:rsidTr="008E1A5B">
        <w:trPr>
          <w:trHeight w:val="276"/>
        </w:trPr>
        <w:tc>
          <w:tcPr>
            <w:tcW w:w="1980" w:type="dxa"/>
            <w:vMerge/>
            <w:shd w:val="clear" w:color="auto" w:fill="D9E2F3" w:themeFill="accent1" w:themeFillTint="33"/>
          </w:tcPr>
          <w:p w14:paraId="01A222E0" w14:textId="77777777" w:rsidR="00292C60" w:rsidRPr="00006B11" w:rsidRDefault="00292C60" w:rsidP="0092329D">
            <w:pPr>
              <w:rPr>
                <w:b/>
                <w:bCs/>
                <w:sz w:val="22"/>
                <w:szCs w:val="22"/>
              </w:rPr>
            </w:pPr>
          </w:p>
        </w:tc>
        <w:tc>
          <w:tcPr>
            <w:tcW w:w="6379" w:type="dxa"/>
            <w:shd w:val="clear" w:color="auto" w:fill="FFFFFF" w:themeFill="background1"/>
          </w:tcPr>
          <w:p w14:paraId="788F5851" w14:textId="6ADF4B12" w:rsidR="00292C60" w:rsidRPr="009E1CCF" w:rsidRDefault="00292C60" w:rsidP="0092329D">
            <w:pPr>
              <w:shd w:val="clear" w:color="auto" w:fill="FFFFFF"/>
              <w:ind w:right="79"/>
              <w:jc w:val="left"/>
              <w:rPr>
                <w:bCs/>
                <w:sz w:val="22"/>
                <w:szCs w:val="22"/>
              </w:rPr>
            </w:pPr>
            <w:r w:rsidRPr="009E1CCF">
              <w:rPr>
                <w:bCs/>
                <w:sz w:val="22"/>
                <w:szCs w:val="22"/>
              </w:rPr>
              <w:t>Teisėkūros procesas buvo įtraukus</w:t>
            </w:r>
            <w:r w:rsidR="0061358B">
              <w:rPr>
                <w:bCs/>
                <w:sz w:val="22"/>
                <w:szCs w:val="22"/>
              </w:rPr>
              <w:t>, užtikrinant tinkamą suinteresuotų asmenų informavimą ir dalyvavimo sąlygas</w:t>
            </w:r>
          </w:p>
        </w:tc>
        <w:tc>
          <w:tcPr>
            <w:tcW w:w="2409" w:type="dxa"/>
            <w:shd w:val="clear" w:color="auto" w:fill="FFFFFF" w:themeFill="background1"/>
          </w:tcPr>
          <w:p w14:paraId="194F4E7F" w14:textId="07374FBC" w:rsidR="009E1CCF" w:rsidRDefault="00292C60" w:rsidP="0092329D">
            <w:pPr>
              <w:rPr>
                <w:bCs/>
                <w:sz w:val="22"/>
                <w:szCs w:val="22"/>
              </w:rPr>
            </w:pPr>
            <w:r>
              <w:rPr>
                <w:bCs/>
                <w:sz w:val="22"/>
                <w:szCs w:val="22"/>
              </w:rPr>
              <w:t>Iš dalies</w:t>
            </w:r>
          </w:p>
          <w:p w14:paraId="4420AE23" w14:textId="0E8E4BB2" w:rsidR="0061358B" w:rsidRPr="0061358B" w:rsidRDefault="0061358B" w:rsidP="0092329D">
            <w:pPr>
              <w:rPr>
                <w:bCs/>
                <w:sz w:val="22"/>
                <w:szCs w:val="22"/>
              </w:rPr>
            </w:pPr>
          </w:p>
        </w:tc>
      </w:tr>
    </w:tbl>
    <w:p w14:paraId="5C1460FF" w14:textId="77777777" w:rsidR="001A0258" w:rsidRPr="00006B11" w:rsidRDefault="001A0258">
      <w:pPr>
        <w:rPr>
          <w:sz w:val="22"/>
          <w:szCs w:val="22"/>
        </w:rPr>
      </w:pPr>
    </w:p>
    <w:tbl>
      <w:tblPr>
        <w:tblStyle w:val="TableGrid"/>
        <w:tblW w:w="10768" w:type="dxa"/>
        <w:tblLook w:val="04A0" w:firstRow="1" w:lastRow="0" w:firstColumn="1" w:lastColumn="0" w:noHBand="0" w:noVBand="1"/>
      </w:tblPr>
      <w:tblGrid>
        <w:gridCol w:w="1980"/>
        <w:gridCol w:w="8788"/>
      </w:tblGrid>
      <w:tr w:rsidR="00A1481D" w:rsidRPr="00006B11" w14:paraId="50378D7E" w14:textId="77777777" w:rsidTr="008E1A5B">
        <w:tc>
          <w:tcPr>
            <w:tcW w:w="1980" w:type="dxa"/>
            <w:shd w:val="clear" w:color="auto" w:fill="D9E2F3" w:themeFill="accent1" w:themeFillTint="33"/>
          </w:tcPr>
          <w:p w14:paraId="7169D8B7" w14:textId="77777777" w:rsidR="00A1481D" w:rsidRPr="00006B11" w:rsidRDefault="00A1481D" w:rsidP="0040729D">
            <w:pPr>
              <w:spacing w:before="60" w:after="60"/>
              <w:rPr>
                <w:b/>
                <w:bCs/>
                <w:sz w:val="22"/>
                <w:szCs w:val="22"/>
              </w:rPr>
            </w:pPr>
            <w:r w:rsidRPr="00006B11">
              <w:rPr>
                <w:b/>
                <w:bCs/>
                <w:sz w:val="22"/>
                <w:szCs w:val="22"/>
              </w:rPr>
              <w:t>PROJEKTO TIKSLAS</w:t>
            </w:r>
          </w:p>
        </w:tc>
        <w:tc>
          <w:tcPr>
            <w:tcW w:w="8788" w:type="dxa"/>
          </w:tcPr>
          <w:p w14:paraId="04ABDC85" w14:textId="76EA2E55" w:rsidR="00A1481D" w:rsidRPr="006D2133" w:rsidRDefault="006D2133" w:rsidP="0040729D">
            <w:pPr>
              <w:shd w:val="clear" w:color="auto" w:fill="FFFFFF"/>
              <w:spacing w:before="60" w:after="60"/>
              <w:ind w:right="79"/>
              <w:jc w:val="left"/>
              <w:rPr>
                <w:bCs/>
                <w:sz w:val="22"/>
                <w:szCs w:val="22"/>
              </w:rPr>
            </w:pPr>
            <w:r w:rsidRPr="006D2133">
              <w:rPr>
                <w:bCs/>
                <w:sz w:val="22"/>
                <w:szCs w:val="22"/>
              </w:rPr>
              <w:t xml:space="preserve">Strateginio valdymo sistemoje atlikti pakeitimus, kurių poreikis atsirado darbą pradėjus Aštuonioliktajai Vyriausybei, ištaisyti praktikoje jau pastebėtus </w:t>
            </w:r>
            <w:r>
              <w:rPr>
                <w:bCs/>
                <w:sz w:val="22"/>
                <w:szCs w:val="22"/>
              </w:rPr>
              <w:t>regulia</w:t>
            </w:r>
            <w:r w:rsidR="00DB2853">
              <w:rPr>
                <w:bCs/>
                <w:sz w:val="22"/>
                <w:szCs w:val="22"/>
              </w:rPr>
              <w:t xml:space="preserve">vimo </w:t>
            </w:r>
            <w:r w:rsidRPr="006D2133">
              <w:rPr>
                <w:bCs/>
                <w:sz w:val="22"/>
                <w:szCs w:val="22"/>
              </w:rPr>
              <w:t xml:space="preserve">trūkumus </w:t>
            </w:r>
          </w:p>
        </w:tc>
      </w:tr>
    </w:tbl>
    <w:p w14:paraId="2CD3E4F9" w14:textId="5803F767" w:rsidR="00A1481D" w:rsidRPr="00006B11" w:rsidRDefault="00A1481D">
      <w:pPr>
        <w:rPr>
          <w:sz w:val="22"/>
          <w:szCs w:val="22"/>
        </w:rPr>
      </w:pPr>
    </w:p>
    <w:tbl>
      <w:tblPr>
        <w:tblStyle w:val="TableGrid"/>
        <w:tblW w:w="10768" w:type="dxa"/>
        <w:tblLook w:val="04A0" w:firstRow="1" w:lastRow="0" w:firstColumn="1" w:lastColumn="0" w:noHBand="0" w:noVBand="1"/>
      </w:tblPr>
      <w:tblGrid>
        <w:gridCol w:w="3256"/>
        <w:gridCol w:w="7512"/>
      </w:tblGrid>
      <w:tr w:rsidR="00A1481D" w:rsidRPr="00006B11" w14:paraId="5A9A455E" w14:textId="77777777" w:rsidTr="008E1A5B">
        <w:tc>
          <w:tcPr>
            <w:tcW w:w="3256" w:type="dxa"/>
            <w:shd w:val="clear" w:color="auto" w:fill="D9E2F3" w:themeFill="accent1" w:themeFillTint="33"/>
          </w:tcPr>
          <w:p w14:paraId="456FB585" w14:textId="23DB147F" w:rsidR="00A1481D" w:rsidRPr="00006B11" w:rsidRDefault="00A1481D" w:rsidP="007E5D9D">
            <w:pPr>
              <w:spacing w:before="60" w:after="60"/>
              <w:jc w:val="left"/>
              <w:rPr>
                <w:sz w:val="22"/>
                <w:szCs w:val="22"/>
              </w:rPr>
            </w:pPr>
            <w:r w:rsidRPr="00006B11">
              <w:rPr>
                <w:b/>
                <w:bCs/>
                <w:sz w:val="22"/>
                <w:szCs w:val="22"/>
              </w:rPr>
              <w:t>P</w:t>
            </w:r>
            <w:r w:rsidR="00CC64F2">
              <w:rPr>
                <w:b/>
                <w:bCs/>
                <w:sz w:val="22"/>
                <w:szCs w:val="22"/>
              </w:rPr>
              <w:t>OREIKĮ KEISTI REGULIAVIM</w:t>
            </w:r>
            <w:r w:rsidR="007E5D9D">
              <w:rPr>
                <w:b/>
                <w:bCs/>
                <w:sz w:val="22"/>
                <w:szCs w:val="22"/>
              </w:rPr>
              <w:t>Ą INDIKUOJANTYS SUBJEKTAI IR (AR) ŠALTINIAI</w:t>
            </w:r>
          </w:p>
        </w:tc>
        <w:tc>
          <w:tcPr>
            <w:tcW w:w="7512" w:type="dxa"/>
            <w:shd w:val="clear" w:color="auto" w:fill="D9E2F3" w:themeFill="accent1" w:themeFillTint="33"/>
          </w:tcPr>
          <w:p w14:paraId="69937FCA" w14:textId="48166FD1" w:rsidR="00A1481D" w:rsidRPr="00006B11" w:rsidRDefault="00A1481D" w:rsidP="0040729D">
            <w:pPr>
              <w:spacing w:before="60" w:after="60"/>
              <w:rPr>
                <w:sz w:val="22"/>
                <w:szCs w:val="22"/>
              </w:rPr>
            </w:pPr>
            <w:r w:rsidRPr="00006B11">
              <w:rPr>
                <w:b/>
                <w:bCs/>
                <w:sz w:val="22"/>
                <w:szCs w:val="22"/>
              </w:rPr>
              <w:t>DUOMENYS / ĮRODYMAI</w:t>
            </w:r>
          </w:p>
        </w:tc>
      </w:tr>
      <w:tr w:rsidR="006D2133" w:rsidRPr="00006B11" w14:paraId="61A12A67" w14:textId="77777777" w:rsidTr="00DB2853">
        <w:trPr>
          <w:trHeight w:val="1153"/>
        </w:trPr>
        <w:tc>
          <w:tcPr>
            <w:tcW w:w="3256" w:type="dxa"/>
          </w:tcPr>
          <w:p w14:paraId="6BBB22A0" w14:textId="77777777" w:rsidR="006D2133" w:rsidRPr="00006B11" w:rsidRDefault="006D2133" w:rsidP="000531DA">
            <w:pPr>
              <w:jc w:val="left"/>
              <w:rPr>
                <w:i/>
                <w:iCs/>
                <w:sz w:val="22"/>
                <w:szCs w:val="22"/>
              </w:rPr>
            </w:pPr>
            <w:r w:rsidRPr="007E5D9D">
              <w:rPr>
                <w:sz w:val="22"/>
                <w:szCs w:val="22"/>
              </w:rPr>
              <w:t>□</w:t>
            </w:r>
            <w:r>
              <w:rPr>
                <w:sz w:val="22"/>
                <w:szCs w:val="22"/>
              </w:rPr>
              <w:t xml:space="preserve"> Vyriausybės programa</w:t>
            </w:r>
          </w:p>
          <w:p w14:paraId="052C4A97" w14:textId="77777777" w:rsidR="006D2133" w:rsidRDefault="006D2133" w:rsidP="00D44436">
            <w:pPr>
              <w:shd w:val="clear" w:color="auto" w:fill="FFFFFF"/>
              <w:jc w:val="left"/>
              <w:rPr>
                <w:bCs/>
                <w:sz w:val="22"/>
                <w:szCs w:val="22"/>
              </w:rPr>
            </w:pPr>
            <w:r w:rsidRPr="007E5D9D">
              <w:rPr>
                <w:sz w:val="22"/>
                <w:szCs w:val="22"/>
              </w:rPr>
              <w:t>□</w:t>
            </w:r>
            <w:r>
              <w:rPr>
                <w:sz w:val="22"/>
                <w:szCs w:val="22"/>
              </w:rPr>
              <w:t xml:space="preserve"> </w:t>
            </w:r>
            <w:r>
              <w:rPr>
                <w:bCs/>
                <w:sz w:val="22"/>
                <w:szCs w:val="22"/>
              </w:rPr>
              <w:t>Teisinio reguliavimo nesuderinamumas</w:t>
            </w:r>
          </w:p>
          <w:p w14:paraId="0F363D14" w14:textId="77777777" w:rsidR="006D2133" w:rsidRPr="007E5D9D" w:rsidRDefault="006D2133" w:rsidP="00D44436">
            <w:pPr>
              <w:shd w:val="clear" w:color="auto" w:fill="FFFFFF"/>
              <w:jc w:val="left"/>
              <w:rPr>
                <w:bCs/>
                <w:sz w:val="22"/>
                <w:szCs w:val="22"/>
              </w:rPr>
            </w:pPr>
            <w:r w:rsidRPr="007E5D9D">
              <w:rPr>
                <w:sz w:val="22"/>
                <w:szCs w:val="22"/>
              </w:rPr>
              <w:t>□</w:t>
            </w:r>
            <w:r>
              <w:rPr>
                <w:sz w:val="22"/>
                <w:szCs w:val="22"/>
              </w:rPr>
              <w:t xml:space="preserve"> Praktinės taikymo problemos</w:t>
            </w:r>
          </w:p>
          <w:p w14:paraId="16A3AE05" w14:textId="60CF43E0" w:rsidR="006D2133" w:rsidRPr="00006B11" w:rsidRDefault="006D2133" w:rsidP="00D44436">
            <w:pPr>
              <w:shd w:val="clear" w:color="auto" w:fill="FFFFFF"/>
              <w:jc w:val="left"/>
              <w:rPr>
                <w:i/>
                <w:iCs/>
                <w:sz w:val="22"/>
                <w:szCs w:val="22"/>
              </w:rPr>
            </w:pPr>
          </w:p>
        </w:tc>
        <w:tc>
          <w:tcPr>
            <w:tcW w:w="7512" w:type="dxa"/>
            <w:shd w:val="clear" w:color="auto" w:fill="auto"/>
          </w:tcPr>
          <w:p w14:paraId="2057C159" w14:textId="6787592A" w:rsidR="006D2133" w:rsidRPr="006D2133" w:rsidRDefault="006D2133" w:rsidP="006D2133">
            <w:pPr>
              <w:spacing w:before="60" w:after="120"/>
              <w:jc w:val="left"/>
              <w:rPr>
                <w:sz w:val="22"/>
                <w:szCs w:val="22"/>
              </w:rPr>
            </w:pPr>
            <w:r w:rsidRPr="006D2133">
              <w:rPr>
                <w:sz w:val="22"/>
                <w:szCs w:val="22"/>
              </w:rPr>
              <w:t>Kiekybinių duomenų rengėjai nepateikia</w:t>
            </w:r>
          </w:p>
        </w:tc>
      </w:tr>
    </w:tbl>
    <w:p w14:paraId="44E40FC2" w14:textId="77777777" w:rsidR="00E40C92" w:rsidRPr="00006B11" w:rsidRDefault="00E40C92">
      <w:pPr>
        <w:rPr>
          <w:sz w:val="22"/>
          <w:szCs w:val="22"/>
        </w:rPr>
      </w:pPr>
    </w:p>
    <w:tbl>
      <w:tblPr>
        <w:tblStyle w:val="TableGrid"/>
        <w:tblW w:w="0" w:type="auto"/>
        <w:tblLook w:val="04A0" w:firstRow="1" w:lastRow="0" w:firstColumn="1" w:lastColumn="0" w:noHBand="0" w:noVBand="1"/>
      </w:tblPr>
      <w:tblGrid>
        <w:gridCol w:w="10763"/>
      </w:tblGrid>
      <w:tr w:rsidR="00E40C92" w:rsidRPr="00006B11" w14:paraId="4294DD61" w14:textId="77777777" w:rsidTr="00E40C92">
        <w:tc>
          <w:tcPr>
            <w:tcW w:w="10763" w:type="dxa"/>
            <w:shd w:val="clear" w:color="auto" w:fill="D9E2F3" w:themeFill="accent1" w:themeFillTint="33"/>
          </w:tcPr>
          <w:p w14:paraId="18CB1943" w14:textId="7DB8E03F" w:rsidR="00E40C92" w:rsidRPr="00006B11" w:rsidRDefault="00E40C92" w:rsidP="00E40C92">
            <w:pPr>
              <w:spacing w:before="60" w:after="60"/>
              <w:rPr>
                <w:sz w:val="22"/>
                <w:szCs w:val="22"/>
              </w:rPr>
            </w:pPr>
            <w:r w:rsidRPr="00006B11">
              <w:rPr>
                <w:b/>
                <w:bCs/>
                <w:sz w:val="22"/>
                <w:szCs w:val="22"/>
              </w:rPr>
              <w:t>SIŪLOMOS PROBLEMOS SPRENDIMO PRIEMONĖS</w:t>
            </w:r>
          </w:p>
        </w:tc>
      </w:tr>
      <w:tr w:rsidR="008461E5" w:rsidRPr="00006B11" w14:paraId="7D5ACEB9" w14:textId="77777777" w:rsidTr="00E40C92">
        <w:tc>
          <w:tcPr>
            <w:tcW w:w="10763" w:type="dxa"/>
            <w:shd w:val="clear" w:color="auto" w:fill="D9E2F3" w:themeFill="accent1" w:themeFillTint="33"/>
          </w:tcPr>
          <w:p w14:paraId="0DD79CCF" w14:textId="77777777" w:rsidR="006B2011" w:rsidRDefault="008461E5" w:rsidP="00E40C92">
            <w:pPr>
              <w:spacing w:before="60" w:after="60"/>
              <w:rPr>
                <w:b/>
                <w:bCs/>
                <w:sz w:val="22"/>
                <w:szCs w:val="22"/>
              </w:rPr>
            </w:pPr>
            <w:r w:rsidRPr="00006B11">
              <w:rPr>
                <w:b/>
                <w:bCs/>
                <w:sz w:val="22"/>
                <w:szCs w:val="22"/>
              </w:rPr>
              <w:t>DALYKINIS KOMENTARAS</w:t>
            </w:r>
          </w:p>
          <w:p w14:paraId="6846CD16" w14:textId="396E910F" w:rsidR="006B2011" w:rsidRDefault="006B2011" w:rsidP="00DB2853">
            <w:pPr>
              <w:spacing w:before="120" w:after="60"/>
              <w:rPr>
                <w:sz w:val="22"/>
                <w:szCs w:val="22"/>
              </w:rPr>
            </w:pPr>
            <w:r>
              <w:rPr>
                <w:sz w:val="22"/>
                <w:szCs w:val="22"/>
              </w:rPr>
              <w:t>Strateginio valdymo įstatymas, įteisinantis strateginio valdymo reformą, įsigaliojo tik 2021-01-01 ir yra keičiamas nepraėjus nei metams nuo jo įsigaliojimo. Keitimą paskatino 2020 m. pabaigoje veiklą pradėjęs naujos kadencijos Seimas – įsteigtas Seimo Ateities komitetas, kuris pagal jam suteiktą mandatą įsitraukia į strateginio valdymo procesus valstybėje. Bet kartu įstatymo projekte atlieka smulkių redakcinių patikslinimų, kas suponuoja, kad rengiant įstatymą 2017-2019 m. ne visi aspektai buvo visapusiškai permąstyti praktinio įgyvendinimo aspektu, todėl vos tik įsigaliojus įstatymui iškilo poreikis jį tikslinti. Siūlomi pakeitimai iš esmės nekeičia jau įtvirtintos strateginio valdymo sistemos, todėl prisitaikymas prie jų iš strateginio valdymo sistemos dalyvių nepareikalaus reikšmingesnių kaštų</w:t>
            </w:r>
            <w:r w:rsidR="007C3CA8">
              <w:rPr>
                <w:sz w:val="22"/>
                <w:szCs w:val="22"/>
              </w:rPr>
              <w:t>.</w:t>
            </w:r>
          </w:p>
          <w:p w14:paraId="61BFB6DA" w14:textId="4D7C3640" w:rsidR="00543ABC" w:rsidRDefault="00543ABC" w:rsidP="00DB2853">
            <w:pPr>
              <w:spacing w:before="120" w:after="60"/>
              <w:rPr>
                <w:sz w:val="22"/>
                <w:szCs w:val="22"/>
              </w:rPr>
            </w:pPr>
            <w:r>
              <w:rPr>
                <w:sz w:val="22"/>
                <w:szCs w:val="22"/>
              </w:rPr>
              <w:t>Viešojo administravimo įstatymo pakeitimai, kuriais atsisakoma konkrečių viešųjų įstaigų pavadinimų įvardijimo įstat</w:t>
            </w:r>
            <w:r w:rsidR="008A5C17">
              <w:rPr>
                <w:sz w:val="22"/>
                <w:szCs w:val="22"/>
              </w:rPr>
              <w:t>y</w:t>
            </w:r>
            <w:r>
              <w:rPr>
                <w:sz w:val="22"/>
                <w:szCs w:val="22"/>
              </w:rPr>
              <w:t>muose</w:t>
            </w:r>
            <w:r w:rsidR="008A5C17">
              <w:rPr>
                <w:sz w:val="22"/>
                <w:szCs w:val="22"/>
              </w:rPr>
              <w:t>, sudarys prielaidas mažinti keičiamų įstatymų skaičių ir keitimo dažnį.</w:t>
            </w:r>
            <w:r w:rsidR="00DB2853">
              <w:rPr>
                <w:sz w:val="22"/>
                <w:szCs w:val="22"/>
              </w:rPr>
              <w:t xml:space="preserve"> Todėl toks pakeitimas vertintinas teigiamai.</w:t>
            </w:r>
          </w:p>
          <w:p w14:paraId="4923CC20" w14:textId="3707CC0C" w:rsidR="00DC3B49" w:rsidRPr="00DB2853" w:rsidRDefault="00DB2853" w:rsidP="00DB2853">
            <w:pPr>
              <w:spacing w:before="120" w:after="60"/>
              <w:rPr>
                <w:sz w:val="22"/>
                <w:szCs w:val="22"/>
              </w:rPr>
            </w:pPr>
            <w:r>
              <w:rPr>
                <w:sz w:val="22"/>
                <w:szCs w:val="22"/>
              </w:rPr>
              <w:t>Investicijų įstatyme atliekamiems pakeitimams trūksta pagrindimo dėl pakeitimų apimties optimalumo ir pagrindimo, kad tai niekaip nepablogins situacijos (procesų, mechanizmų, šioje srityje veikiančių institucijų veiklos, kt.).</w:t>
            </w:r>
          </w:p>
        </w:tc>
      </w:tr>
      <w:tr w:rsidR="00D05D3C" w:rsidRPr="00006B11" w14:paraId="28C61528" w14:textId="77777777" w:rsidTr="00D05D3C">
        <w:tc>
          <w:tcPr>
            <w:tcW w:w="10763" w:type="dxa"/>
            <w:shd w:val="clear" w:color="auto" w:fill="FFFFFF" w:themeFill="background1"/>
          </w:tcPr>
          <w:p w14:paraId="1A1DEAE5" w14:textId="34A525F3" w:rsidR="00D44436" w:rsidRDefault="007C3CA8" w:rsidP="004803C5">
            <w:pPr>
              <w:rPr>
                <w:sz w:val="22"/>
                <w:szCs w:val="22"/>
              </w:rPr>
            </w:pPr>
            <w:r>
              <w:rPr>
                <w:sz w:val="22"/>
                <w:szCs w:val="22"/>
              </w:rPr>
              <w:t>Strateginio valdymo įstatymas:</w:t>
            </w:r>
          </w:p>
          <w:p w14:paraId="3EAD9C64" w14:textId="6A58CF37" w:rsidR="007C3CA8" w:rsidRDefault="007C3CA8" w:rsidP="007C3CA8">
            <w:pPr>
              <w:pStyle w:val="ListParagraph"/>
              <w:numPr>
                <w:ilvl w:val="0"/>
                <w:numId w:val="15"/>
              </w:numPr>
              <w:rPr>
                <w:sz w:val="22"/>
                <w:szCs w:val="22"/>
              </w:rPr>
            </w:pPr>
            <w:r>
              <w:rPr>
                <w:sz w:val="22"/>
                <w:szCs w:val="22"/>
              </w:rPr>
              <w:t>planavimo dokumentų lygmenys šalia strateginio, programavimo ir veiklos papildomi nauju lygmeniu – valstybės strategijos. Šiam lygmeniui bus priskiriama Valstybės pažangos strategija, Nacionalinio saugumo strategija, Lietuvos Respublikos teritorijos bendrojo plano koncepcija. Šiuos dokumentus tvirtins Seimas. Iki šiol buvusioje redakcijoje trūko Seimo prerogatyvai priklausančių dokumentų.</w:t>
            </w:r>
          </w:p>
          <w:p w14:paraId="6C124FCF" w14:textId="7C0DBA66" w:rsidR="007C3CA8" w:rsidRDefault="007C3CA8" w:rsidP="007C3CA8">
            <w:pPr>
              <w:pStyle w:val="ListParagraph"/>
              <w:numPr>
                <w:ilvl w:val="0"/>
                <w:numId w:val="15"/>
              </w:numPr>
              <w:rPr>
                <w:sz w:val="22"/>
                <w:szCs w:val="22"/>
              </w:rPr>
            </w:pPr>
            <w:r>
              <w:rPr>
                <w:sz w:val="22"/>
                <w:szCs w:val="22"/>
              </w:rPr>
              <w:t>Strateginio valdymo sistemos principai papildomi nauju – ateities vertinimo – principu. Ateities įžvalgos bus taikomos rengiant planavimo dokumentus. Numatoma, kad STRATA bus atsakinga už ateities įžvalgų dalį rengiant Valstybės pažangos strategiją ir Nacionalinį pažangos planą.</w:t>
            </w:r>
          </w:p>
          <w:p w14:paraId="35B4CB13" w14:textId="34BDB3C4" w:rsidR="007C3CA8" w:rsidRDefault="007C3CA8" w:rsidP="007C3CA8">
            <w:pPr>
              <w:pStyle w:val="ListParagraph"/>
              <w:numPr>
                <w:ilvl w:val="0"/>
                <w:numId w:val="15"/>
              </w:numPr>
              <w:rPr>
                <w:sz w:val="22"/>
                <w:szCs w:val="22"/>
              </w:rPr>
            </w:pPr>
            <w:r>
              <w:rPr>
                <w:sz w:val="22"/>
                <w:szCs w:val="22"/>
              </w:rPr>
              <w:t>Įteisinama strateginių projektų portfelio sąvoka, kuri apibrėžiama kaip Ministro Pirmininko koordinuojamų projektų visuma.</w:t>
            </w:r>
          </w:p>
          <w:p w14:paraId="6CA6424A" w14:textId="16323950" w:rsidR="007C3CA8" w:rsidRDefault="007C3CA8" w:rsidP="007C3CA8">
            <w:pPr>
              <w:pStyle w:val="ListParagraph"/>
              <w:numPr>
                <w:ilvl w:val="0"/>
                <w:numId w:val="15"/>
              </w:numPr>
              <w:rPr>
                <w:sz w:val="22"/>
                <w:szCs w:val="22"/>
              </w:rPr>
            </w:pPr>
            <w:r>
              <w:rPr>
                <w:sz w:val="22"/>
                <w:szCs w:val="22"/>
              </w:rPr>
              <w:t xml:space="preserve">Nustatoma, kad </w:t>
            </w:r>
            <w:r w:rsidR="00543ABC">
              <w:rPr>
                <w:sz w:val="22"/>
                <w:szCs w:val="22"/>
              </w:rPr>
              <w:t>NPP strateginiams tikslams ir jų poveikio rodikliams pritaria Seimas.</w:t>
            </w:r>
          </w:p>
          <w:p w14:paraId="1FCD7BDF" w14:textId="326D0A76" w:rsidR="00543ABC" w:rsidRDefault="00543ABC" w:rsidP="007C3CA8">
            <w:pPr>
              <w:pStyle w:val="ListParagraph"/>
              <w:numPr>
                <w:ilvl w:val="0"/>
                <w:numId w:val="15"/>
              </w:numPr>
              <w:rPr>
                <w:sz w:val="22"/>
                <w:szCs w:val="22"/>
              </w:rPr>
            </w:pPr>
            <w:r>
              <w:rPr>
                <w:sz w:val="22"/>
                <w:szCs w:val="22"/>
              </w:rPr>
              <w:t>Įtvirtinama, kad Valstybės pažangos strategija rengiama bendradarbiaujant su Seimu.</w:t>
            </w:r>
          </w:p>
          <w:p w14:paraId="1C372C35" w14:textId="23004F07" w:rsidR="00543ABC" w:rsidRDefault="00543ABC" w:rsidP="007C3CA8">
            <w:pPr>
              <w:pStyle w:val="ListParagraph"/>
              <w:numPr>
                <w:ilvl w:val="0"/>
                <w:numId w:val="15"/>
              </w:numPr>
              <w:rPr>
                <w:sz w:val="22"/>
                <w:szCs w:val="22"/>
              </w:rPr>
            </w:pPr>
            <w:r>
              <w:rPr>
                <w:sz w:val="22"/>
                <w:szCs w:val="22"/>
              </w:rPr>
              <w:t>Nustatoma, kad Seimo patvirtintos Nacionalinės energetinės nepriklausomybės strategija ir Nacionalinė aplinkos apsaugos strategija laikomos nacionalinės darbotvarkėmis šiuos dokumentus inkorporuojant į strateginio valdymo sistemą.</w:t>
            </w:r>
          </w:p>
          <w:p w14:paraId="5DE473FE" w14:textId="328E02EB" w:rsidR="00543ABC" w:rsidRDefault="00543ABC" w:rsidP="00543ABC">
            <w:pPr>
              <w:rPr>
                <w:sz w:val="22"/>
                <w:szCs w:val="22"/>
              </w:rPr>
            </w:pPr>
            <w:r>
              <w:rPr>
                <w:sz w:val="22"/>
                <w:szCs w:val="22"/>
              </w:rPr>
              <w:t>Viešojo administravimo įstatymas:</w:t>
            </w:r>
          </w:p>
          <w:p w14:paraId="0D12CEBD" w14:textId="51F0E103" w:rsidR="00543ABC" w:rsidRDefault="00543ABC" w:rsidP="00543ABC">
            <w:pPr>
              <w:pStyle w:val="ListParagraph"/>
              <w:numPr>
                <w:ilvl w:val="0"/>
                <w:numId w:val="16"/>
              </w:numPr>
              <w:rPr>
                <w:sz w:val="22"/>
                <w:szCs w:val="22"/>
              </w:rPr>
            </w:pPr>
            <w:r>
              <w:rPr>
                <w:sz w:val="22"/>
                <w:szCs w:val="22"/>
              </w:rPr>
              <w:t>Nustatoma, kad, siekiant viešosioms įstaigoms, kurių savininkė yra valstybė, viešojo administravimo įgaliojimus, nebus reikalaujama tai nustatyti įstatymu. Įgaliojimai galės būti suteikiami Vyriausybės nutarimu.</w:t>
            </w:r>
          </w:p>
          <w:p w14:paraId="16F297E8" w14:textId="4C03660B" w:rsidR="00543ABC" w:rsidRPr="00543ABC" w:rsidRDefault="00543ABC" w:rsidP="00543ABC">
            <w:pPr>
              <w:pStyle w:val="ListParagraph"/>
              <w:numPr>
                <w:ilvl w:val="0"/>
                <w:numId w:val="16"/>
              </w:numPr>
              <w:rPr>
                <w:sz w:val="22"/>
                <w:szCs w:val="22"/>
              </w:rPr>
            </w:pPr>
            <w:r>
              <w:rPr>
                <w:sz w:val="22"/>
                <w:szCs w:val="22"/>
              </w:rPr>
              <w:t>Viešosioms įstaigoms, kurių savininkė yra savivaldybė, suteikiami konkretūs viešojo administravimo įgaliojimai turės būti suteikiami įstatymu, tačiau nebus reikalaujama, kad įstatyme būtų įvardyta ir konkreti viešoji įstaiga.</w:t>
            </w:r>
          </w:p>
          <w:p w14:paraId="0F58D764" w14:textId="77777777" w:rsidR="00D05D3C" w:rsidRDefault="008A5C17" w:rsidP="004803C5">
            <w:pPr>
              <w:rPr>
                <w:sz w:val="22"/>
                <w:szCs w:val="22"/>
              </w:rPr>
            </w:pPr>
            <w:r>
              <w:rPr>
                <w:sz w:val="22"/>
                <w:szCs w:val="22"/>
              </w:rPr>
              <w:t>Investicijų įstatymas:</w:t>
            </w:r>
          </w:p>
          <w:p w14:paraId="67240949" w14:textId="44AA6808" w:rsidR="008A5C17" w:rsidRDefault="008A5C17" w:rsidP="008A5C17">
            <w:pPr>
              <w:pStyle w:val="ListParagraph"/>
              <w:numPr>
                <w:ilvl w:val="0"/>
                <w:numId w:val="17"/>
              </w:numPr>
              <w:rPr>
                <w:sz w:val="22"/>
                <w:szCs w:val="22"/>
              </w:rPr>
            </w:pPr>
            <w:r>
              <w:rPr>
                <w:sz w:val="22"/>
                <w:szCs w:val="22"/>
              </w:rPr>
              <w:t xml:space="preserve">Nustatoma, kad valstybės ir savivaldybių investavimas reguliuojamas Strateginio valdymo, Regioninės plėtros, Valstybės ir savivaldybių turto valdymo, naudojimo ir disponavimo juo, Nacionalinių plėtros įstaigų įstatymuose ir taip siekiama susieti valdžios sektoriaus investicijų politiką su strateginio valdymo </w:t>
            </w:r>
            <w:r w:rsidR="00351197">
              <w:rPr>
                <w:sz w:val="22"/>
                <w:szCs w:val="22"/>
              </w:rPr>
              <w:t xml:space="preserve">ir regioninės plėtros </w:t>
            </w:r>
            <w:r>
              <w:rPr>
                <w:sz w:val="22"/>
                <w:szCs w:val="22"/>
              </w:rPr>
              <w:t>sistem</w:t>
            </w:r>
            <w:r w:rsidR="00351197">
              <w:rPr>
                <w:sz w:val="22"/>
                <w:szCs w:val="22"/>
              </w:rPr>
              <w:t>omis</w:t>
            </w:r>
            <w:r>
              <w:rPr>
                <w:sz w:val="22"/>
                <w:szCs w:val="22"/>
              </w:rPr>
              <w:t xml:space="preserve"> į vieną nuoseklią sistemą.</w:t>
            </w:r>
          </w:p>
          <w:p w14:paraId="6D82D762" w14:textId="77777777" w:rsidR="008A5C17" w:rsidRDefault="003362C2" w:rsidP="003362C2">
            <w:pPr>
              <w:rPr>
                <w:sz w:val="22"/>
                <w:szCs w:val="22"/>
              </w:rPr>
            </w:pPr>
            <w:r>
              <w:rPr>
                <w:sz w:val="22"/>
                <w:szCs w:val="22"/>
              </w:rPr>
              <w:t>Žemės įstatymas:</w:t>
            </w:r>
          </w:p>
          <w:p w14:paraId="152D071B" w14:textId="77777777" w:rsidR="003362C2" w:rsidRDefault="003362C2" w:rsidP="003362C2">
            <w:pPr>
              <w:pStyle w:val="ListParagraph"/>
              <w:numPr>
                <w:ilvl w:val="0"/>
                <w:numId w:val="18"/>
              </w:numPr>
              <w:rPr>
                <w:sz w:val="22"/>
                <w:szCs w:val="22"/>
              </w:rPr>
            </w:pPr>
            <w:r>
              <w:rPr>
                <w:sz w:val="22"/>
                <w:szCs w:val="22"/>
              </w:rPr>
              <w:t>Atsisakoma nuostatos, kad  valstybei svarbių projektų valstybinę svarbą savo sprendimu gali pripažinti ir Seimas, šią prerogatyvą paliekant tik Vyriausybei.</w:t>
            </w:r>
          </w:p>
          <w:p w14:paraId="2DDD95BC" w14:textId="60008229" w:rsidR="003362C2" w:rsidRPr="003362C2" w:rsidRDefault="003362C2" w:rsidP="003362C2">
            <w:pPr>
              <w:pStyle w:val="ListParagraph"/>
              <w:numPr>
                <w:ilvl w:val="0"/>
                <w:numId w:val="18"/>
              </w:numPr>
              <w:rPr>
                <w:sz w:val="22"/>
                <w:szCs w:val="22"/>
              </w:rPr>
            </w:pPr>
            <w:r>
              <w:rPr>
                <w:sz w:val="22"/>
                <w:szCs w:val="22"/>
              </w:rPr>
              <w:t>Nustatoma, kad regiono plėtros taryba, pripažindama regioninės svarbos projektą, vadovaujasi Regioninės plėtros įstatymu.</w:t>
            </w:r>
          </w:p>
        </w:tc>
      </w:tr>
    </w:tbl>
    <w:p w14:paraId="72249CDC" w14:textId="19B43A8A" w:rsidR="00801F71" w:rsidRPr="00006B11" w:rsidRDefault="00801F71">
      <w:pPr>
        <w:rPr>
          <w:sz w:val="22"/>
          <w:szCs w:val="22"/>
        </w:rPr>
      </w:pPr>
    </w:p>
    <w:tbl>
      <w:tblPr>
        <w:tblStyle w:val="TableGrid"/>
        <w:tblW w:w="0" w:type="auto"/>
        <w:tblLook w:val="04A0" w:firstRow="1" w:lastRow="0" w:firstColumn="1" w:lastColumn="0" w:noHBand="0" w:noVBand="1"/>
      </w:tblPr>
      <w:tblGrid>
        <w:gridCol w:w="10763"/>
      </w:tblGrid>
      <w:tr w:rsidR="00E40C92" w:rsidRPr="00006B11" w14:paraId="3813100D" w14:textId="77777777" w:rsidTr="00E40C92">
        <w:tc>
          <w:tcPr>
            <w:tcW w:w="10763" w:type="dxa"/>
            <w:shd w:val="clear" w:color="auto" w:fill="D9E2F3" w:themeFill="accent1" w:themeFillTint="33"/>
          </w:tcPr>
          <w:p w14:paraId="38C3514F" w14:textId="2646446F" w:rsidR="00FA6EE7" w:rsidRPr="00006B11" w:rsidRDefault="00956918">
            <w:pPr>
              <w:rPr>
                <w:b/>
                <w:bCs/>
                <w:sz w:val="22"/>
                <w:szCs w:val="22"/>
              </w:rPr>
            </w:pPr>
            <w:r>
              <w:rPr>
                <w:b/>
                <w:bCs/>
                <w:sz w:val="22"/>
                <w:szCs w:val="22"/>
              </w:rPr>
              <w:t xml:space="preserve">SPRENDIMO </w:t>
            </w:r>
            <w:r w:rsidR="00E40C92" w:rsidRPr="00006B11">
              <w:rPr>
                <w:b/>
                <w:bCs/>
                <w:sz w:val="22"/>
                <w:szCs w:val="22"/>
              </w:rPr>
              <w:t>ĮGYVENDINIMO KAŠTAI</w:t>
            </w:r>
          </w:p>
        </w:tc>
      </w:tr>
      <w:tr w:rsidR="00721E4F" w:rsidRPr="00006B11" w14:paraId="5A3FCA39" w14:textId="77777777" w:rsidTr="00E40C92">
        <w:tc>
          <w:tcPr>
            <w:tcW w:w="10763" w:type="dxa"/>
            <w:shd w:val="clear" w:color="auto" w:fill="D9E2F3" w:themeFill="accent1" w:themeFillTint="33"/>
          </w:tcPr>
          <w:p w14:paraId="1ACC9A03" w14:textId="77777777" w:rsidR="00721E4F" w:rsidRDefault="00721E4F">
            <w:pPr>
              <w:rPr>
                <w:i/>
                <w:iCs/>
                <w:sz w:val="22"/>
                <w:szCs w:val="22"/>
              </w:rPr>
            </w:pPr>
            <w:r w:rsidRPr="00006B11">
              <w:rPr>
                <w:b/>
                <w:bCs/>
                <w:sz w:val="22"/>
                <w:szCs w:val="22"/>
              </w:rPr>
              <w:t xml:space="preserve">DALYKINIS KOMENTARAS </w:t>
            </w:r>
          </w:p>
          <w:p w14:paraId="0427A798" w14:textId="0B0FAD3B" w:rsidR="00351197" w:rsidRDefault="00351197" w:rsidP="00DB2853">
            <w:pPr>
              <w:spacing w:after="120"/>
              <w:rPr>
                <w:sz w:val="22"/>
                <w:szCs w:val="22"/>
              </w:rPr>
            </w:pPr>
            <w:r>
              <w:rPr>
                <w:sz w:val="22"/>
                <w:szCs w:val="22"/>
              </w:rPr>
              <w:t>S</w:t>
            </w:r>
            <w:r>
              <w:rPr>
                <w:sz w:val="22"/>
                <w:szCs w:val="22"/>
              </w:rPr>
              <w:t>trateginio valdymo įstatyme s</w:t>
            </w:r>
            <w:r>
              <w:rPr>
                <w:sz w:val="22"/>
                <w:szCs w:val="22"/>
              </w:rPr>
              <w:t xml:space="preserve">iūlomi pakeitimai iš esmės nekeičia jau įtvirtintos strateginio valdymo sistemos, todėl prisitaikymas prie jų iš strateginio valdymo sistemos dalyvių nepareikalaus </w:t>
            </w:r>
            <w:r>
              <w:rPr>
                <w:sz w:val="22"/>
                <w:szCs w:val="22"/>
              </w:rPr>
              <w:t>prisitaikymo sąnaudų</w:t>
            </w:r>
            <w:r>
              <w:rPr>
                <w:sz w:val="22"/>
                <w:szCs w:val="22"/>
              </w:rPr>
              <w:t>.</w:t>
            </w:r>
          </w:p>
          <w:p w14:paraId="73756B53" w14:textId="43D52738" w:rsidR="00841847" w:rsidRDefault="00841847" w:rsidP="00DB2853">
            <w:pPr>
              <w:spacing w:after="120"/>
              <w:rPr>
                <w:sz w:val="22"/>
                <w:szCs w:val="22"/>
              </w:rPr>
            </w:pPr>
            <w:r>
              <w:rPr>
                <w:sz w:val="22"/>
                <w:szCs w:val="22"/>
              </w:rPr>
              <w:t>Rengėjai nepateikia jokių duomenų ar pagrindžiančios informacijas, kad Investicijų įstatyme atliekami pakeitimai neturės jokių neigiamų pasekmių tiek esamoms, tieks galimoms investicijoms, jų mastui, dydžiui, kt.</w:t>
            </w:r>
          </w:p>
          <w:p w14:paraId="2E3C4C17" w14:textId="1170A527" w:rsidR="00351197" w:rsidRPr="00351197" w:rsidRDefault="00841847" w:rsidP="00DB2853">
            <w:pPr>
              <w:spacing w:after="120"/>
              <w:rPr>
                <w:sz w:val="22"/>
                <w:szCs w:val="22"/>
              </w:rPr>
            </w:pPr>
            <w:r>
              <w:rPr>
                <w:sz w:val="22"/>
                <w:szCs w:val="22"/>
              </w:rPr>
              <w:t>Viešojo administravimo įstatyme nustatomas informacinis įpareigojimas  savivaldybių taryboms savo sprendimu nustatyti (įvardyti) konkrečią viešąją įstaigą, kuriai pavedama vykdyti įstatyme nustatytus viešojo administravimo įgaliojimus. Rengėjai nėra apytiksliai įvertinę, kiek šis informacinis įpareigojimas kainuotų. Bet, darytina išvada, kad tai nebūtų itin ženkli našta.</w:t>
            </w:r>
          </w:p>
        </w:tc>
      </w:tr>
    </w:tbl>
    <w:p w14:paraId="7D415625" w14:textId="25A33911" w:rsidR="00A1481D" w:rsidRPr="00006B11" w:rsidRDefault="00A1481D">
      <w:pPr>
        <w:rPr>
          <w:sz w:val="22"/>
          <w:szCs w:val="22"/>
        </w:rPr>
      </w:pPr>
    </w:p>
    <w:tbl>
      <w:tblPr>
        <w:tblStyle w:val="TableGrid"/>
        <w:tblW w:w="0" w:type="auto"/>
        <w:tblLook w:val="04A0" w:firstRow="1" w:lastRow="0" w:firstColumn="1" w:lastColumn="0" w:noHBand="0" w:noVBand="1"/>
      </w:tblPr>
      <w:tblGrid>
        <w:gridCol w:w="10763"/>
      </w:tblGrid>
      <w:tr w:rsidR="00E40C92" w:rsidRPr="00006B11" w14:paraId="648A83EB" w14:textId="77777777" w:rsidTr="00E40C92">
        <w:tc>
          <w:tcPr>
            <w:tcW w:w="10763" w:type="dxa"/>
            <w:shd w:val="clear" w:color="auto" w:fill="D9E2F3" w:themeFill="accent1" w:themeFillTint="33"/>
          </w:tcPr>
          <w:p w14:paraId="6B48D7C5" w14:textId="02A81C6E" w:rsidR="00FA6EE7" w:rsidRPr="00006B11" w:rsidRDefault="000F5003">
            <w:pPr>
              <w:rPr>
                <w:b/>
                <w:bCs/>
                <w:sz w:val="22"/>
                <w:szCs w:val="22"/>
              </w:rPr>
            </w:pPr>
            <w:r>
              <w:rPr>
                <w:b/>
                <w:bCs/>
                <w:sz w:val="22"/>
                <w:szCs w:val="22"/>
              </w:rPr>
              <w:t xml:space="preserve">SPRENDIMO ĮGYVENDINIMO </w:t>
            </w:r>
            <w:r w:rsidR="00E40C92" w:rsidRPr="00006B11">
              <w:rPr>
                <w:b/>
                <w:bCs/>
                <w:sz w:val="22"/>
                <w:szCs w:val="22"/>
              </w:rPr>
              <w:t>NAUDOS</w:t>
            </w:r>
          </w:p>
        </w:tc>
      </w:tr>
      <w:tr w:rsidR="008461E5" w:rsidRPr="00006B11" w14:paraId="38EBD318" w14:textId="77777777" w:rsidTr="00E40C92">
        <w:tc>
          <w:tcPr>
            <w:tcW w:w="10763" w:type="dxa"/>
            <w:shd w:val="clear" w:color="auto" w:fill="D9E2F3" w:themeFill="accent1" w:themeFillTint="33"/>
          </w:tcPr>
          <w:p w14:paraId="68328F2D" w14:textId="77777777" w:rsidR="00351197" w:rsidRDefault="008461E5">
            <w:pPr>
              <w:rPr>
                <w:b/>
                <w:bCs/>
                <w:sz w:val="22"/>
                <w:szCs w:val="22"/>
              </w:rPr>
            </w:pPr>
            <w:r w:rsidRPr="00006B11">
              <w:rPr>
                <w:b/>
                <w:bCs/>
                <w:sz w:val="22"/>
                <w:szCs w:val="22"/>
              </w:rPr>
              <w:t xml:space="preserve">DALYKINIS KOMENTARAS </w:t>
            </w:r>
          </w:p>
          <w:p w14:paraId="25231E2C" w14:textId="5CF46CDD" w:rsidR="00351197" w:rsidRDefault="00351197" w:rsidP="00DB2853">
            <w:pPr>
              <w:spacing w:after="120"/>
              <w:rPr>
                <w:sz w:val="22"/>
                <w:szCs w:val="22"/>
              </w:rPr>
            </w:pPr>
            <w:r>
              <w:rPr>
                <w:sz w:val="22"/>
                <w:szCs w:val="22"/>
              </w:rPr>
              <w:t>Viešojo administravimo įstatymo pakeitimai leis sutaupyti ministerijų darbuotojų darbo laiką, kuris būtų skiriamas rengti, derinti, tikslinti įstatymų projektus, siekiant viešosioms įstaigoms, kurių savininkė yra valstybė, suteikti viešojo administravimo įgaliojimus</w:t>
            </w:r>
            <w:r>
              <w:rPr>
                <w:sz w:val="22"/>
                <w:szCs w:val="22"/>
              </w:rPr>
              <w:t>. Antra, įgaliojimų suteikimas Vyriausybės nutarimu laiko prasme įvyks greičiau, palyginti su įgaliojimų suteikimu įstatymu, todėl greičiau bus galima pradėti vykdyti konkrečias veiklas ir taip užtikrinti efektyvesnį viešojo sektoriaus veikimą.</w:t>
            </w:r>
            <w:r w:rsidR="00841847">
              <w:rPr>
                <w:sz w:val="22"/>
                <w:szCs w:val="22"/>
              </w:rPr>
              <w:t xml:space="preserve"> Tačiau rengėjai nepateikia informacijos, kaip šis laiko sutaupymas galėtų </w:t>
            </w:r>
            <w:proofErr w:type="spellStart"/>
            <w:r w:rsidR="00841847">
              <w:rPr>
                <w:sz w:val="22"/>
                <w:szCs w:val="22"/>
              </w:rPr>
              <w:t>monetarizuotis</w:t>
            </w:r>
            <w:proofErr w:type="spellEnd"/>
            <w:r w:rsidR="00841847">
              <w:rPr>
                <w:sz w:val="22"/>
                <w:szCs w:val="22"/>
              </w:rPr>
              <w:t>.</w:t>
            </w:r>
          </w:p>
          <w:p w14:paraId="3A3C5DEB" w14:textId="62FEB2B5" w:rsidR="008461E5" w:rsidRPr="00DB2853" w:rsidRDefault="00841847" w:rsidP="00DB2853">
            <w:pPr>
              <w:spacing w:after="120"/>
              <w:rPr>
                <w:sz w:val="22"/>
                <w:szCs w:val="22"/>
              </w:rPr>
            </w:pPr>
            <w:r>
              <w:rPr>
                <w:sz w:val="22"/>
                <w:szCs w:val="22"/>
              </w:rPr>
              <w:t>Vienintelė rengėjų įvardijama įstatymų projektų paketo nauda – projektų suderinimas su strateginio valdymo įstatym</w:t>
            </w:r>
            <w:r w:rsidR="003362C2">
              <w:rPr>
                <w:sz w:val="22"/>
                <w:szCs w:val="22"/>
              </w:rPr>
              <w:t>u. Kitų naudų ar teigiamų pasekmių nėra įvardijama.</w:t>
            </w:r>
          </w:p>
        </w:tc>
      </w:tr>
    </w:tbl>
    <w:p w14:paraId="04039B23" w14:textId="198208BB" w:rsidR="00FA6EE7" w:rsidRPr="00006B11" w:rsidRDefault="00FA6EE7" w:rsidP="00BA4731">
      <w:pPr>
        <w:tabs>
          <w:tab w:val="left" w:pos="5385"/>
        </w:tabs>
        <w:jc w:val="left"/>
        <w:rPr>
          <w:sz w:val="22"/>
          <w:szCs w:val="22"/>
        </w:rPr>
      </w:pPr>
    </w:p>
    <w:tbl>
      <w:tblPr>
        <w:tblStyle w:val="TableGrid"/>
        <w:tblW w:w="0" w:type="auto"/>
        <w:tblLook w:val="04A0" w:firstRow="1" w:lastRow="0" w:firstColumn="1" w:lastColumn="0" w:noHBand="0" w:noVBand="1"/>
      </w:tblPr>
      <w:tblGrid>
        <w:gridCol w:w="10763"/>
      </w:tblGrid>
      <w:tr w:rsidR="00FA6EE7" w:rsidRPr="00006B11" w14:paraId="0C1C6C6B" w14:textId="77777777" w:rsidTr="00E36CE9">
        <w:tc>
          <w:tcPr>
            <w:tcW w:w="10763" w:type="dxa"/>
            <w:shd w:val="clear" w:color="auto" w:fill="D9E2F3" w:themeFill="accent1" w:themeFillTint="33"/>
          </w:tcPr>
          <w:p w14:paraId="1FD366D3" w14:textId="1CD1CF3E" w:rsidR="00FA6EE7" w:rsidRPr="00006B11" w:rsidRDefault="00FA6EE7" w:rsidP="00182ACE">
            <w:pPr>
              <w:tabs>
                <w:tab w:val="left" w:pos="5385"/>
              </w:tabs>
              <w:jc w:val="left"/>
              <w:rPr>
                <w:b/>
                <w:bCs/>
                <w:sz w:val="22"/>
                <w:szCs w:val="22"/>
              </w:rPr>
            </w:pPr>
            <w:r w:rsidRPr="00006B11">
              <w:rPr>
                <w:b/>
                <w:bCs/>
                <w:sz w:val="22"/>
                <w:szCs w:val="22"/>
              </w:rPr>
              <w:t>TEISĖS AKTO PROJEKTO DERINIMAS</w:t>
            </w:r>
          </w:p>
        </w:tc>
      </w:tr>
      <w:tr w:rsidR="00440FA0" w:rsidRPr="00006B11" w14:paraId="5B338F63" w14:textId="77777777" w:rsidTr="00E36CE9">
        <w:tc>
          <w:tcPr>
            <w:tcW w:w="10763" w:type="dxa"/>
            <w:shd w:val="clear" w:color="auto" w:fill="D9E2F3" w:themeFill="accent1" w:themeFillTint="33"/>
          </w:tcPr>
          <w:p w14:paraId="440AA353" w14:textId="77777777" w:rsidR="00DB2853" w:rsidRDefault="00721E4F" w:rsidP="00182ACE">
            <w:pPr>
              <w:tabs>
                <w:tab w:val="left" w:pos="5385"/>
              </w:tabs>
              <w:jc w:val="left"/>
              <w:rPr>
                <w:b/>
                <w:bCs/>
                <w:sz w:val="22"/>
                <w:szCs w:val="22"/>
              </w:rPr>
            </w:pPr>
            <w:r w:rsidRPr="00006B11">
              <w:rPr>
                <w:b/>
                <w:bCs/>
                <w:sz w:val="22"/>
                <w:szCs w:val="22"/>
              </w:rPr>
              <w:t>DALYKINIS KOMENTARAS</w:t>
            </w:r>
            <w:r w:rsidR="00182ACE">
              <w:rPr>
                <w:b/>
                <w:bCs/>
                <w:sz w:val="22"/>
                <w:szCs w:val="22"/>
              </w:rPr>
              <w:t xml:space="preserve"> </w:t>
            </w:r>
          </w:p>
          <w:p w14:paraId="0D83FAF1" w14:textId="2755AB7E" w:rsidR="0046371A" w:rsidRDefault="00DB2853" w:rsidP="00182ACE">
            <w:pPr>
              <w:tabs>
                <w:tab w:val="left" w:pos="5385"/>
              </w:tabs>
              <w:jc w:val="left"/>
              <w:rPr>
                <w:sz w:val="22"/>
                <w:szCs w:val="22"/>
              </w:rPr>
            </w:pPr>
            <w:r w:rsidRPr="0046371A">
              <w:rPr>
                <w:sz w:val="22"/>
                <w:szCs w:val="22"/>
              </w:rPr>
              <w:t xml:space="preserve">Projektas buvo teiktas suinteresuotų institucijų išvadoms gauti 2021 m. </w:t>
            </w:r>
            <w:r w:rsidR="0046371A" w:rsidRPr="0046371A">
              <w:rPr>
                <w:sz w:val="22"/>
                <w:szCs w:val="22"/>
              </w:rPr>
              <w:t>rugpjūčio mėn. Ne į visas institucijų pastabas yra atsižvelgta (pridedama derinimo pažyma).</w:t>
            </w:r>
            <w:r w:rsidR="0046371A">
              <w:rPr>
                <w:sz w:val="22"/>
                <w:szCs w:val="22"/>
              </w:rPr>
              <w:t xml:space="preserve"> Vyriausybės kanceliarija pritaria derinimo pažymoje pateiktiems rengėjų argumentams.</w:t>
            </w:r>
          </w:p>
          <w:p w14:paraId="1CA0D36C" w14:textId="3A2702C8" w:rsidR="0046371A" w:rsidRDefault="0046371A" w:rsidP="00182ACE">
            <w:pPr>
              <w:tabs>
                <w:tab w:val="left" w:pos="5385"/>
              </w:tabs>
              <w:jc w:val="left"/>
              <w:rPr>
                <w:sz w:val="22"/>
                <w:szCs w:val="22"/>
              </w:rPr>
            </w:pPr>
            <w:r>
              <w:rPr>
                <w:sz w:val="22"/>
                <w:szCs w:val="22"/>
              </w:rPr>
              <w:t>Tarpinstitucinio pasitarimo metu dėl savo pastabų, į kurias neatsižvelgta, klausimą kels Ekonomikos ir inovacijų ministerija.</w:t>
            </w:r>
          </w:p>
          <w:p w14:paraId="3B0C1FFA" w14:textId="1BBB0EAB" w:rsidR="0046371A" w:rsidRPr="00006B11" w:rsidRDefault="0046371A" w:rsidP="00182ACE">
            <w:pPr>
              <w:tabs>
                <w:tab w:val="left" w:pos="5385"/>
              </w:tabs>
              <w:jc w:val="left"/>
              <w:rPr>
                <w:sz w:val="22"/>
                <w:szCs w:val="22"/>
              </w:rPr>
            </w:pPr>
            <w:r>
              <w:rPr>
                <w:sz w:val="22"/>
                <w:szCs w:val="22"/>
              </w:rPr>
              <w:t>Pažymėtina, kad Lietuvos savivaldybių asociacija neturėjo pastabų Strateginio valdymo, Regioninės plėtros, Investicijų ir Žemės įstatymams. Viešojo administravimo įstatymo projektas pakoreguotas, todėl teikta pastaba jau nebeturėtų būti aktuali.</w:t>
            </w:r>
          </w:p>
        </w:tc>
      </w:tr>
    </w:tbl>
    <w:p w14:paraId="7CE09C58" w14:textId="77777777" w:rsidR="00910B31" w:rsidRDefault="00910B31" w:rsidP="00BA4731">
      <w:pPr>
        <w:tabs>
          <w:tab w:val="left" w:pos="5385"/>
        </w:tabs>
        <w:jc w:val="left"/>
        <w:rPr>
          <w:sz w:val="22"/>
          <w:szCs w:val="22"/>
        </w:rPr>
      </w:pPr>
    </w:p>
    <w:tbl>
      <w:tblPr>
        <w:tblStyle w:val="TableGrid"/>
        <w:tblW w:w="0" w:type="auto"/>
        <w:tblLook w:val="04A0" w:firstRow="1" w:lastRow="0" w:firstColumn="1" w:lastColumn="0" w:noHBand="0" w:noVBand="1"/>
      </w:tblPr>
      <w:tblGrid>
        <w:gridCol w:w="2972"/>
        <w:gridCol w:w="7791"/>
      </w:tblGrid>
      <w:tr w:rsidR="00910B31" w14:paraId="25404C34" w14:textId="77777777" w:rsidTr="00910B31">
        <w:tc>
          <w:tcPr>
            <w:tcW w:w="2972" w:type="dxa"/>
            <w:vMerge w:val="restart"/>
            <w:shd w:val="clear" w:color="auto" w:fill="D9E2F3" w:themeFill="accent1" w:themeFillTint="33"/>
          </w:tcPr>
          <w:p w14:paraId="6B1124FE" w14:textId="75464FF3" w:rsidR="00910B31" w:rsidRPr="00910B31" w:rsidRDefault="00910B31" w:rsidP="00BA4731">
            <w:pPr>
              <w:tabs>
                <w:tab w:val="left" w:pos="5385"/>
              </w:tabs>
              <w:jc w:val="left"/>
              <w:rPr>
                <w:b/>
                <w:bCs/>
                <w:sz w:val="22"/>
                <w:szCs w:val="22"/>
              </w:rPr>
            </w:pPr>
            <w:r w:rsidRPr="00910B31">
              <w:rPr>
                <w:b/>
                <w:bCs/>
                <w:sz w:val="22"/>
                <w:szCs w:val="22"/>
              </w:rPr>
              <w:t>PAŽYMĄ PARENGĖ</w:t>
            </w:r>
          </w:p>
        </w:tc>
        <w:tc>
          <w:tcPr>
            <w:tcW w:w="7791" w:type="dxa"/>
          </w:tcPr>
          <w:p w14:paraId="0BC5259A" w14:textId="7F4E8DFB" w:rsidR="00910B31" w:rsidRPr="00910B31" w:rsidRDefault="00DB2853" w:rsidP="00BA4731">
            <w:pPr>
              <w:tabs>
                <w:tab w:val="left" w:pos="5385"/>
              </w:tabs>
              <w:jc w:val="left"/>
              <w:rPr>
                <w:i/>
                <w:iCs/>
                <w:sz w:val="22"/>
                <w:szCs w:val="22"/>
              </w:rPr>
            </w:pPr>
            <w:r>
              <w:rPr>
                <w:i/>
                <w:iCs/>
                <w:sz w:val="22"/>
                <w:szCs w:val="22"/>
              </w:rPr>
              <w:t>Daiva Žaromskytė-Rastenė</w:t>
            </w:r>
            <w:r w:rsidR="00910B31" w:rsidRPr="00910B31">
              <w:rPr>
                <w:i/>
                <w:iCs/>
                <w:sz w:val="22"/>
                <w:szCs w:val="22"/>
              </w:rPr>
              <w:t xml:space="preserve"> </w:t>
            </w:r>
          </w:p>
        </w:tc>
      </w:tr>
      <w:tr w:rsidR="00910B31" w14:paraId="34396B3E" w14:textId="77777777" w:rsidTr="00910B31">
        <w:tc>
          <w:tcPr>
            <w:tcW w:w="2972" w:type="dxa"/>
            <w:vMerge/>
            <w:shd w:val="clear" w:color="auto" w:fill="D9E2F3" w:themeFill="accent1" w:themeFillTint="33"/>
          </w:tcPr>
          <w:p w14:paraId="2EB836C4" w14:textId="77777777" w:rsidR="00910B31" w:rsidRDefault="00910B31" w:rsidP="00BA4731">
            <w:pPr>
              <w:tabs>
                <w:tab w:val="left" w:pos="5385"/>
              </w:tabs>
              <w:jc w:val="left"/>
              <w:rPr>
                <w:sz w:val="22"/>
                <w:szCs w:val="22"/>
              </w:rPr>
            </w:pPr>
          </w:p>
        </w:tc>
        <w:tc>
          <w:tcPr>
            <w:tcW w:w="7791" w:type="dxa"/>
          </w:tcPr>
          <w:p w14:paraId="6C19C8CE" w14:textId="59456842" w:rsidR="00910B31" w:rsidRPr="00910B31" w:rsidRDefault="00DB2853" w:rsidP="00BA4731">
            <w:pPr>
              <w:tabs>
                <w:tab w:val="left" w:pos="5385"/>
              </w:tabs>
              <w:jc w:val="left"/>
              <w:rPr>
                <w:i/>
                <w:iCs/>
                <w:sz w:val="22"/>
                <w:szCs w:val="22"/>
              </w:rPr>
            </w:pPr>
            <w:r>
              <w:rPr>
                <w:i/>
                <w:iCs/>
                <w:sz w:val="22"/>
                <w:szCs w:val="22"/>
              </w:rPr>
              <w:t>Strateginių kompetencijų grupės vadovė</w:t>
            </w:r>
          </w:p>
        </w:tc>
      </w:tr>
    </w:tbl>
    <w:p w14:paraId="4DAD3099" w14:textId="4DDDF328" w:rsidR="00AF0120" w:rsidRPr="00006B11" w:rsidRDefault="00AF0120" w:rsidP="00BA4731">
      <w:pPr>
        <w:tabs>
          <w:tab w:val="left" w:pos="5385"/>
        </w:tabs>
        <w:jc w:val="left"/>
        <w:rPr>
          <w:sz w:val="22"/>
          <w:szCs w:val="22"/>
        </w:rPr>
      </w:pPr>
    </w:p>
    <w:sectPr w:rsidR="00AF0120" w:rsidRPr="00006B11" w:rsidSect="003817E3">
      <w:headerReference w:type="default" r:id="rId12"/>
      <w:footerReference w:type="default" r:id="rId13"/>
      <w:pgSz w:w="11906" w:h="16838"/>
      <w:pgMar w:top="426" w:right="424" w:bottom="284" w:left="709" w:header="567" w:footer="14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D2207" w14:textId="77777777" w:rsidR="00DE37E7" w:rsidRDefault="00DE37E7" w:rsidP="001C3EF7">
      <w:r>
        <w:separator/>
      </w:r>
    </w:p>
  </w:endnote>
  <w:endnote w:type="continuationSeparator" w:id="0">
    <w:p w14:paraId="75D7A422" w14:textId="77777777" w:rsidR="00DE37E7" w:rsidRDefault="00DE37E7" w:rsidP="001C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0FF9D" w14:textId="6CCCA293" w:rsidR="007E5D9D" w:rsidRDefault="007E5D9D">
    <w:pPr>
      <w:pStyle w:val="Footer"/>
      <w:jc w:val="center"/>
      <w:rPr>
        <w:caps/>
        <w:noProof/>
        <w:color w:val="4472C4" w:themeColor="accent1"/>
      </w:rPr>
    </w:pPr>
  </w:p>
  <w:p w14:paraId="31FA05C8" w14:textId="77777777" w:rsidR="00E36CE9" w:rsidRPr="001C3EF7" w:rsidRDefault="00E36CE9" w:rsidP="001C3EF7">
    <w:pPr>
      <w:pStyle w:val="Footer"/>
      <w:tabs>
        <w:tab w:val="clear" w:pos="4819"/>
        <w:tab w:val="clear" w:pos="9638"/>
        <w:tab w:val="left" w:pos="43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1E06E" w14:textId="77777777" w:rsidR="00DE37E7" w:rsidRDefault="00DE37E7" w:rsidP="001C3EF7">
      <w:r>
        <w:separator/>
      </w:r>
    </w:p>
  </w:footnote>
  <w:footnote w:type="continuationSeparator" w:id="0">
    <w:p w14:paraId="475E6A3D" w14:textId="77777777" w:rsidR="00DE37E7" w:rsidRDefault="00DE37E7" w:rsidP="001C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Pavadinimas"/>
      <w:tag w:val=""/>
      <w:id w:val="-2090074503"/>
      <w:placeholder>
        <w:docPart w:val="69D8A8AB2B644448BC8AD3F06BEF98E3"/>
      </w:placeholder>
      <w:dataBinding w:prefixMappings="xmlns:ns0='http://purl.org/dc/elements/1.1/' xmlns:ns1='http://schemas.openxmlformats.org/package/2006/metadata/core-properties' " w:xpath="/ns1:coreProperties[1]/ns0:title[1]" w:storeItemID="{6C3C8BC8-F283-45AE-878A-BAB7291924A1}"/>
      <w:text/>
    </w:sdtPr>
    <w:sdtEndPr/>
    <w:sdtContent>
      <w:p w14:paraId="262CF490" w14:textId="7E874DAB" w:rsidR="00E36CE9" w:rsidRDefault="00E36CE9" w:rsidP="00006B11">
        <w:pPr>
          <w:pStyle w:val="Header"/>
          <w:jc w:val="center"/>
        </w:pPr>
        <w:r>
          <w:t>TEISĖS AKTO PROJEKTO DALYKINIO VERTINIMO PAŽYMOS FORMA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55AE"/>
    <w:multiLevelType w:val="hybridMultilevel"/>
    <w:tmpl w:val="6B42655C"/>
    <w:lvl w:ilvl="0" w:tplc="55F64C5E">
      <w:start w:val="21"/>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360" w:hanging="360"/>
      </w:pPr>
      <w:rPr>
        <w:rFonts w:ascii="Courier New" w:hAnsi="Courier New" w:cs="Courier New" w:hint="default"/>
      </w:rPr>
    </w:lvl>
    <w:lvl w:ilvl="2" w:tplc="04270005" w:tentative="1">
      <w:start w:val="1"/>
      <w:numFmt w:val="bullet"/>
      <w:lvlText w:val=""/>
      <w:lvlJc w:val="left"/>
      <w:pPr>
        <w:ind w:left="1080" w:hanging="360"/>
      </w:pPr>
      <w:rPr>
        <w:rFonts w:ascii="Wingdings" w:hAnsi="Wingdings" w:hint="default"/>
      </w:rPr>
    </w:lvl>
    <w:lvl w:ilvl="3" w:tplc="04270001" w:tentative="1">
      <w:start w:val="1"/>
      <w:numFmt w:val="bullet"/>
      <w:lvlText w:val=""/>
      <w:lvlJc w:val="left"/>
      <w:pPr>
        <w:ind w:left="1800" w:hanging="360"/>
      </w:pPr>
      <w:rPr>
        <w:rFonts w:ascii="Symbol" w:hAnsi="Symbol" w:hint="default"/>
      </w:rPr>
    </w:lvl>
    <w:lvl w:ilvl="4" w:tplc="04270003" w:tentative="1">
      <w:start w:val="1"/>
      <w:numFmt w:val="bullet"/>
      <w:lvlText w:val="o"/>
      <w:lvlJc w:val="left"/>
      <w:pPr>
        <w:ind w:left="2520" w:hanging="360"/>
      </w:pPr>
      <w:rPr>
        <w:rFonts w:ascii="Courier New" w:hAnsi="Courier New" w:cs="Courier New" w:hint="default"/>
      </w:rPr>
    </w:lvl>
    <w:lvl w:ilvl="5" w:tplc="04270005" w:tentative="1">
      <w:start w:val="1"/>
      <w:numFmt w:val="bullet"/>
      <w:lvlText w:val=""/>
      <w:lvlJc w:val="left"/>
      <w:pPr>
        <w:ind w:left="3240" w:hanging="360"/>
      </w:pPr>
      <w:rPr>
        <w:rFonts w:ascii="Wingdings" w:hAnsi="Wingdings" w:hint="default"/>
      </w:rPr>
    </w:lvl>
    <w:lvl w:ilvl="6" w:tplc="04270001" w:tentative="1">
      <w:start w:val="1"/>
      <w:numFmt w:val="bullet"/>
      <w:lvlText w:val=""/>
      <w:lvlJc w:val="left"/>
      <w:pPr>
        <w:ind w:left="3960" w:hanging="360"/>
      </w:pPr>
      <w:rPr>
        <w:rFonts w:ascii="Symbol" w:hAnsi="Symbol" w:hint="default"/>
      </w:rPr>
    </w:lvl>
    <w:lvl w:ilvl="7" w:tplc="04270003" w:tentative="1">
      <w:start w:val="1"/>
      <w:numFmt w:val="bullet"/>
      <w:lvlText w:val="o"/>
      <w:lvlJc w:val="left"/>
      <w:pPr>
        <w:ind w:left="4680" w:hanging="360"/>
      </w:pPr>
      <w:rPr>
        <w:rFonts w:ascii="Courier New" w:hAnsi="Courier New" w:cs="Courier New" w:hint="default"/>
      </w:rPr>
    </w:lvl>
    <w:lvl w:ilvl="8" w:tplc="04270005" w:tentative="1">
      <w:start w:val="1"/>
      <w:numFmt w:val="bullet"/>
      <w:lvlText w:val=""/>
      <w:lvlJc w:val="left"/>
      <w:pPr>
        <w:ind w:left="5400" w:hanging="360"/>
      </w:pPr>
      <w:rPr>
        <w:rFonts w:ascii="Wingdings" w:hAnsi="Wingdings" w:hint="default"/>
      </w:rPr>
    </w:lvl>
  </w:abstractNum>
  <w:abstractNum w:abstractNumId="1" w15:restartNumberingAfterBreak="0">
    <w:nsid w:val="0F1960E1"/>
    <w:multiLevelType w:val="hybridMultilevel"/>
    <w:tmpl w:val="81F8713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34C1101"/>
    <w:multiLevelType w:val="hybridMultilevel"/>
    <w:tmpl w:val="EAA421FA"/>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19437A"/>
    <w:multiLevelType w:val="hybridMultilevel"/>
    <w:tmpl w:val="D49E58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D82A21"/>
    <w:multiLevelType w:val="hybridMultilevel"/>
    <w:tmpl w:val="0202620A"/>
    <w:lvl w:ilvl="0" w:tplc="55F64C5E">
      <w:start w:val="2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7D5ADC"/>
    <w:multiLevelType w:val="hybridMultilevel"/>
    <w:tmpl w:val="FE3024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CC3EFA"/>
    <w:multiLevelType w:val="hybridMultilevel"/>
    <w:tmpl w:val="79148F0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EF60DD"/>
    <w:multiLevelType w:val="hybridMultilevel"/>
    <w:tmpl w:val="9B3AA1EA"/>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F054789"/>
    <w:multiLevelType w:val="hybridMultilevel"/>
    <w:tmpl w:val="3D5C78BE"/>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57593E43"/>
    <w:multiLevelType w:val="hybridMultilevel"/>
    <w:tmpl w:val="5F0E0AA0"/>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BF45C7"/>
    <w:multiLevelType w:val="hybridMultilevel"/>
    <w:tmpl w:val="FFD8D0D8"/>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9D425C"/>
    <w:multiLevelType w:val="hybridMultilevel"/>
    <w:tmpl w:val="095A3D9E"/>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618C0166"/>
    <w:multiLevelType w:val="hybridMultilevel"/>
    <w:tmpl w:val="2ABE26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4F40BE"/>
    <w:multiLevelType w:val="hybridMultilevel"/>
    <w:tmpl w:val="122C7E7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45B420B"/>
    <w:multiLevelType w:val="hybridMultilevel"/>
    <w:tmpl w:val="B9963E46"/>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96807EC"/>
    <w:multiLevelType w:val="hybridMultilevel"/>
    <w:tmpl w:val="3B2426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685255D"/>
    <w:multiLevelType w:val="hybridMultilevel"/>
    <w:tmpl w:val="33BAE8A6"/>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79C6A9A"/>
    <w:multiLevelType w:val="hybridMultilevel"/>
    <w:tmpl w:val="A5367122"/>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7"/>
  </w:num>
  <w:num w:numId="2">
    <w:abstractNumId w:val="3"/>
  </w:num>
  <w:num w:numId="3">
    <w:abstractNumId w:val="11"/>
  </w:num>
  <w:num w:numId="4">
    <w:abstractNumId w:val="4"/>
  </w:num>
  <w:num w:numId="5">
    <w:abstractNumId w:val="0"/>
  </w:num>
  <w:num w:numId="6">
    <w:abstractNumId w:val="8"/>
  </w:num>
  <w:num w:numId="7">
    <w:abstractNumId w:val="7"/>
  </w:num>
  <w:num w:numId="8">
    <w:abstractNumId w:val="14"/>
  </w:num>
  <w:num w:numId="9">
    <w:abstractNumId w:val="16"/>
  </w:num>
  <w:num w:numId="10">
    <w:abstractNumId w:val="13"/>
  </w:num>
  <w:num w:numId="11">
    <w:abstractNumId w:val="1"/>
  </w:num>
  <w:num w:numId="12">
    <w:abstractNumId w:val="5"/>
  </w:num>
  <w:num w:numId="13">
    <w:abstractNumId w:val="6"/>
  </w:num>
  <w:num w:numId="14">
    <w:abstractNumId w:val="2"/>
  </w:num>
  <w:num w:numId="15">
    <w:abstractNumId w:val="10"/>
  </w:num>
  <w:num w:numId="16">
    <w:abstractNumId w:val="9"/>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F7"/>
    <w:rsid w:val="00006B11"/>
    <w:rsid w:val="000343E3"/>
    <w:rsid w:val="000531DA"/>
    <w:rsid w:val="00067B30"/>
    <w:rsid w:val="00085ACE"/>
    <w:rsid w:val="00097CAB"/>
    <w:rsid w:val="000B7589"/>
    <w:rsid w:val="000C37D8"/>
    <w:rsid w:val="000D7EA0"/>
    <w:rsid w:val="000E5017"/>
    <w:rsid w:val="000F5003"/>
    <w:rsid w:val="00127A24"/>
    <w:rsid w:val="00133686"/>
    <w:rsid w:val="00141833"/>
    <w:rsid w:val="00162F06"/>
    <w:rsid w:val="00180CE4"/>
    <w:rsid w:val="00182ACE"/>
    <w:rsid w:val="001A0258"/>
    <w:rsid w:val="001A43C7"/>
    <w:rsid w:val="001C3EF7"/>
    <w:rsid w:val="001F749E"/>
    <w:rsid w:val="00202CD7"/>
    <w:rsid w:val="00214686"/>
    <w:rsid w:val="00241D5E"/>
    <w:rsid w:val="00242FCA"/>
    <w:rsid w:val="0025326D"/>
    <w:rsid w:val="00265234"/>
    <w:rsid w:val="00273280"/>
    <w:rsid w:val="0027411C"/>
    <w:rsid w:val="0027537C"/>
    <w:rsid w:val="0028270A"/>
    <w:rsid w:val="00283EF9"/>
    <w:rsid w:val="00292C60"/>
    <w:rsid w:val="002D3476"/>
    <w:rsid w:val="003145CD"/>
    <w:rsid w:val="003362C2"/>
    <w:rsid w:val="003431FE"/>
    <w:rsid w:val="00351197"/>
    <w:rsid w:val="003817E3"/>
    <w:rsid w:val="003C0280"/>
    <w:rsid w:val="00400F42"/>
    <w:rsid w:val="004033AB"/>
    <w:rsid w:val="0040729D"/>
    <w:rsid w:val="00440FA0"/>
    <w:rsid w:val="00443231"/>
    <w:rsid w:val="0046371A"/>
    <w:rsid w:val="00477869"/>
    <w:rsid w:val="004803C5"/>
    <w:rsid w:val="00487BC5"/>
    <w:rsid w:val="004A1612"/>
    <w:rsid w:val="004A2CD2"/>
    <w:rsid w:val="004A73F7"/>
    <w:rsid w:val="004C4EA3"/>
    <w:rsid w:val="004D306C"/>
    <w:rsid w:val="004F1A39"/>
    <w:rsid w:val="00520C41"/>
    <w:rsid w:val="00543ABC"/>
    <w:rsid w:val="00550B42"/>
    <w:rsid w:val="00562C6A"/>
    <w:rsid w:val="005C5F20"/>
    <w:rsid w:val="005D012F"/>
    <w:rsid w:val="0061358B"/>
    <w:rsid w:val="00633C8C"/>
    <w:rsid w:val="00642E55"/>
    <w:rsid w:val="00643B73"/>
    <w:rsid w:val="00644A7D"/>
    <w:rsid w:val="00672C3A"/>
    <w:rsid w:val="00687D3E"/>
    <w:rsid w:val="006B2011"/>
    <w:rsid w:val="006B61E2"/>
    <w:rsid w:val="006D2133"/>
    <w:rsid w:val="006E1269"/>
    <w:rsid w:val="006E4E3C"/>
    <w:rsid w:val="00721E4F"/>
    <w:rsid w:val="007319C1"/>
    <w:rsid w:val="00731FDB"/>
    <w:rsid w:val="00767452"/>
    <w:rsid w:val="00774AAD"/>
    <w:rsid w:val="007A42DE"/>
    <w:rsid w:val="007A5041"/>
    <w:rsid w:val="007C3CA8"/>
    <w:rsid w:val="007D02AD"/>
    <w:rsid w:val="007D5639"/>
    <w:rsid w:val="007E5D9D"/>
    <w:rsid w:val="00801F71"/>
    <w:rsid w:val="00804FEE"/>
    <w:rsid w:val="00814E4C"/>
    <w:rsid w:val="00837916"/>
    <w:rsid w:val="00841847"/>
    <w:rsid w:val="008461E5"/>
    <w:rsid w:val="00862CA1"/>
    <w:rsid w:val="008A5C17"/>
    <w:rsid w:val="008C5D5B"/>
    <w:rsid w:val="008E1A5B"/>
    <w:rsid w:val="008E422A"/>
    <w:rsid w:val="008F48A0"/>
    <w:rsid w:val="008F4F08"/>
    <w:rsid w:val="00903375"/>
    <w:rsid w:val="00910B31"/>
    <w:rsid w:val="00912E03"/>
    <w:rsid w:val="0092329D"/>
    <w:rsid w:val="0092372B"/>
    <w:rsid w:val="0092503B"/>
    <w:rsid w:val="00956918"/>
    <w:rsid w:val="00963B65"/>
    <w:rsid w:val="009648B4"/>
    <w:rsid w:val="009D3FE9"/>
    <w:rsid w:val="009E1CCF"/>
    <w:rsid w:val="00A12D0A"/>
    <w:rsid w:val="00A1481D"/>
    <w:rsid w:val="00A201F1"/>
    <w:rsid w:val="00A22A7E"/>
    <w:rsid w:val="00A34EC9"/>
    <w:rsid w:val="00A40E4F"/>
    <w:rsid w:val="00A616F1"/>
    <w:rsid w:val="00A7213C"/>
    <w:rsid w:val="00A9409B"/>
    <w:rsid w:val="00AA647D"/>
    <w:rsid w:val="00AD6E43"/>
    <w:rsid w:val="00AD7710"/>
    <w:rsid w:val="00AF0120"/>
    <w:rsid w:val="00B25236"/>
    <w:rsid w:val="00B36801"/>
    <w:rsid w:val="00B50785"/>
    <w:rsid w:val="00B71B4A"/>
    <w:rsid w:val="00B93BDE"/>
    <w:rsid w:val="00BA2E5D"/>
    <w:rsid w:val="00BA4731"/>
    <w:rsid w:val="00BD0096"/>
    <w:rsid w:val="00BD7746"/>
    <w:rsid w:val="00BD7B62"/>
    <w:rsid w:val="00C04DB0"/>
    <w:rsid w:val="00C33A0B"/>
    <w:rsid w:val="00C42756"/>
    <w:rsid w:val="00C87D20"/>
    <w:rsid w:val="00CB3A19"/>
    <w:rsid w:val="00CC2009"/>
    <w:rsid w:val="00CC64F2"/>
    <w:rsid w:val="00CC7171"/>
    <w:rsid w:val="00CD142F"/>
    <w:rsid w:val="00CD381F"/>
    <w:rsid w:val="00CF289B"/>
    <w:rsid w:val="00D05D3C"/>
    <w:rsid w:val="00D13D5E"/>
    <w:rsid w:val="00D37A2A"/>
    <w:rsid w:val="00D44436"/>
    <w:rsid w:val="00D639D7"/>
    <w:rsid w:val="00D86352"/>
    <w:rsid w:val="00DA1C86"/>
    <w:rsid w:val="00DB2853"/>
    <w:rsid w:val="00DC3B49"/>
    <w:rsid w:val="00DD53BC"/>
    <w:rsid w:val="00DD697F"/>
    <w:rsid w:val="00DE37E7"/>
    <w:rsid w:val="00DE3810"/>
    <w:rsid w:val="00E2791D"/>
    <w:rsid w:val="00E36CE9"/>
    <w:rsid w:val="00E40C92"/>
    <w:rsid w:val="00E52DA2"/>
    <w:rsid w:val="00E578AA"/>
    <w:rsid w:val="00E57E71"/>
    <w:rsid w:val="00EB0F28"/>
    <w:rsid w:val="00EC24C7"/>
    <w:rsid w:val="00EC5D84"/>
    <w:rsid w:val="00EC7C3A"/>
    <w:rsid w:val="00EF30BA"/>
    <w:rsid w:val="00F020BE"/>
    <w:rsid w:val="00F02790"/>
    <w:rsid w:val="00F03941"/>
    <w:rsid w:val="00F1591F"/>
    <w:rsid w:val="00F17BD5"/>
    <w:rsid w:val="00F83A23"/>
    <w:rsid w:val="00FA6EE7"/>
    <w:rsid w:val="00FB4022"/>
    <w:rsid w:val="00FD5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0528"/>
  <w15:chartTrackingRefBased/>
  <w15:docId w15:val="{4298D401-95AC-43BB-AAAB-B959F0C1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EF7"/>
    <w:pPr>
      <w:spacing w:after="0" w:line="240" w:lineRule="auto"/>
      <w:jc w:val="both"/>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1C3E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lang w:eastAsia="en-US"/>
    </w:rPr>
  </w:style>
  <w:style w:type="paragraph" w:customStyle="1" w:styleId="Antraste">
    <w:name w:val="Antraste"/>
    <w:basedOn w:val="Normal"/>
    <w:link w:val="AntrasteChar"/>
    <w:qFormat/>
    <w:rsid w:val="001C3EF7"/>
    <w:pPr>
      <w:jc w:val="center"/>
    </w:pPr>
    <w:rPr>
      <w:b/>
      <w:caps/>
      <w:spacing w:val="-6"/>
    </w:rPr>
  </w:style>
  <w:style w:type="character" w:customStyle="1" w:styleId="AntrasteChar">
    <w:name w:val="Antraste Char"/>
    <w:basedOn w:val="DefaultParagraphFont"/>
    <w:link w:val="Antraste"/>
    <w:rsid w:val="001C3EF7"/>
    <w:rPr>
      <w:rFonts w:ascii="Times New Roman" w:eastAsia="Times New Roman" w:hAnsi="Times New Roman" w:cs="Times New Roman"/>
      <w:b/>
      <w:caps/>
      <w:spacing w:val="-6"/>
      <w:sz w:val="24"/>
      <w:szCs w:val="20"/>
      <w:lang w:eastAsia="ru-RU"/>
    </w:rPr>
  </w:style>
  <w:style w:type="paragraph" w:styleId="NoSpacing">
    <w:name w:val="No Spacing"/>
    <w:uiPriority w:val="1"/>
    <w:qFormat/>
    <w:rsid w:val="001C3EF7"/>
    <w:pPr>
      <w:spacing w:after="0" w:line="240" w:lineRule="auto"/>
      <w:jc w:val="both"/>
    </w:pPr>
    <w:rPr>
      <w:rFonts w:ascii="Times New Roman" w:eastAsia="Times New Roman" w:hAnsi="Times New Roman" w:cs="Times New Roman"/>
      <w:sz w:val="24"/>
      <w:szCs w:val="20"/>
      <w:lang w:eastAsia="ru-RU"/>
    </w:rPr>
  </w:style>
  <w:style w:type="table" w:styleId="TableGrid">
    <w:name w:val="Table Grid"/>
    <w:basedOn w:val="TableNormal"/>
    <w:uiPriority w:val="39"/>
    <w:rsid w:val="001C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EF7"/>
    <w:pPr>
      <w:tabs>
        <w:tab w:val="center" w:pos="4819"/>
        <w:tab w:val="right" w:pos="9638"/>
      </w:tabs>
    </w:pPr>
  </w:style>
  <w:style w:type="character" w:customStyle="1" w:styleId="HeaderChar">
    <w:name w:val="Header Char"/>
    <w:basedOn w:val="DefaultParagraphFont"/>
    <w:link w:val="Header"/>
    <w:uiPriority w:val="99"/>
    <w:rsid w:val="001C3EF7"/>
    <w:rPr>
      <w:rFonts w:ascii="Times New Roman" w:eastAsia="Times New Roman" w:hAnsi="Times New Roman" w:cs="Times New Roman"/>
      <w:sz w:val="24"/>
      <w:szCs w:val="20"/>
      <w:lang w:eastAsia="ru-RU"/>
    </w:rPr>
  </w:style>
  <w:style w:type="paragraph" w:styleId="Footer">
    <w:name w:val="footer"/>
    <w:basedOn w:val="Normal"/>
    <w:link w:val="FooterChar"/>
    <w:uiPriority w:val="99"/>
    <w:unhideWhenUsed/>
    <w:rsid w:val="001C3EF7"/>
    <w:pPr>
      <w:tabs>
        <w:tab w:val="center" w:pos="4819"/>
        <w:tab w:val="right" w:pos="9638"/>
      </w:tabs>
    </w:pPr>
  </w:style>
  <w:style w:type="character" w:customStyle="1" w:styleId="FooterChar">
    <w:name w:val="Footer Char"/>
    <w:basedOn w:val="DefaultParagraphFont"/>
    <w:link w:val="Footer"/>
    <w:uiPriority w:val="99"/>
    <w:rsid w:val="001C3EF7"/>
    <w:rPr>
      <w:rFonts w:ascii="Times New Roman" w:eastAsia="Times New Roman" w:hAnsi="Times New Roman" w:cs="Times New Roman"/>
      <w:sz w:val="24"/>
      <w:szCs w:val="20"/>
      <w:lang w:eastAsia="ru-RU"/>
    </w:rPr>
  </w:style>
  <w:style w:type="character" w:styleId="PlaceholderText">
    <w:name w:val="Placeholder Text"/>
    <w:basedOn w:val="DefaultParagraphFont"/>
    <w:uiPriority w:val="99"/>
    <w:semiHidden/>
    <w:rsid w:val="001C3EF7"/>
    <w:rPr>
      <w:color w:val="808080"/>
    </w:rPr>
  </w:style>
  <w:style w:type="paragraph" w:styleId="ListParagraph">
    <w:name w:val="List Paragraph"/>
    <w:basedOn w:val="Normal"/>
    <w:uiPriority w:val="34"/>
    <w:qFormat/>
    <w:rsid w:val="008E422A"/>
    <w:pPr>
      <w:ind w:left="720"/>
      <w:contextualSpacing/>
    </w:pPr>
  </w:style>
  <w:style w:type="paragraph" w:styleId="FootnoteText">
    <w:name w:val="footnote text"/>
    <w:basedOn w:val="Normal"/>
    <w:link w:val="FootnoteTextChar"/>
    <w:uiPriority w:val="99"/>
    <w:semiHidden/>
    <w:unhideWhenUsed/>
    <w:rsid w:val="00550B42"/>
    <w:rPr>
      <w:sz w:val="20"/>
    </w:rPr>
  </w:style>
  <w:style w:type="character" w:customStyle="1" w:styleId="FootnoteTextChar">
    <w:name w:val="Footnote Text Char"/>
    <w:basedOn w:val="DefaultParagraphFont"/>
    <w:link w:val="FootnoteText"/>
    <w:uiPriority w:val="99"/>
    <w:semiHidden/>
    <w:rsid w:val="00550B42"/>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550B42"/>
    <w:rPr>
      <w:vertAlign w:val="superscript"/>
    </w:rPr>
  </w:style>
  <w:style w:type="paragraph" w:styleId="BalloonText">
    <w:name w:val="Balloon Text"/>
    <w:basedOn w:val="Normal"/>
    <w:link w:val="BalloonTextChar"/>
    <w:uiPriority w:val="99"/>
    <w:semiHidden/>
    <w:unhideWhenUsed/>
    <w:rsid w:val="00EB0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F28"/>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633C8C"/>
    <w:rPr>
      <w:sz w:val="16"/>
      <w:szCs w:val="16"/>
    </w:rPr>
  </w:style>
  <w:style w:type="paragraph" w:styleId="CommentText">
    <w:name w:val="annotation text"/>
    <w:basedOn w:val="Normal"/>
    <w:link w:val="CommentTextChar"/>
    <w:uiPriority w:val="99"/>
    <w:semiHidden/>
    <w:unhideWhenUsed/>
    <w:rsid w:val="00633C8C"/>
    <w:rPr>
      <w:sz w:val="20"/>
    </w:rPr>
  </w:style>
  <w:style w:type="character" w:customStyle="1" w:styleId="CommentTextChar">
    <w:name w:val="Comment Text Char"/>
    <w:basedOn w:val="DefaultParagraphFont"/>
    <w:link w:val="CommentText"/>
    <w:uiPriority w:val="99"/>
    <w:semiHidden/>
    <w:rsid w:val="00633C8C"/>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33C8C"/>
    <w:rPr>
      <w:b/>
      <w:bCs/>
    </w:rPr>
  </w:style>
  <w:style w:type="character" w:customStyle="1" w:styleId="CommentSubjectChar">
    <w:name w:val="Comment Subject Char"/>
    <w:basedOn w:val="CommentTextChar"/>
    <w:link w:val="CommentSubject"/>
    <w:uiPriority w:val="99"/>
    <w:semiHidden/>
    <w:rsid w:val="00633C8C"/>
    <w:rPr>
      <w:rFonts w:ascii="Times New Roman" w:eastAsia="Times New Roman" w:hAnsi="Times New Roman" w:cs="Times New Roman"/>
      <w:b/>
      <w:bCs/>
      <w:sz w:val="20"/>
      <w:szCs w:val="20"/>
      <w:lang w:eastAsia="ru-RU"/>
    </w:rPr>
  </w:style>
  <w:style w:type="paragraph" w:styleId="Revision">
    <w:name w:val="Revision"/>
    <w:hidden/>
    <w:uiPriority w:val="99"/>
    <w:semiHidden/>
    <w:rsid w:val="000343E3"/>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9D8A8AB2B644448BC8AD3F06BEF98E3"/>
        <w:category>
          <w:name w:val="Bendrosios nuostatos"/>
          <w:gallery w:val="placeholder"/>
        </w:category>
        <w:types>
          <w:type w:val="bbPlcHdr"/>
        </w:types>
        <w:behaviors>
          <w:behavior w:val="content"/>
        </w:behaviors>
        <w:guid w:val="{DCD3C4CD-519B-446A-A649-C6DFEC460EA9}"/>
      </w:docPartPr>
      <w:docPartBody>
        <w:p w:rsidR="00AC423E" w:rsidRDefault="00D84496">
          <w:r w:rsidRPr="007361EA">
            <w:rPr>
              <w:rStyle w:val="PlaceholderText"/>
            </w:rPr>
            <w:t>[Pavadinimas]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17"/>
    <w:rsid w:val="002711D7"/>
    <w:rsid w:val="005943E8"/>
    <w:rsid w:val="00662074"/>
    <w:rsid w:val="006A6617"/>
    <w:rsid w:val="008B4A3B"/>
    <w:rsid w:val="00AC423E"/>
    <w:rsid w:val="00BF33F0"/>
    <w:rsid w:val="00C7564A"/>
    <w:rsid w:val="00D84496"/>
    <w:rsid w:val="00DA5769"/>
    <w:rsid w:val="00E31A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1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4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2021-04-22T00:00:00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29DFC294BB6CA4ABDE0F2B4B536E102" ma:contentTypeVersion="9" ma:contentTypeDescription="Kurkite naują dokumentą." ma:contentTypeScope="" ma:versionID="e7f68fe6db085d3036df8f34832f148e">
  <xsd:schema xmlns:xsd="http://www.w3.org/2001/XMLSchema" xmlns:xs="http://www.w3.org/2001/XMLSchema" xmlns:p="http://schemas.microsoft.com/office/2006/metadata/properties" xmlns:ns3="5de9dfd3-1eaa-4a99-ae40-b9dde1354a76" xmlns:ns4="0f39103d-2a83-40d6-93c2-2dbcd0769bff" targetNamespace="http://schemas.microsoft.com/office/2006/metadata/properties" ma:root="true" ma:fieldsID="b4d1eca901506f6e3089e79554dd0747" ns3:_="" ns4:_="">
    <xsd:import namespace="5de9dfd3-1eaa-4a99-ae40-b9dde1354a76"/>
    <xsd:import namespace="0f39103d-2a83-40d6-93c2-2dbcd0769b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9dfd3-1eaa-4a99-ae40-b9dde1354a76"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9103d-2a83-40d6-93c2-2dbcd0769b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EA79AC-6E23-4CFC-89FF-03375F2DAE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62D96E-2500-4E20-90BD-A1982E9FFBD6}">
  <ds:schemaRefs>
    <ds:schemaRef ds:uri="http://schemas.microsoft.com/sharepoint/v3/contenttype/forms"/>
  </ds:schemaRefs>
</ds:datastoreItem>
</file>

<file path=customXml/itemProps4.xml><?xml version="1.0" encoding="utf-8"?>
<ds:datastoreItem xmlns:ds="http://schemas.openxmlformats.org/officeDocument/2006/customXml" ds:itemID="{DF2C8A9D-74B2-41E9-AE5C-5EF6A7F76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9dfd3-1eaa-4a99-ae40-b9dde1354a76"/>
    <ds:schemaRef ds:uri="0f39103d-2a83-40d6-93c2-2dbcd0769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925DDA-5B59-4414-84F0-1BFD1113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5204</Words>
  <Characters>2967</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TEISĖS AKTO PROJEKTO DALYKINIO VERTINIMO PAŽYMOS FORMA</vt:lpstr>
      <vt:lpstr>TEISĖS AKTO PROJEKTO DALYKINIO VERTINIMO PAŽYMA</vt:lpstr>
    </vt:vector>
  </TitlesOfParts>
  <Company>Pažymos rengėjas |LRVK padalinys</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TEISĖS AKTO PROJEKTO DALYKINIO VERTINIMO PAŽYMOS FORMA</dc:title>
  <dc:subject/>
  <dc:creator>Dalykininkas ir kontaktai</dc:creator>
  <cp:keywords/>
  <dc:description/>
  <cp:lastModifiedBy>Daiva Žaromskytė</cp:lastModifiedBy>
  <cp:revision>4</cp:revision>
  <cp:lastPrinted>2021-04-28T06:32:00Z</cp:lastPrinted>
  <dcterms:created xsi:type="dcterms:W3CDTF">2021-05-12T10:31:00Z</dcterms:created>
  <dcterms:modified xsi:type="dcterms:W3CDTF">2021-05-24T14:22:00Z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0x010100429DFC294BB6CA4ABDE0F2B4B536E102</vt:lpwstr>
  </property>
</Properties>
</file>