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CC2" w:rsidRDefault="00B06CC2" w:rsidP="00B06CC2">
      <w:pPr>
        <w:tabs>
          <w:tab w:val="left" w:pos="7938"/>
        </w:tabs>
        <w:jc w:val="center"/>
        <w:rPr>
          <w:b/>
        </w:rPr>
      </w:pPr>
      <w:r>
        <w:rPr>
          <w:b/>
        </w:rPr>
        <w:t>LIETUVOS RESPUBLIKOS</w:t>
      </w:r>
      <w:r w:rsidRPr="007B0FAA">
        <w:rPr>
          <w:b/>
        </w:rPr>
        <w:t xml:space="preserve"> </w:t>
      </w:r>
      <w:r w:rsidRPr="00447EC2">
        <w:rPr>
          <w:rFonts w:ascii="Tms Rmn" w:hAnsi="Tms Rmn" w:cs="Tms Rmn"/>
          <w:b/>
          <w:bCs/>
        </w:rPr>
        <w:t>LOTERIJŲ IR LOŠIMŲ MOKESČIO ĮSTATYMO</w:t>
      </w:r>
      <w:r w:rsidRPr="007B0FAA">
        <w:rPr>
          <w:b/>
        </w:rPr>
        <w:t xml:space="preserve"> NR. </w:t>
      </w:r>
      <w:r>
        <w:rPr>
          <w:b/>
        </w:rPr>
        <w:t>IX-326 4, 5 IR 6 STRAIPSNIŲ IR TREČIOJO SKIRSNIO PAVADINIMO PAKEITIMO IR LIETUVOS RESPUBLIKOS AZARTINIŲ LOŠIMŲ ĮSTATYMO NR. IX-325 TREČIOJO SKIRSNIO PAVADINIMO PAKEITIMO IR 21</w:t>
      </w:r>
      <w:r w:rsidRPr="00846AF7">
        <w:rPr>
          <w:b/>
          <w:vertAlign w:val="superscript"/>
        </w:rPr>
        <w:t>1</w:t>
      </w:r>
      <w:r>
        <w:rPr>
          <w:b/>
          <w:vertAlign w:val="superscript"/>
        </w:rPr>
        <w:t xml:space="preserve"> </w:t>
      </w:r>
      <w:r>
        <w:rPr>
          <w:b/>
        </w:rPr>
        <w:t xml:space="preserve">STRAIPSNIO PRIPAŽINIMO NETEKUSIU GALIOS ĮSTATYMŲ PROJEKTŲ </w:t>
      </w:r>
    </w:p>
    <w:p w:rsidR="00B06CC2" w:rsidRPr="005E565D" w:rsidRDefault="00B06CC2" w:rsidP="00B06CC2">
      <w:pPr>
        <w:tabs>
          <w:tab w:val="left" w:pos="7938"/>
        </w:tabs>
        <w:jc w:val="center"/>
        <w:rPr>
          <w:b/>
        </w:rPr>
      </w:pPr>
      <w:r w:rsidRPr="007B0FAA">
        <w:rPr>
          <w:b/>
          <w:bCs/>
        </w:rPr>
        <w:t>AIŠKINAMASIS RAŠTAS</w:t>
      </w:r>
    </w:p>
    <w:p w:rsidR="00B06CC2" w:rsidRPr="000E4C23" w:rsidRDefault="00B06CC2" w:rsidP="00B06CC2">
      <w:pPr>
        <w:pStyle w:val="Pagrindiniotekstotrauka3"/>
        <w:spacing w:before="0" w:beforeAutospacing="0" w:after="0" w:afterAutospacing="0"/>
        <w:rPr>
          <w:b/>
        </w:rPr>
      </w:pPr>
    </w:p>
    <w:p w:rsidR="00B06CC2" w:rsidRDefault="00B06CC2" w:rsidP="00B06CC2">
      <w:pPr>
        <w:pStyle w:val="Pagrindinistekstas"/>
        <w:spacing w:after="0"/>
        <w:ind w:firstLine="567"/>
        <w:jc w:val="both"/>
        <w:rPr>
          <w:b/>
        </w:rPr>
      </w:pPr>
      <w:r w:rsidRPr="008872B2">
        <w:rPr>
          <w:b/>
        </w:rPr>
        <w:t>1</w:t>
      </w:r>
      <w:r>
        <w:rPr>
          <w:b/>
        </w:rPr>
        <w:t>. Įstatymų projektų</w:t>
      </w:r>
      <w:r w:rsidRPr="008872B2">
        <w:rPr>
          <w:b/>
        </w:rPr>
        <w:t xml:space="preserve"> rengimą paskatinusios priežastys, </w:t>
      </w:r>
      <w:r>
        <w:rPr>
          <w:b/>
        </w:rPr>
        <w:t>įstatymų projektų</w:t>
      </w:r>
      <w:r w:rsidRPr="008872B2">
        <w:rPr>
          <w:b/>
        </w:rPr>
        <w:t xml:space="preserve"> tikslai ir uždaviniai</w:t>
      </w:r>
    </w:p>
    <w:p w:rsidR="00B06CC2" w:rsidRDefault="00B06CC2" w:rsidP="00B06CC2">
      <w:pPr>
        <w:pStyle w:val="Pagrindinistekstas"/>
        <w:spacing w:after="0"/>
        <w:ind w:firstLine="567"/>
        <w:jc w:val="both"/>
      </w:pPr>
      <w:r>
        <w:t>COVID-19 p</w:t>
      </w:r>
      <w:r w:rsidRPr="00D01D12">
        <w:t xml:space="preserve">andemijos laikotarpiu paskelbus </w:t>
      </w:r>
      <w:r>
        <w:t>karantiną buvo draudžiama antžeminių lošimo</w:t>
      </w:r>
      <w:r w:rsidRPr="00D01D12">
        <w:t xml:space="preserve"> </w:t>
      </w:r>
      <w:r>
        <w:t xml:space="preserve">vietų </w:t>
      </w:r>
      <w:r w:rsidRPr="00D01D12">
        <w:t>veikla</w:t>
      </w:r>
      <w:r>
        <w:t>,</w:t>
      </w:r>
      <w:r w:rsidRPr="00D01D12">
        <w:t xml:space="preserve"> tačiau </w:t>
      </w:r>
      <w:r>
        <w:t>lošimų bendrovės, negaudamos pajamų,</w:t>
      </w:r>
      <w:r w:rsidRPr="00D01D12">
        <w:t xml:space="preserve"> privalėjo mokėti fiksuotus lošimų mokesčius už kiekvieną lošimo automatą ir lošimo stalą kiekvieną mėnesį. Siekiant sumažinti verslo patiriamus nuostolius 2020 m. birželio 4 d. buvo priimta</w:t>
      </w:r>
      <w:r>
        <w:t>s Lietuvos Respublikos azartinių lošimų įstatymo Nr.</w:t>
      </w:r>
      <w:r>
        <w:rPr>
          <w:bCs/>
          <w:color w:val="000000"/>
        </w:rPr>
        <w:t> </w:t>
      </w:r>
      <w:r w:rsidRPr="00D01D12">
        <w:t>IX-325 trečiojo sk</w:t>
      </w:r>
      <w:r>
        <w:t>irsnio pavadinimo pakeitimo ir Į</w:t>
      </w:r>
      <w:r w:rsidRPr="00D01D12">
        <w:t>statymo papildymo 21</w:t>
      </w:r>
      <w:r w:rsidRPr="00D01D12">
        <w:rPr>
          <w:vertAlign w:val="superscript"/>
        </w:rPr>
        <w:t>1</w:t>
      </w:r>
      <w:r w:rsidRPr="00D01D12">
        <w:t xml:space="preserve"> straipsniu įstatymas Nr.</w:t>
      </w:r>
      <w:r>
        <w:rPr>
          <w:bCs/>
          <w:color w:val="000000"/>
        </w:rPr>
        <w:t> </w:t>
      </w:r>
      <w:r w:rsidRPr="00D01D12">
        <w:t>XIII-3009</w:t>
      </w:r>
      <w:r>
        <w:t>, kuriame nustatyta, kad,</w:t>
      </w:r>
      <w:r w:rsidRPr="00D01D12">
        <w:t xml:space="preserve"> paskelbus nepaprastąją padėtį ar valstybės lygio ekstremaliąją situaciją, ar karantiną visoje Lietuvos Respublikos teritorijoje</w:t>
      </w:r>
      <w:r>
        <w:t>, kai</w:t>
      </w:r>
      <w:r w:rsidRPr="00D01D12">
        <w:t xml:space="preserve"> nustatytų ribojimų laikotarpiu draudžiama </w:t>
      </w:r>
      <w:r>
        <w:t>lošimų veikla, l</w:t>
      </w:r>
      <w:r w:rsidRPr="00D01D12">
        <w:t>eidimų atidaryti automatų ar bingo salonus arba lošimo namus (kazino) galiojimas sustabdomas automatiškai nuo nustatytų ribojimų įsigaliojimo dienos iki jų panaikinimo dienos</w:t>
      </w:r>
      <w:r>
        <w:t xml:space="preserve"> ir tuo laikotarpiu fiksuotas įrenginių mokestis nemokamas. Tačiau neatsižvelgiant į šiuos</w:t>
      </w:r>
      <w:r w:rsidRPr="00D01D12">
        <w:t xml:space="preserve"> </w:t>
      </w:r>
      <w:r>
        <w:t>reglamentavimo pakeitimus</w:t>
      </w:r>
      <w:r w:rsidRPr="00D01D12">
        <w:t xml:space="preserve">, </w:t>
      </w:r>
      <w:r>
        <w:t>liko neaiškumų dėl mokesčio apskaičiavimo tvarkos, nepakankamai aiškios nuostatos kelia verslo subjektų sumaištį.</w:t>
      </w:r>
    </w:p>
    <w:p w:rsidR="00722625" w:rsidRPr="00695D81" w:rsidRDefault="005A50F3" w:rsidP="00B06CC2">
      <w:pPr>
        <w:pStyle w:val="Pagrindinistekstas"/>
        <w:spacing w:after="0"/>
        <w:ind w:firstLine="567"/>
        <w:jc w:val="both"/>
      </w:pPr>
      <w:r w:rsidRPr="00520964">
        <w:rPr>
          <w:color w:val="000000"/>
        </w:rPr>
        <w:t>Li</w:t>
      </w:r>
      <w:r w:rsidR="004137CD" w:rsidRPr="00520964">
        <w:rPr>
          <w:color w:val="000000"/>
        </w:rPr>
        <w:t>etuvos Respublikos Konstitucinis</w:t>
      </w:r>
      <w:r w:rsidRPr="00520964">
        <w:rPr>
          <w:color w:val="000000"/>
        </w:rPr>
        <w:t xml:space="preserve"> T</w:t>
      </w:r>
      <w:r w:rsidR="004137CD" w:rsidRPr="00520964">
        <w:rPr>
          <w:color w:val="000000"/>
        </w:rPr>
        <w:t>eismas</w:t>
      </w:r>
      <w:r w:rsidRPr="00520964">
        <w:rPr>
          <w:color w:val="000000"/>
        </w:rPr>
        <w:t xml:space="preserve"> </w:t>
      </w:r>
      <w:r w:rsidR="004137CD" w:rsidRPr="00520964">
        <w:rPr>
          <w:color w:val="000000"/>
        </w:rPr>
        <w:t xml:space="preserve">2021 m. gegužės 13 d. </w:t>
      </w:r>
      <w:r w:rsidRPr="00520964">
        <w:rPr>
          <w:color w:val="000000"/>
        </w:rPr>
        <w:t>nutarimu</w:t>
      </w:r>
      <w:r w:rsidR="00722625" w:rsidRPr="00520964">
        <w:rPr>
          <w:color w:val="000000"/>
        </w:rPr>
        <w:t xml:space="preserve"> Nr.</w:t>
      </w:r>
      <w:r w:rsidRPr="00520964">
        <w:rPr>
          <w:color w:val="000000"/>
        </w:rPr>
        <w:t xml:space="preserve"> KT67-N6/</w:t>
      </w:r>
      <w:r w:rsidRPr="00520964">
        <w:t>2021</w:t>
      </w:r>
      <w:r w:rsidR="00695D81" w:rsidRPr="00520964">
        <w:t xml:space="preserve"> </w:t>
      </w:r>
      <w:r w:rsidR="004137CD" w:rsidRPr="00520964">
        <w:t xml:space="preserve">pripažino </w:t>
      </w:r>
      <w:r w:rsidR="0055761A" w:rsidRPr="00520964">
        <w:t xml:space="preserve">Lietuvos Respublikos </w:t>
      </w:r>
      <w:r w:rsidR="0055761A" w:rsidRPr="00520964">
        <w:rPr>
          <w:shd w:val="clear" w:color="auto" w:fill="FFFFFF"/>
        </w:rPr>
        <w:t>l</w:t>
      </w:r>
      <w:r w:rsidR="00695D81" w:rsidRPr="00520964">
        <w:rPr>
          <w:shd w:val="clear" w:color="auto" w:fill="FFFFFF"/>
        </w:rPr>
        <w:t>oterijų ir lošimų mokesčio įstatymo pakeitimo įs</w:t>
      </w:r>
      <w:r w:rsidR="004137CD" w:rsidRPr="00520964">
        <w:rPr>
          <w:shd w:val="clear" w:color="auto" w:fill="FFFFFF"/>
        </w:rPr>
        <w:t>tatymo 2 straipsnį</w:t>
      </w:r>
      <w:r w:rsidR="00695D81" w:rsidRPr="00520964">
        <w:rPr>
          <w:shd w:val="clear" w:color="auto" w:fill="FFFFFF"/>
        </w:rPr>
        <w:t xml:space="preserve"> tiek, kiek pagal jį Loterijų ir lošimų mokesčio įstatymo 5 straipsnio (2019 m. gruodžio 10 d. redakcija) 2, 2</w:t>
      </w:r>
      <w:r w:rsidR="00695D81" w:rsidRPr="00520964">
        <w:rPr>
          <w:shd w:val="clear" w:color="auto" w:fill="FFFFFF"/>
          <w:vertAlign w:val="superscript"/>
        </w:rPr>
        <w:t>1</w:t>
      </w:r>
      <w:r w:rsidR="00695D81" w:rsidRPr="00520964">
        <w:rPr>
          <w:shd w:val="clear" w:color="auto" w:fill="FFFFFF"/>
        </w:rPr>
        <w:t xml:space="preserve">, 3 dalys įsigaliojo 2020 m. sausio 1 d., </w:t>
      </w:r>
      <w:r w:rsidR="004907C6" w:rsidRPr="00520964">
        <w:rPr>
          <w:shd w:val="clear" w:color="auto" w:fill="FFFFFF"/>
        </w:rPr>
        <w:t xml:space="preserve">t. y. nesilaikant </w:t>
      </w:r>
      <w:r w:rsidR="004907C6" w:rsidRPr="00520964">
        <w:rPr>
          <w:shd w:val="clear" w:color="auto" w:fill="FFFFFF"/>
          <w:lang w:val="en-US"/>
        </w:rPr>
        <w:t>6</w:t>
      </w:r>
      <w:r w:rsidR="004907C6" w:rsidRPr="00520964">
        <w:rPr>
          <w:shd w:val="clear" w:color="auto" w:fill="FFFFFF"/>
        </w:rPr>
        <w:t xml:space="preserve"> mėnesių termino nuo įstatymo oficialaus paskelbimo iki jo įsigaliojimo, </w:t>
      </w:r>
      <w:r w:rsidR="004545D2">
        <w:rPr>
          <w:shd w:val="clear" w:color="auto" w:fill="FFFFFF"/>
        </w:rPr>
        <w:t>n</w:t>
      </w:r>
      <w:r w:rsidR="0055761A" w:rsidRPr="00520964">
        <w:rPr>
          <w:shd w:val="clear" w:color="auto" w:fill="FFFFFF"/>
        </w:rPr>
        <w:t>esant dėl ypatingų aplinkybių susiklos</w:t>
      </w:r>
      <w:r w:rsidR="0014478B" w:rsidRPr="00520964">
        <w:rPr>
          <w:shd w:val="clear" w:color="auto" w:fill="FFFFFF"/>
        </w:rPr>
        <w:t>čiusios itin sunkios ekonominės ir (ar)</w:t>
      </w:r>
      <w:r w:rsidR="0055761A" w:rsidRPr="00520964">
        <w:rPr>
          <w:shd w:val="clear" w:color="auto" w:fill="FFFFFF"/>
        </w:rPr>
        <w:t xml:space="preserve"> finansinės padėties,</w:t>
      </w:r>
      <w:r w:rsidR="004137CD" w:rsidRPr="00520964">
        <w:rPr>
          <w:shd w:val="clear" w:color="auto" w:fill="FFFFFF"/>
        </w:rPr>
        <w:t xml:space="preserve"> prieštaraujančiu</w:t>
      </w:r>
      <w:r w:rsidR="00695D81" w:rsidRPr="00520964">
        <w:rPr>
          <w:shd w:val="clear" w:color="auto" w:fill="FFFFFF"/>
        </w:rPr>
        <w:t xml:space="preserve"> </w:t>
      </w:r>
      <w:r w:rsidR="004907C6" w:rsidRPr="00520964">
        <w:rPr>
          <w:shd w:val="clear" w:color="auto" w:fill="FFFFFF"/>
        </w:rPr>
        <w:t xml:space="preserve">Lietuvos Respublikos </w:t>
      </w:r>
      <w:r w:rsidR="00695D81" w:rsidRPr="00520964">
        <w:rPr>
          <w:shd w:val="clear" w:color="auto" w:fill="FFFFFF"/>
        </w:rPr>
        <w:t>Konstitucijai.</w:t>
      </w:r>
      <w:r w:rsidR="004137CD" w:rsidRPr="00520964">
        <w:rPr>
          <w:shd w:val="clear" w:color="auto" w:fill="FFFFFF"/>
        </w:rPr>
        <w:t xml:space="preserve"> </w:t>
      </w:r>
      <w:r w:rsidR="004137CD" w:rsidRPr="00520964">
        <w:t xml:space="preserve">Siekiant </w:t>
      </w:r>
      <w:r w:rsidR="004545D2">
        <w:t>iš naujo priimti šiuo nutarimu</w:t>
      </w:r>
      <w:r w:rsidR="004137CD" w:rsidRPr="00520964">
        <w:t xml:space="preserve"> prieštaraujančiomis Konstitucijai pagal įsigaliojimo tvarką pripažintas </w:t>
      </w:r>
      <w:r w:rsidR="00553636" w:rsidRPr="00520964">
        <w:t xml:space="preserve">Loterijų ir lošimų mokesčio įstatymo </w:t>
      </w:r>
      <w:r w:rsidR="001C2C03">
        <w:t>nuostatas, reikia</w:t>
      </w:r>
      <w:r w:rsidR="004137CD" w:rsidRPr="00520964">
        <w:t xml:space="preserve"> paisyti jų įsigaliojimo termino, per kurį mokesčių mokėtojams būtų užtikrinta reali galimybė </w:t>
      </w:r>
      <w:r w:rsidR="0014478B" w:rsidRPr="00520964">
        <w:t xml:space="preserve">susipažinti </w:t>
      </w:r>
      <w:r w:rsidR="001C2C03">
        <w:t xml:space="preserve">su naujais reikalavimais </w:t>
      </w:r>
      <w:r w:rsidR="0014478B" w:rsidRPr="00520964">
        <w:t xml:space="preserve">ir </w:t>
      </w:r>
      <w:r w:rsidR="001C2C03">
        <w:t>prisitaikyti prie jų bei</w:t>
      </w:r>
      <w:r w:rsidR="004137CD" w:rsidRPr="00520964">
        <w:t xml:space="preserve"> pri</w:t>
      </w:r>
      <w:r w:rsidR="002C7461" w:rsidRPr="00520964">
        <w:t>e pakitusio teisinio reglamentavimo</w:t>
      </w:r>
      <w:r w:rsidR="004137CD" w:rsidRPr="00520964">
        <w:t xml:space="preserve"> priderinti savo turtinius interesus bei ekonominės veiklos perspektyvas.</w:t>
      </w:r>
      <w:r w:rsidR="0055761A">
        <w:rPr>
          <w:shd w:val="clear" w:color="auto" w:fill="FFFFFF"/>
        </w:rPr>
        <w:t xml:space="preserve"> </w:t>
      </w:r>
      <w:r w:rsidR="004907C6">
        <w:rPr>
          <w:shd w:val="clear" w:color="auto" w:fill="FFFFFF"/>
        </w:rPr>
        <w:t xml:space="preserve"> </w:t>
      </w:r>
      <w:r w:rsidR="00695D81" w:rsidRPr="00695D81">
        <w:t xml:space="preserve"> </w:t>
      </w:r>
      <w:r w:rsidR="00722625" w:rsidRPr="00695D81">
        <w:t xml:space="preserve"> </w:t>
      </w:r>
    </w:p>
    <w:p w:rsidR="00B06CC2" w:rsidRDefault="00B06CC2" w:rsidP="00B06CC2">
      <w:pPr>
        <w:pStyle w:val="Pagrindinistekstas"/>
        <w:spacing w:after="0"/>
        <w:ind w:firstLine="567"/>
        <w:jc w:val="both"/>
      </w:pPr>
      <w:r w:rsidRPr="00E81E26">
        <w:rPr>
          <w:color w:val="000000"/>
        </w:rPr>
        <w:t>Lietuvos Respublikos l</w:t>
      </w:r>
      <w:r w:rsidRPr="00E81E26">
        <w:t>oterijų ir lošimų mo</w:t>
      </w:r>
      <w:r>
        <w:t>kesčio įstatymo Nr.</w:t>
      </w:r>
      <w:r>
        <w:rPr>
          <w:bCs/>
          <w:color w:val="000000"/>
        </w:rPr>
        <w:t> </w:t>
      </w:r>
      <w:r>
        <w:t xml:space="preserve">IX-326 4, </w:t>
      </w:r>
      <w:r w:rsidRPr="00E81E26">
        <w:t>5</w:t>
      </w:r>
      <w:r>
        <w:t xml:space="preserve"> ir 6</w:t>
      </w:r>
      <w:r w:rsidRPr="00E81E26">
        <w:t xml:space="preserve"> straipsnių</w:t>
      </w:r>
      <w:r w:rsidRPr="00E3269F">
        <w:t xml:space="preserve"> </w:t>
      </w:r>
      <w:r>
        <w:t xml:space="preserve">ir trečiojo skirsnio pavadinimo </w:t>
      </w:r>
      <w:r w:rsidRPr="00E3269F">
        <w:t>pakeitimo įstatymo projek</w:t>
      </w:r>
      <w:r>
        <w:t>to (toliau – Įstatymo projektas) tikslas – pakeisti</w:t>
      </w:r>
      <w:r w:rsidRPr="008872B2">
        <w:t xml:space="preserve"> loterijų ir lošimų mokes</w:t>
      </w:r>
      <w:r>
        <w:t>čio apskaičiavimo tvarką,</w:t>
      </w:r>
      <w:r>
        <w:rPr>
          <w:color w:val="000000"/>
        </w:rPr>
        <w:t xml:space="preserve"> or</w:t>
      </w:r>
      <w:r>
        <w:t>ganizuojant lošimus lošimo automatais ir stalo lošimus, t. y., atsižvelgiant į kitų valstybių praktiką, atsisakyti fiksuoto dydžio loterijų ir lošimų mokesčio ir pereiti prie lošimo organizatorių gaunamų grynųjų pajamų apmokestinimo, t. y. nustatyti procentinę dalį nuo faktiškai lošėjų statomų sumų ir išmokėtų laimėjimų skirtumo.</w:t>
      </w:r>
      <w:r w:rsidR="004907C6">
        <w:t xml:space="preserve"> </w:t>
      </w:r>
      <w:r w:rsidR="004907C6" w:rsidRPr="00520964">
        <w:t>Taip pat</w:t>
      </w:r>
      <w:r w:rsidR="0014478B" w:rsidRPr="00520964">
        <w:t xml:space="preserve"> </w:t>
      </w:r>
      <w:r w:rsidR="001C2C03">
        <w:t xml:space="preserve">siekiama </w:t>
      </w:r>
      <w:r w:rsidR="0014478B" w:rsidRPr="00520964">
        <w:t xml:space="preserve">užtikrinti </w:t>
      </w:r>
      <w:r w:rsidR="00CA489D" w:rsidRPr="00520964">
        <w:t xml:space="preserve">tinkamą </w:t>
      </w:r>
      <w:r w:rsidR="0014478B" w:rsidRPr="00520964">
        <w:t>Konstitucin</w:t>
      </w:r>
      <w:r w:rsidR="00CA489D" w:rsidRPr="00520964">
        <w:t>io Teismo nutarimo nuostatų įgyvendinimą.</w:t>
      </w:r>
      <w:r w:rsidR="0014478B">
        <w:t xml:space="preserve"> </w:t>
      </w:r>
    </w:p>
    <w:p w:rsidR="00B06CC2" w:rsidRDefault="00B06CC2" w:rsidP="00B06CC2">
      <w:pPr>
        <w:pStyle w:val="Pagrindinistekstas"/>
        <w:spacing w:after="0"/>
        <w:ind w:firstLine="567"/>
        <w:jc w:val="both"/>
      </w:pPr>
      <w:r>
        <w:rPr>
          <w:color w:val="000000"/>
        </w:rPr>
        <w:t xml:space="preserve">Kartu teikiamas Lietuvos </w:t>
      </w:r>
      <w:r w:rsidRPr="00F9293B">
        <w:rPr>
          <w:color w:val="000000"/>
        </w:rPr>
        <w:t>Respubliko</w:t>
      </w:r>
      <w:r>
        <w:rPr>
          <w:color w:val="000000"/>
        </w:rPr>
        <w:t>s azartinių lošimų įstatymo Nr.</w:t>
      </w:r>
      <w:r>
        <w:rPr>
          <w:bCs/>
          <w:color w:val="000000"/>
        </w:rPr>
        <w:t> </w:t>
      </w:r>
      <w:r w:rsidRPr="00F9293B">
        <w:rPr>
          <w:color w:val="000000"/>
        </w:rPr>
        <w:t>IX-325 trečiojo skirsnio</w:t>
      </w:r>
      <w:r>
        <w:rPr>
          <w:color w:val="000000"/>
        </w:rPr>
        <w:t xml:space="preserve"> pavadinimo pakeitimo ir</w:t>
      </w:r>
      <w:r w:rsidRPr="00F9293B">
        <w:rPr>
          <w:color w:val="000000"/>
        </w:rPr>
        <w:t xml:space="preserve"> 21</w:t>
      </w:r>
      <w:r w:rsidRPr="00F9293B">
        <w:rPr>
          <w:color w:val="000000"/>
          <w:vertAlign w:val="superscript"/>
        </w:rPr>
        <w:t>1</w:t>
      </w:r>
      <w:r>
        <w:rPr>
          <w:color w:val="000000"/>
        </w:rPr>
        <w:t xml:space="preserve"> straipsnio pripažinimo netekusiu galios</w:t>
      </w:r>
      <w:r w:rsidRPr="00F9293B">
        <w:rPr>
          <w:color w:val="000000"/>
        </w:rPr>
        <w:t xml:space="preserve"> įstatymo projektas</w:t>
      </w:r>
      <w:r>
        <w:rPr>
          <w:color w:val="000000"/>
        </w:rPr>
        <w:t xml:space="preserve">. </w:t>
      </w:r>
      <w:r>
        <w:t>Atsisakius fiksuoto dydžio loterijų ir lošimų mokesčio ir perėjus prie lošimo organizatorių gaunamų grynųjų pajamų apmokestinimo, Azartinių lošimų įstatymo 21</w:t>
      </w:r>
      <w:r w:rsidRPr="006F590A">
        <w:rPr>
          <w:vertAlign w:val="superscript"/>
        </w:rPr>
        <w:t>1</w:t>
      </w:r>
      <w:r>
        <w:t xml:space="preserve"> straipsnis nebetenka prasmės.</w:t>
      </w:r>
    </w:p>
    <w:p w:rsidR="00B06CC2" w:rsidRDefault="00B06CC2" w:rsidP="00B06CC2">
      <w:pPr>
        <w:pStyle w:val="Pagrindinistekstas"/>
        <w:spacing w:after="0"/>
        <w:ind w:firstLine="567"/>
        <w:jc w:val="both"/>
      </w:pPr>
    </w:p>
    <w:p w:rsidR="00B06CC2" w:rsidRPr="008872B2" w:rsidRDefault="00B06CC2" w:rsidP="00B06CC2">
      <w:pPr>
        <w:pStyle w:val="Pagrindinistekstas"/>
        <w:spacing w:after="0"/>
        <w:ind w:firstLine="567"/>
        <w:jc w:val="both"/>
        <w:rPr>
          <w:b/>
        </w:rPr>
      </w:pPr>
      <w:r>
        <w:rPr>
          <w:b/>
        </w:rPr>
        <w:t>2. Įstatymų projektų</w:t>
      </w:r>
      <w:r w:rsidRPr="008872B2">
        <w:rPr>
          <w:b/>
        </w:rPr>
        <w:t xml:space="preserve"> iniciatoriai</w:t>
      </w:r>
      <w:r>
        <w:rPr>
          <w:b/>
        </w:rPr>
        <w:t xml:space="preserve"> </w:t>
      </w:r>
      <w:r>
        <w:rPr>
          <w:b/>
          <w:bCs/>
          <w:color w:val="000000"/>
        </w:rPr>
        <w:t>(institucija, asmenys ar piliečių įgalioti atstovai)</w:t>
      </w:r>
      <w:r w:rsidRPr="008872B2">
        <w:rPr>
          <w:b/>
        </w:rPr>
        <w:t xml:space="preserve"> ir rengėjai</w:t>
      </w:r>
    </w:p>
    <w:p w:rsidR="00B06CC2" w:rsidRDefault="00B06CC2" w:rsidP="00B06CC2">
      <w:pPr>
        <w:pStyle w:val="Standard"/>
        <w:spacing w:after="0"/>
        <w:ind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Įstatymų projektus parengė Lietuvos Respublikos finansų ministerijos Finansų rinkų politikos departamento (direktorė Vilma </w:t>
      </w:r>
      <w:proofErr w:type="spellStart"/>
      <w:r>
        <w:rPr>
          <w:rFonts w:ascii="Times New Roman" w:hAnsi="Times New Roman" w:cs="Times New Roman"/>
          <w:bCs/>
          <w:sz w:val="24"/>
          <w:szCs w:val="24"/>
          <w:lang w:val="lt-LT"/>
        </w:rPr>
        <w:t>Mačerauskienė</w:t>
      </w:r>
      <w:proofErr w:type="spellEnd"/>
      <w:r>
        <w:rPr>
          <w:rFonts w:ascii="Times New Roman" w:hAnsi="Times New Roman" w:cs="Times New Roman"/>
          <w:bCs/>
          <w:sz w:val="24"/>
          <w:szCs w:val="24"/>
          <w:lang w:val="lt-LT"/>
        </w:rPr>
        <w:t xml:space="preserve">, tel. 239 0174, el. p. </w:t>
      </w:r>
      <w:proofErr w:type="spellStart"/>
      <w:r>
        <w:rPr>
          <w:rFonts w:ascii="Times New Roman" w:hAnsi="Times New Roman" w:cs="Times New Roman"/>
          <w:bCs/>
          <w:sz w:val="24"/>
          <w:szCs w:val="24"/>
          <w:lang w:val="lt-LT"/>
        </w:rPr>
        <w:t>vilma.macerauskiene@finmin.lt</w:t>
      </w:r>
      <w:proofErr w:type="spellEnd"/>
      <w:r>
        <w:rPr>
          <w:rFonts w:ascii="Times New Roman" w:hAnsi="Times New Roman" w:cs="Times New Roman"/>
          <w:bCs/>
          <w:sz w:val="24"/>
          <w:szCs w:val="24"/>
          <w:lang w:val="lt-LT"/>
        </w:rPr>
        <w:t xml:space="preserve">) Draudimo veiklos skyriaus (vedėja Lolita Šumskaitė, tel. 239 0180, el. p. </w:t>
      </w:r>
      <w:proofErr w:type="spellStart"/>
      <w:r>
        <w:rPr>
          <w:rFonts w:ascii="Times New Roman" w:hAnsi="Times New Roman" w:cs="Times New Roman"/>
          <w:bCs/>
          <w:sz w:val="24"/>
          <w:szCs w:val="24"/>
          <w:lang w:val="lt-LT"/>
        </w:rPr>
        <w:t>lolita.sumskaite@finmin.lt</w:t>
      </w:r>
      <w:proofErr w:type="spellEnd"/>
      <w:r>
        <w:rPr>
          <w:rFonts w:ascii="Times New Roman" w:hAnsi="Times New Roman" w:cs="Times New Roman"/>
          <w:bCs/>
          <w:sz w:val="24"/>
          <w:szCs w:val="24"/>
          <w:lang w:val="lt-LT"/>
        </w:rPr>
        <w:t xml:space="preserve">) vyriausioji specialistė Lina Kliukienė (tel. 219 4480, el. p. </w:t>
      </w:r>
      <w:hyperlink r:id="rId7" w:history="1">
        <w:r>
          <w:rPr>
            <w:rFonts w:ascii="Times New Roman" w:hAnsi="Times New Roman" w:cs="Times New Roman"/>
            <w:bCs/>
            <w:color w:val="00000A"/>
            <w:sz w:val="24"/>
            <w:szCs w:val="24"/>
            <w:lang w:val="lt-LT"/>
          </w:rPr>
          <w:t>lina.kliukiene@finmin.lt</w:t>
        </w:r>
      </w:hyperlink>
      <w:r>
        <w:rPr>
          <w:rFonts w:ascii="Times New Roman" w:hAnsi="Times New Roman" w:cs="Times New Roman"/>
          <w:bCs/>
          <w:sz w:val="24"/>
          <w:szCs w:val="24"/>
          <w:lang w:val="lt-LT"/>
        </w:rPr>
        <w:t>).</w:t>
      </w:r>
    </w:p>
    <w:p w:rsidR="00B06CC2" w:rsidRPr="009B4FE2" w:rsidRDefault="00B06CC2" w:rsidP="00B06CC2">
      <w:pPr>
        <w:pStyle w:val="Standard"/>
        <w:spacing w:after="0"/>
        <w:ind w:firstLine="851"/>
        <w:jc w:val="both"/>
        <w:rPr>
          <w:rFonts w:ascii="Times New Roman" w:hAnsi="Times New Roman" w:cs="Times New Roman"/>
          <w:bCs/>
          <w:sz w:val="24"/>
          <w:szCs w:val="24"/>
          <w:lang w:val="lt-LT"/>
        </w:rPr>
      </w:pPr>
    </w:p>
    <w:p w:rsidR="00B06CC2" w:rsidRPr="008872B2" w:rsidRDefault="00B06CC2" w:rsidP="00B06CC2">
      <w:pPr>
        <w:pStyle w:val="Pagrindinistekstas"/>
        <w:spacing w:after="0"/>
        <w:ind w:firstLine="567"/>
        <w:jc w:val="both"/>
        <w:rPr>
          <w:b/>
        </w:rPr>
      </w:pPr>
      <w:r w:rsidRPr="008872B2">
        <w:rPr>
          <w:b/>
        </w:rPr>
        <w:lastRenderedPageBreak/>
        <w:t xml:space="preserve">3. </w:t>
      </w:r>
      <w:r>
        <w:rPr>
          <w:b/>
        </w:rPr>
        <w:t>Dabartinis teisinis įstatymų projektuose</w:t>
      </w:r>
      <w:r w:rsidRPr="008872B2">
        <w:rPr>
          <w:b/>
        </w:rPr>
        <w:t xml:space="preserve"> aptart</w:t>
      </w:r>
      <w:r>
        <w:rPr>
          <w:b/>
        </w:rPr>
        <w:t>ų teisinių santykių reglamentavimas</w:t>
      </w:r>
    </w:p>
    <w:p w:rsidR="00B06CC2" w:rsidRDefault="00B06CC2" w:rsidP="00B06CC2">
      <w:pPr>
        <w:ind w:right="-29" w:firstLine="567"/>
        <w:jc w:val="both"/>
      </w:pPr>
      <w:r w:rsidRPr="008872B2">
        <w:t xml:space="preserve">Pagal </w:t>
      </w:r>
      <w:r>
        <w:t xml:space="preserve">galiojantį teisinį reglamentavimą, organizuojant </w:t>
      </w:r>
      <w:r w:rsidRPr="008872B2">
        <w:t xml:space="preserve">lošimus </w:t>
      </w:r>
      <w:r>
        <w:t>B kategorijos</w:t>
      </w:r>
      <w:r w:rsidRPr="008872B2">
        <w:t xml:space="preserve"> aut</w:t>
      </w:r>
      <w:smartTag w:uri="urn:schemas-microsoft-com:office:smarttags" w:element="PersonName">
        <w:r w:rsidRPr="008872B2">
          <w:t>om</w:t>
        </w:r>
      </w:smartTag>
      <w:r w:rsidRPr="008872B2">
        <w:t>atais</w:t>
      </w:r>
      <w:r>
        <w:t>, A kategorijos automatais</w:t>
      </w:r>
      <w:r w:rsidRPr="008872B2">
        <w:t xml:space="preserve"> ir stalo lošimus, moka</w:t>
      </w:r>
      <w:r>
        <w:t>mas</w:t>
      </w:r>
      <w:r w:rsidRPr="008872B2">
        <w:t xml:space="preserve"> fiksuot</w:t>
      </w:r>
      <w:r>
        <w:t>as</w:t>
      </w:r>
      <w:r w:rsidRPr="008872B2">
        <w:t xml:space="preserve"> loterijų ir lošimų mokest</w:t>
      </w:r>
      <w:r>
        <w:t>is</w:t>
      </w:r>
      <w:r w:rsidRPr="008872B2">
        <w:t xml:space="preserve"> už kiekvieną lošimų veiklos leidime nurodytą </w:t>
      </w:r>
      <w:r>
        <w:t>lošimo įrenginį: už A</w:t>
      </w:r>
      <w:r>
        <w:rPr>
          <w:bCs/>
          <w:color w:val="000000"/>
        </w:rPr>
        <w:t> </w:t>
      </w:r>
      <w:r w:rsidRPr="008872B2">
        <w:t>kategorijos lošimo aut</w:t>
      </w:r>
      <w:smartTag w:uri="urn:schemas-microsoft-com:office:smarttags" w:element="PersonName">
        <w:r w:rsidRPr="008872B2">
          <w:t>om</w:t>
        </w:r>
      </w:smartTag>
      <w:r w:rsidRPr="008872B2">
        <w:t>atą –</w:t>
      </w:r>
      <w:r>
        <w:t xml:space="preserve"> </w:t>
      </w:r>
      <w:r w:rsidRPr="008872B2">
        <w:t>2</w:t>
      </w:r>
      <w:r>
        <w:t>60</w:t>
      </w:r>
      <w:r>
        <w:rPr>
          <w:bCs/>
          <w:color w:val="000000"/>
        </w:rPr>
        <w:t> </w:t>
      </w:r>
      <w:r w:rsidRPr="008872B2">
        <w:t>eur</w:t>
      </w:r>
      <w:r>
        <w:t xml:space="preserve">ų per </w:t>
      </w:r>
      <w:r w:rsidRPr="008872B2">
        <w:t>mėn</w:t>
      </w:r>
      <w:r>
        <w:t>esį, už B</w:t>
      </w:r>
      <w:r>
        <w:rPr>
          <w:bCs/>
          <w:color w:val="000000"/>
        </w:rPr>
        <w:t> </w:t>
      </w:r>
      <w:r w:rsidRPr="008872B2">
        <w:t>kategorijos lošimo aut</w:t>
      </w:r>
      <w:smartTag w:uri="urn:schemas-microsoft-com:office:smarttags" w:element="PersonName">
        <w:r w:rsidRPr="008872B2">
          <w:t>om</w:t>
        </w:r>
      </w:smartTag>
      <w:r w:rsidRPr="008872B2">
        <w:t xml:space="preserve">atą – </w:t>
      </w:r>
      <w:r>
        <w:t>130</w:t>
      </w:r>
      <w:r>
        <w:rPr>
          <w:bCs/>
          <w:color w:val="000000"/>
        </w:rPr>
        <w:t> </w:t>
      </w:r>
      <w:r w:rsidRPr="008872B2">
        <w:t>eur</w:t>
      </w:r>
      <w:r>
        <w:t xml:space="preserve">ų per </w:t>
      </w:r>
      <w:r w:rsidRPr="008872B2">
        <w:t>mėn</w:t>
      </w:r>
      <w:r>
        <w:t>esį</w:t>
      </w:r>
      <w:r w:rsidRPr="008872B2">
        <w:t xml:space="preserve">, už ruletės, kortų arba kauliukų stalą – </w:t>
      </w:r>
      <w:r>
        <w:t>2</w:t>
      </w:r>
      <w:r>
        <w:rPr>
          <w:bCs/>
          <w:color w:val="000000"/>
        </w:rPr>
        <w:t> </w:t>
      </w:r>
      <w:r>
        <w:t>300</w:t>
      </w:r>
      <w:r>
        <w:rPr>
          <w:bCs/>
          <w:color w:val="000000"/>
        </w:rPr>
        <w:t> </w:t>
      </w:r>
      <w:r w:rsidRPr="008872B2">
        <w:t>eur</w:t>
      </w:r>
      <w:r>
        <w:t xml:space="preserve">ų per </w:t>
      </w:r>
      <w:r w:rsidRPr="008872B2">
        <w:t>mėn</w:t>
      </w:r>
      <w:r>
        <w:t>esį. Kitų rūšių lošimams taikomas mokestis skaičiuojamas nuo lošėjų statomų sumų ir lošėjams faktiškai išmokėtų laimėjimų skirtumo</w:t>
      </w:r>
      <w:r w:rsidRPr="00984709">
        <w:t xml:space="preserve"> </w:t>
      </w:r>
      <w:r>
        <w:t xml:space="preserve">(angl. </w:t>
      </w:r>
      <w:proofErr w:type="spellStart"/>
      <w:r w:rsidRPr="00472CF7">
        <w:rPr>
          <w:i/>
        </w:rPr>
        <w:t>gross</w:t>
      </w:r>
      <w:proofErr w:type="spellEnd"/>
      <w:r w:rsidRPr="00472CF7">
        <w:rPr>
          <w:i/>
        </w:rPr>
        <w:t xml:space="preserve"> </w:t>
      </w:r>
      <w:proofErr w:type="spellStart"/>
      <w:r w:rsidRPr="00472CF7">
        <w:rPr>
          <w:i/>
        </w:rPr>
        <w:t>gambling</w:t>
      </w:r>
      <w:proofErr w:type="spellEnd"/>
      <w:r w:rsidRPr="00472CF7">
        <w:rPr>
          <w:i/>
        </w:rPr>
        <w:t xml:space="preserve"> </w:t>
      </w:r>
      <w:proofErr w:type="spellStart"/>
      <w:r w:rsidRPr="00472CF7">
        <w:rPr>
          <w:i/>
        </w:rPr>
        <w:t>revenue</w:t>
      </w:r>
      <w:proofErr w:type="spellEnd"/>
      <w:r>
        <w:t xml:space="preserve"> – GGR). Taikomi tarifai:</w:t>
      </w:r>
    </w:p>
    <w:p w:rsidR="00B06CC2" w:rsidRDefault="00B06CC2" w:rsidP="00B06CC2">
      <w:pPr>
        <w:ind w:right="-29" w:firstLine="567"/>
        <w:jc w:val="both"/>
      </w:pPr>
      <w:r>
        <w:t xml:space="preserve">- organizuojant </w:t>
      </w:r>
      <w:proofErr w:type="spellStart"/>
      <w:r w:rsidRPr="00123E0D">
        <w:t>bingą</w:t>
      </w:r>
      <w:proofErr w:type="spellEnd"/>
      <w:r w:rsidRPr="00123E0D">
        <w:t>,</w:t>
      </w:r>
      <w:r w:rsidRPr="00111392">
        <w:t xml:space="preserve"> </w:t>
      </w:r>
      <w:r w:rsidRPr="00EE703D">
        <w:t>totalizatorių</w:t>
      </w:r>
      <w:r>
        <w:t xml:space="preserve">, </w:t>
      </w:r>
      <w:r w:rsidRPr="00EE703D">
        <w:t>lažybas</w:t>
      </w:r>
      <w:r>
        <w:t xml:space="preserve">, </w:t>
      </w:r>
      <w:r w:rsidRPr="00EE703D">
        <w:t>taik</w:t>
      </w:r>
      <w:smartTag w:uri="urn:schemas-microsoft-com:office:smarttags" w:element="PersonName">
        <w:r w:rsidRPr="00EE703D">
          <w:t>om</w:t>
        </w:r>
      </w:smartTag>
      <w:r w:rsidRPr="00EE703D">
        <w:t xml:space="preserve">as </w:t>
      </w:r>
      <w:r>
        <w:t>1</w:t>
      </w:r>
      <w:r>
        <w:rPr>
          <w:lang w:val="en-US"/>
        </w:rPr>
        <w:t>8</w:t>
      </w:r>
      <w:r>
        <w:rPr>
          <w:bCs/>
          <w:color w:val="000000"/>
        </w:rPr>
        <w:t> </w:t>
      </w:r>
      <w:r w:rsidRPr="00EE703D">
        <w:t>procentų mokesčio tarifas</w:t>
      </w:r>
      <w:r>
        <w:t xml:space="preserve"> nuo </w:t>
      </w:r>
      <w:r>
        <w:rPr>
          <w:bCs/>
        </w:rPr>
        <w:t>GGR</w:t>
      </w:r>
      <w:r>
        <w:t>,</w:t>
      </w:r>
    </w:p>
    <w:p w:rsidR="00B06CC2" w:rsidRDefault="00B06CC2" w:rsidP="00B06CC2">
      <w:pPr>
        <w:ind w:right="-29" w:firstLine="567"/>
        <w:jc w:val="both"/>
        <w:rPr>
          <w:bCs/>
          <w:color w:val="000000"/>
        </w:rPr>
      </w:pPr>
      <w:r>
        <w:t xml:space="preserve">- </w:t>
      </w:r>
      <w:r>
        <w:rPr>
          <w:color w:val="000000"/>
        </w:rPr>
        <w:t xml:space="preserve">organizuojant </w:t>
      </w:r>
      <w:r>
        <w:rPr>
          <w:bCs/>
          <w:color w:val="000000"/>
        </w:rPr>
        <w:t>nuotolinius lošimus, taikomas 1</w:t>
      </w:r>
      <w:r>
        <w:rPr>
          <w:bCs/>
          <w:color w:val="000000"/>
          <w:lang w:val="en-US"/>
        </w:rPr>
        <w:t>3</w:t>
      </w:r>
      <w:r>
        <w:rPr>
          <w:bCs/>
          <w:color w:val="000000"/>
        </w:rPr>
        <w:t> procentų mokesčio tarifas nuo GGR.</w:t>
      </w:r>
    </w:p>
    <w:p w:rsidR="00B06CC2" w:rsidRPr="002A1277" w:rsidRDefault="00B06CC2" w:rsidP="00B06CC2">
      <w:pPr>
        <w:ind w:firstLine="567"/>
        <w:jc w:val="both"/>
        <w:rPr>
          <w:color w:val="000000"/>
        </w:rPr>
      </w:pPr>
      <w:r w:rsidRPr="002A1277">
        <w:t>Azartinių lošimų</w:t>
      </w:r>
      <w:r w:rsidRPr="002A1277">
        <w:rPr>
          <w:color w:val="000000"/>
        </w:rPr>
        <w:t xml:space="preserve"> </w:t>
      </w:r>
      <w:r>
        <w:rPr>
          <w:color w:val="000000"/>
        </w:rPr>
        <w:t>įstatymas nustato, kad leidimų atidaryti automatų ar bingo salonus arba lošimo namus (kazino) galiojimas stabdomas automatiškai, j</w:t>
      </w:r>
      <w:r w:rsidRPr="002A1277">
        <w:rPr>
          <w:color w:val="000000"/>
        </w:rPr>
        <w:t xml:space="preserve">eigu </w:t>
      </w:r>
      <w:r>
        <w:rPr>
          <w:color w:val="000000"/>
        </w:rPr>
        <w:t>Lietuvos Respublikos teritorijoje paskelbiama nepaprastoji padėtis ar valstybės lygio ekstremalioji situacija, ar karantinas, ir</w:t>
      </w:r>
      <w:r w:rsidRPr="002A1277">
        <w:rPr>
          <w:color w:val="000000"/>
        </w:rPr>
        <w:t xml:space="preserve"> nustatytų ribojimų laikotarpiu draudžiama leidimus atidaryti automatų ar bingo salonus arba lošimo namus (kazino) turinčių bendrovių lei</w:t>
      </w:r>
      <w:r>
        <w:rPr>
          <w:color w:val="000000"/>
        </w:rPr>
        <w:t>dimuose nurodyta lošimų veikla.</w:t>
      </w:r>
      <w:r w:rsidRPr="000F5036">
        <w:rPr>
          <w:color w:val="000000"/>
        </w:rPr>
        <w:t xml:space="preserve"> </w:t>
      </w:r>
      <w:r>
        <w:rPr>
          <w:color w:val="000000"/>
        </w:rPr>
        <w:t xml:space="preserve">Sustabdžius leidimą, lošimų organizatoriui netaikoma prievolė mokėti fiksuoto dydžio mokestį už neeksploatuojamus lošimo įrenginius. </w:t>
      </w:r>
    </w:p>
    <w:p w:rsidR="00B06CC2" w:rsidRPr="000E4C23" w:rsidRDefault="00B06CC2" w:rsidP="00B06CC2">
      <w:pPr>
        <w:pStyle w:val="Pagrindinistekstas"/>
        <w:spacing w:after="0"/>
        <w:jc w:val="both"/>
      </w:pPr>
      <w:bookmarkStart w:id="0" w:name="part_5fa0ad5b16294a2ca727c4aece78dbcd"/>
      <w:bookmarkEnd w:id="0"/>
    </w:p>
    <w:p w:rsidR="00B06CC2" w:rsidRDefault="00B06CC2" w:rsidP="00B06CC2">
      <w:pPr>
        <w:pStyle w:val="Pagrindinistekstas"/>
        <w:spacing w:after="0"/>
        <w:ind w:firstLine="567"/>
        <w:jc w:val="both"/>
        <w:rPr>
          <w:b/>
        </w:rPr>
      </w:pPr>
      <w:r w:rsidRPr="008872B2">
        <w:rPr>
          <w:b/>
        </w:rPr>
        <w:t xml:space="preserve">4. </w:t>
      </w:r>
      <w:r>
        <w:rPr>
          <w:b/>
        </w:rPr>
        <w:t>N</w:t>
      </w:r>
      <w:r w:rsidRPr="008872B2">
        <w:rPr>
          <w:b/>
        </w:rPr>
        <w:t>aujos teisinio reg</w:t>
      </w:r>
      <w:r>
        <w:rPr>
          <w:b/>
        </w:rPr>
        <w:t>lamentavimo</w:t>
      </w:r>
      <w:r w:rsidRPr="008872B2">
        <w:rPr>
          <w:b/>
        </w:rPr>
        <w:t xml:space="preserve"> nuostatos ir kokių teigiamų rezultatų laukiama</w:t>
      </w:r>
    </w:p>
    <w:p w:rsidR="00B06CC2" w:rsidRPr="00B06C93" w:rsidRDefault="00B06CC2" w:rsidP="00B06CC2">
      <w:pPr>
        <w:pStyle w:val="Sraopastraipa"/>
        <w:ind w:left="0" w:firstLine="567"/>
        <w:jc w:val="both"/>
        <w:rPr>
          <w:color w:val="000000"/>
          <w:shd w:val="clear" w:color="auto" w:fill="FFFFFF"/>
        </w:rPr>
      </w:pPr>
      <w:r>
        <w:t>Fiksuoto dydžio</w:t>
      </w:r>
      <w:r w:rsidRPr="00D01D12">
        <w:t xml:space="preserve"> mokestis už lošimo įrenginį kvestionuotinas, nes jis nesusijęs su uždirbamomis pajamo</w:t>
      </w:r>
      <w:r>
        <w:t>mis – apyvartoms mažėjant (2008–</w:t>
      </w:r>
      <w:r w:rsidRPr="00D01D12">
        <w:t>2010 m.</w:t>
      </w:r>
      <w:r>
        <w:t xml:space="preserve"> ekonomikos</w:t>
      </w:r>
      <w:r w:rsidRPr="00D01D12">
        <w:t xml:space="preserve"> krizės laikotarpiu) procentais išreikšta mokesčio dalis</w:t>
      </w:r>
      <w:r>
        <w:t xml:space="preserve"> (fiksuotą loterijų ir lošimų mokestį perskaičiavus į mokestį nuo GGR) didėja, o</w:t>
      </w:r>
      <w:r w:rsidRPr="00D01D12">
        <w:t xml:space="preserve"> esant ekonomikos p</w:t>
      </w:r>
      <w:r>
        <w:t>akilimui ir apyvartoms didėjant</w:t>
      </w:r>
      <w:r w:rsidRPr="00D01D12">
        <w:t xml:space="preserve"> procentais išreikšta mokesčio dalis sumažėja. </w:t>
      </w:r>
      <w:r>
        <w:rPr>
          <w:color w:val="000000"/>
          <w:shd w:val="clear" w:color="auto" w:fill="FFFFFF"/>
        </w:rPr>
        <w:t>T</w:t>
      </w:r>
      <w:r w:rsidRPr="005D25C2">
        <w:rPr>
          <w:color w:val="000000"/>
          <w:shd w:val="clear" w:color="auto" w:fill="FFFFFF"/>
        </w:rPr>
        <w:t>odėl kiekvienais metais perskaičiavus, kokį procentinį dydį m</w:t>
      </w:r>
      <w:r>
        <w:rPr>
          <w:color w:val="000000"/>
          <w:shd w:val="clear" w:color="auto" w:fill="FFFFFF"/>
        </w:rPr>
        <w:t>okestis sudaro nuo GGR, gaunamas skirtingas procentinis dydis</w:t>
      </w:r>
      <w:r w:rsidRPr="005D25C2">
        <w:rPr>
          <w:color w:val="000000"/>
          <w:shd w:val="clear" w:color="auto" w:fill="FFFFFF"/>
        </w:rPr>
        <w:t xml:space="preserve">. </w:t>
      </w:r>
      <w:r w:rsidRPr="00D01D12">
        <w:t xml:space="preserve"> </w:t>
      </w:r>
    </w:p>
    <w:p w:rsidR="00267097" w:rsidRDefault="001D1C07" w:rsidP="00B06CC2">
      <w:pPr>
        <w:ind w:firstLine="567"/>
        <w:jc w:val="both"/>
      </w:pPr>
      <w:r w:rsidRPr="001D1C07">
        <w:t>Teikiamu Į</w:t>
      </w:r>
      <w:r w:rsidR="00E62D55" w:rsidRPr="001D1C07">
        <w:t xml:space="preserve">statymo projektu </w:t>
      </w:r>
      <w:r w:rsidR="00B06CC2" w:rsidRPr="001D1C07">
        <w:t>siekiama konvertuoti dabar mokamą fiksuotą mokestį į procentinį dydį, kuris būtų taikomas nuo GGR. Fiksuotą loterijų ir lošimų mokestį perskaičiavus į mokestį nuo GGR, lošimų stalams</w:t>
      </w:r>
      <w:r w:rsidR="00E83E4A" w:rsidRPr="001D1C07">
        <w:t>,</w:t>
      </w:r>
      <w:r w:rsidR="008A01DF" w:rsidRPr="001D1C07">
        <w:t xml:space="preserve"> </w:t>
      </w:r>
      <w:r w:rsidR="00B06CC2" w:rsidRPr="001D1C07">
        <w:t>A</w:t>
      </w:r>
      <w:r w:rsidR="004F178B">
        <w:t xml:space="preserve"> ir B kategorijų</w:t>
      </w:r>
      <w:r w:rsidR="00B06CC2" w:rsidRPr="001D1C07">
        <w:t xml:space="preserve"> lošimo automatams </w:t>
      </w:r>
      <w:r w:rsidR="00E83E4A" w:rsidRPr="001D1C07">
        <w:t xml:space="preserve">siūloma nustatyti </w:t>
      </w:r>
      <w:r w:rsidR="00B06CC2" w:rsidRPr="001D1C07">
        <w:t>mokest</w:t>
      </w:r>
      <w:r w:rsidR="00E83E4A" w:rsidRPr="001D1C07">
        <w:t>į, kuris</w:t>
      </w:r>
      <w:r w:rsidR="00B06CC2" w:rsidRPr="001D1C07">
        <w:t xml:space="preserve"> sudarytų </w:t>
      </w:r>
      <w:r w:rsidR="00E83E4A" w:rsidRPr="001D1C07">
        <w:t>18</w:t>
      </w:r>
      <w:r w:rsidR="00E83E4A" w:rsidRPr="001D1C07">
        <w:rPr>
          <w:bCs/>
          <w:color w:val="000000"/>
        </w:rPr>
        <w:t> </w:t>
      </w:r>
      <w:r w:rsidR="00593F44" w:rsidRPr="001D1C07">
        <w:t>procentų</w:t>
      </w:r>
      <w:r w:rsidR="00B06CC2" w:rsidRPr="001D1C07">
        <w:t xml:space="preserve"> nuo GGR. Turint omenyje, kad </w:t>
      </w:r>
      <w:r w:rsidR="00B06CC2" w:rsidRPr="001D1C07">
        <w:rPr>
          <w:lang w:val="en-US"/>
        </w:rPr>
        <w:t xml:space="preserve">2020 </w:t>
      </w:r>
      <w:r w:rsidR="00B06CC2" w:rsidRPr="001D1C07">
        <w:t>m. lošimų organizatorių gautos bendrosios pajamos organizuojant lošimus lošimo automatais ir stalo lošimus dėl su COVID-</w:t>
      </w:r>
      <w:r w:rsidR="00B06CC2" w:rsidRPr="001D1C07">
        <w:rPr>
          <w:lang w:val="en-US"/>
        </w:rPr>
        <w:t>19</w:t>
      </w:r>
      <w:r w:rsidR="00B06CC2" w:rsidRPr="001D1C07">
        <w:t xml:space="preserve"> liga susijusių ribojimų ir (ar) draudimo vykdyti veiklą neatspindi realios situacijos, skaičiavimams atlikti buvo remiamasi 2019 m. lošimų veiklos rodikliais, tačiau laikantis 20</w:t>
      </w:r>
      <w:r w:rsidR="00A66D45">
        <w:t>19</w:t>
      </w:r>
      <w:bookmarkStart w:id="1" w:name="_GoBack"/>
      <w:bookmarkEnd w:id="1"/>
      <w:r w:rsidR="00B06CC2" w:rsidRPr="001D1C07">
        <w:t xml:space="preserve"> m. gruodžio 10 d. Lietuvos Respublikos loterijų ir lošimų mokesčio įstatymo 5 straipsnio pakeitimo įstatymo Nr. XIII-2634 nuostatų, taip išskaičiuojant tarifą, taikytiną GGR, kuris mokestine prasme atitiktų valstybės lūkestį, turėtą </w:t>
      </w:r>
      <w:r w:rsidRPr="001D1C07">
        <w:rPr>
          <w:lang w:val="en-US"/>
        </w:rPr>
        <w:t>2020 m</w:t>
      </w:r>
      <w:r w:rsidR="00B06CC2" w:rsidRPr="001D1C07">
        <w:t>.</w:t>
      </w:r>
      <w:r w:rsidR="008A01DF" w:rsidRPr="001D1C07">
        <w:t xml:space="preserve"> Taip pat, siekiant paprastesnio mokesčio administravimo, perskaičiavus suapvalinti ir suvienodinti mo</w:t>
      </w:r>
      <w:r w:rsidR="00267097" w:rsidRPr="001D1C07">
        <w:t>kesčio tarifai</w:t>
      </w:r>
      <w:r w:rsidR="00C37E0A">
        <w:t>, taikytini visų rūšių antžeminiams lošimams</w:t>
      </w:r>
      <w:r w:rsidR="008A01DF" w:rsidRPr="0034542D">
        <w:t>.</w:t>
      </w:r>
    </w:p>
    <w:p w:rsidR="00B06CC2" w:rsidRDefault="00B06CC2" w:rsidP="00B06CC2">
      <w:pPr>
        <w:ind w:firstLine="567"/>
        <w:jc w:val="both"/>
        <w:rPr>
          <w:color w:val="000000"/>
          <w:shd w:val="clear" w:color="auto" w:fill="FFFFFF"/>
        </w:rPr>
      </w:pPr>
      <w:r>
        <w:t>Pažymėtina, kad 2017 m. lapkričio 21 d. priimtas Lietuvos Respublikos azartinių lošimų įstatymo Nr.</w:t>
      </w:r>
      <w:r>
        <w:rPr>
          <w:bCs/>
          <w:color w:val="000000"/>
        </w:rPr>
        <w:t> </w:t>
      </w:r>
      <w:r>
        <w:t>IX-325 2, 10, 15, 16, 29 straipsnių pakeitimo ir Įstatymo papildymo 15</w:t>
      </w:r>
      <w:r w:rsidRPr="003B468D">
        <w:rPr>
          <w:vertAlign w:val="superscript"/>
        </w:rPr>
        <w:t>1</w:t>
      </w:r>
      <w:r>
        <w:t>, 16</w:t>
      </w:r>
      <w:r w:rsidRPr="003B468D">
        <w:rPr>
          <w:vertAlign w:val="superscript"/>
        </w:rPr>
        <w:t>1</w:t>
      </w:r>
      <w:r>
        <w:rPr>
          <w:bCs/>
          <w:color w:val="000000"/>
        </w:rPr>
        <w:t> </w:t>
      </w:r>
      <w:r>
        <w:t>straipsniais įstatymas Nr.</w:t>
      </w:r>
      <w:r>
        <w:rPr>
          <w:bCs/>
          <w:color w:val="000000"/>
        </w:rPr>
        <w:t> </w:t>
      </w:r>
      <w:r>
        <w:t xml:space="preserve">XIII-771, kuriame nustatyta, kad iki 2021 m. lapkričio 1 d. visi lošimo automatai ir lošimo stalai turi būti sujungti į Lošimų priežiūros tarnybos prie Lietuvos Respublikos finansų ministerijos įsteigtą ir valdomą Automatų kontrolės informacinę sistemą (toliau – LAKIS), skirtą tvarkyti lošimo automatų ir lošimo stalų duomenims apie gautas įplaukas ir išmokėtas išmokas, manoma, užtikrins pakankamą lošimo automatų ir lošimo stalų duomenų apie įplaukas ir išmokas kontrolę, sukurdamas prielaidas susieti mokesčio dydį su įrenginio uždirbamomis pajamomis. </w:t>
      </w:r>
      <w:r w:rsidRPr="00B06C93">
        <w:rPr>
          <w:color w:val="000000"/>
          <w:shd w:val="clear" w:color="auto" w:fill="FFFFFF"/>
        </w:rPr>
        <w:t>Vadovaujantis</w:t>
      </w:r>
      <w:r w:rsidRPr="008B2EF9">
        <w:rPr>
          <w:color w:val="000000"/>
          <w:shd w:val="clear" w:color="auto" w:fill="FFFFFF"/>
        </w:rPr>
        <w:t xml:space="preserve"> </w:t>
      </w:r>
      <w:r>
        <w:rPr>
          <w:color w:val="000000"/>
          <w:shd w:val="clear" w:color="auto" w:fill="FFFFFF"/>
        </w:rPr>
        <w:t>A</w:t>
      </w:r>
      <w:r w:rsidRPr="008B2EF9">
        <w:rPr>
          <w:color w:val="000000"/>
          <w:shd w:val="clear" w:color="auto" w:fill="FFFFFF"/>
        </w:rPr>
        <w:t>zartinių</w:t>
      </w:r>
      <w:r>
        <w:rPr>
          <w:color w:val="000000"/>
          <w:shd w:val="clear" w:color="auto" w:fill="FFFFFF"/>
        </w:rPr>
        <w:t xml:space="preserve"> lošimų įstatymo 2</w:t>
      </w:r>
      <w:r>
        <w:rPr>
          <w:bCs/>
          <w:color w:val="000000"/>
        </w:rPr>
        <w:t> </w:t>
      </w:r>
      <w:r>
        <w:rPr>
          <w:color w:val="000000"/>
          <w:shd w:val="clear" w:color="auto" w:fill="FFFFFF"/>
        </w:rPr>
        <w:t>straipsnio 28</w:t>
      </w:r>
      <w:r>
        <w:rPr>
          <w:bCs/>
          <w:color w:val="000000"/>
        </w:rPr>
        <w:t> </w:t>
      </w:r>
      <w:r>
        <w:rPr>
          <w:color w:val="000000"/>
          <w:shd w:val="clear" w:color="auto" w:fill="FFFFFF"/>
        </w:rPr>
        <w:t>dalimi, LAKIS</w:t>
      </w:r>
      <w:r w:rsidRPr="008B2EF9">
        <w:rPr>
          <w:color w:val="000000"/>
          <w:shd w:val="clear" w:color="auto" w:fill="FFFFFF"/>
        </w:rPr>
        <w:t xml:space="preserve"> tikslas</w:t>
      </w:r>
      <w:r>
        <w:rPr>
          <w:color w:val="000000"/>
          <w:shd w:val="clear" w:color="auto" w:fill="FFFFFF"/>
        </w:rPr>
        <w:t xml:space="preserve"> – </w:t>
      </w:r>
      <w:r w:rsidRPr="008B2EF9">
        <w:rPr>
          <w:color w:val="000000"/>
          <w:shd w:val="clear" w:color="auto" w:fill="FFFFFF"/>
        </w:rPr>
        <w:t>tvarkyti elektroninės automatų duomenų v</w:t>
      </w:r>
      <w:r>
        <w:rPr>
          <w:color w:val="000000"/>
          <w:shd w:val="clear" w:color="auto" w:fill="FFFFFF"/>
        </w:rPr>
        <w:t>aldymo sistemos jai perduodamus duomeni</w:t>
      </w:r>
      <w:r w:rsidRPr="008B2EF9">
        <w:rPr>
          <w:color w:val="000000"/>
          <w:shd w:val="clear" w:color="auto" w:fill="FFFFFF"/>
        </w:rPr>
        <w:t>s, kurie reikalingi automatų atitikčiai šio įstatymo 16</w:t>
      </w:r>
      <w:r>
        <w:rPr>
          <w:bCs/>
          <w:color w:val="000000"/>
        </w:rPr>
        <w:t> </w:t>
      </w:r>
      <w:r w:rsidRPr="008B2EF9">
        <w:rPr>
          <w:color w:val="000000"/>
          <w:shd w:val="clear" w:color="auto" w:fill="FFFFFF"/>
        </w:rPr>
        <w:t>straipsnyje nustatytiems reikalavimams</w:t>
      </w:r>
      <w:r>
        <w:rPr>
          <w:color w:val="000000"/>
          <w:shd w:val="clear" w:color="auto" w:fill="FFFFFF"/>
        </w:rPr>
        <w:t xml:space="preserve"> (techniniai reikalavimai lošimo automatams)</w:t>
      </w:r>
      <w:r w:rsidRPr="008B2EF9">
        <w:rPr>
          <w:color w:val="000000"/>
          <w:shd w:val="clear" w:color="auto" w:fill="FFFFFF"/>
        </w:rPr>
        <w:t xml:space="preserve"> kontroliuoti,</w:t>
      </w:r>
      <w:r>
        <w:rPr>
          <w:b/>
          <w:bCs/>
          <w:color w:val="000000"/>
        </w:rPr>
        <w:t xml:space="preserve"> </w:t>
      </w:r>
      <w:r w:rsidRPr="0075065A">
        <w:rPr>
          <w:color w:val="000000"/>
        </w:rPr>
        <w:t>taip pat tvarkyti lošimus lošimo namuose (kazino) organizuoj</w:t>
      </w:r>
      <w:r>
        <w:rPr>
          <w:color w:val="000000"/>
        </w:rPr>
        <w:t>ančių bendrovių jai perduodamu</w:t>
      </w:r>
      <w:r w:rsidRPr="0075065A">
        <w:rPr>
          <w:color w:val="000000"/>
        </w:rPr>
        <w:t>s prie lošimo stalų įmokėtų sumų ir žetonų inv</w:t>
      </w:r>
      <w:r>
        <w:rPr>
          <w:color w:val="000000"/>
        </w:rPr>
        <w:t>entorizacijos rezultatų duomeni</w:t>
      </w:r>
      <w:r w:rsidRPr="0075065A">
        <w:rPr>
          <w:color w:val="000000"/>
        </w:rPr>
        <w:t>s.</w:t>
      </w:r>
      <w:r>
        <w:rPr>
          <w:color w:val="000000"/>
          <w:shd w:val="clear" w:color="auto" w:fill="FFFFFF"/>
        </w:rPr>
        <w:t xml:space="preserve"> </w:t>
      </w:r>
      <w:r w:rsidRPr="008B2EF9">
        <w:rPr>
          <w:color w:val="000000"/>
          <w:shd w:val="clear" w:color="auto" w:fill="FFFFFF"/>
        </w:rPr>
        <w:t>LAKIS nuostatu</w:t>
      </w:r>
      <w:r>
        <w:rPr>
          <w:color w:val="000000"/>
          <w:shd w:val="clear" w:color="auto" w:fill="FFFFFF"/>
        </w:rPr>
        <w:t xml:space="preserve">ose nurodyti gauti šie automato duomenys – </w:t>
      </w:r>
      <w:r w:rsidRPr="008B2EF9">
        <w:rPr>
          <w:color w:val="000000"/>
          <w:shd w:val="clear" w:color="auto" w:fill="FFFFFF"/>
        </w:rPr>
        <w:t>automato ele</w:t>
      </w:r>
      <w:r>
        <w:rPr>
          <w:color w:val="000000"/>
          <w:shd w:val="clear" w:color="auto" w:fill="FFFFFF"/>
        </w:rPr>
        <w:t xml:space="preserve">ktroninių skaitiklių duomenys – </w:t>
      </w:r>
      <w:r w:rsidRPr="008B2EF9">
        <w:rPr>
          <w:color w:val="000000"/>
          <w:shd w:val="clear" w:color="auto" w:fill="FFFFFF"/>
        </w:rPr>
        <w:t>už dalyvavimą lošime įmokėti kredito arba piniginiai vienetai bei</w:t>
      </w:r>
      <w:r>
        <w:rPr>
          <w:color w:val="000000"/>
          <w:shd w:val="clear" w:color="auto" w:fill="FFFFFF"/>
        </w:rPr>
        <w:t xml:space="preserve"> </w:t>
      </w:r>
      <w:r w:rsidRPr="008B2EF9">
        <w:rPr>
          <w:color w:val="000000"/>
          <w:shd w:val="clear" w:color="auto" w:fill="FFFFFF"/>
        </w:rPr>
        <w:t>laimėti kredito ar</w:t>
      </w:r>
      <w:r>
        <w:rPr>
          <w:color w:val="000000"/>
          <w:shd w:val="clear" w:color="auto" w:fill="FFFFFF"/>
        </w:rPr>
        <w:t>ba piniginiai vienetai. Šių duomenų gavimo tikslas –</w:t>
      </w:r>
      <w:r w:rsidRPr="008B2EF9">
        <w:rPr>
          <w:color w:val="000000"/>
          <w:shd w:val="clear" w:color="auto" w:fill="FFFFFF"/>
        </w:rPr>
        <w:t xml:space="preserve"> nustatyti, ar </w:t>
      </w:r>
      <w:r w:rsidRPr="008B2EF9">
        <w:rPr>
          <w:color w:val="000000"/>
          <w:shd w:val="clear" w:color="auto" w:fill="FFFFFF"/>
        </w:rPr>
        <w:lastRenderedPageBreak/>
        <w:t>automato la</w:t>
      </w:r>
      <w:r>
        <w:rPr>
          <w:color w:val="000000"/>
          <w:shd w:val="clear" w:color="auto" w:fill="FFFFFF"/>
        </w:rPr>
        <w:t xml:space="preserve">imėjimo fondas atitinka jam Azartinių lošimų įstatymo </w:t>
      </w:r>
      <w:r w:rsidRPr="008B2EF9">
        <w:rPr>
          <w:color w:val="000000"/>
          <w:shd w:val="clear" w:color="auto" w:fill="FFFFFF"/>
        </w:rPr>
        <w:t>16</w:t>
      </w:r>
      <w:r>
        <w:rPr>
          <w:bCs/>
          <w:color w:val="000000"/>
        </w:rPr>
        <w:t> </w:t>
      </w:r>
      <w:r w:rsidRPr="008B2EF9">
        <w:rPr>
          <w:color w:val="000000"/>
          <w:shd w:val="clear" w:color="auto" w:fill="FFFFFF"/>
        </w:rPr>
        <w:t>straipsnyje keliamus reikalavimus (būtent todėl numatyta alternatyva duomenis teikti ne tik piniginiais, tačiau ir kredito vien</w:t>
      </w:r>
      <w:r>
        <w:rPr>
          <w:color w:val="000000"/>
          <w:shd w:val="clear" w:color="auto" w:fill="FFFFFF"/>
        </w:rPr>
        <w:t>e</w:t>
      </w:r>
      <w:r w:rsidRPr="008B2EF9">
        <w:rPr>
          <w:color w:val="000000"/>
          <w:shd w:val="clear" w:color="auto" w:fill="FFFFFF"/>
        </w:rPr>
        <w:t>tais</w:t>
      </w:r>
      <w:r>
        <w:rPr>
          <w:color w:val="000000"/>
          <w:shd w:val="clear" w:color="auto" w:fill="FFFFFF"/>
        </w:rPr>
        <w:t>). Atsižvelgiant į</w:t>
      </w:r>
      <w:r w:rsidRPr="008B2EF9">
        <w:rPr>
          <w:color w:val="000000"/>
          <w:shd w:val="clear" w:color="auto" w:fill="FFFFFF"/>
        </w:rPr>
        <w:t xml:space="preserve"> LAKIS nu</w:t>
      </w:r>
      <w:r>
        <w:rPr>
          <w:color w:val="000000"/>
          <w:shd w:val="clear" w:color="auto" w:fill="FFFFFF"/>
        </w:rPr>
        <w:t>statytą tikslą</w:t>
      </w:r>
      <w:r w:rsidRPr="008B2EF9">
        <w:rPr>
          <w:color w:val="000000"/>
          <w:shd w:val="clear" w:color="auto" w:fill="FFFFFF"/>
        </w:rPr>
        <w:t>, LAKIS gaunami duome</w:t>
      </w:r>
      <w:r>
        <w:rPr>
          <w:color w:val="000000"/>
          <w:shd w:val="clear" w:color="auto" w:fill="FFFFFF"/>
        </w:rPr>
        <w:t xml:space="preserve">nys suteikia galimybę nustatyti ir </w:t>
      </w:r>
      <w:r w:rsidRPr="008B2EF9">
        <w:rPr>
          <w:color w:val="000000"/>
          <w:shd w:val="clear" w:color="auto" w:fill="FFFFFF"/>
        </w:rPr>
        <w:t>iš lošimų prie lošimo stalų gautas pajamas</w:t>
      </w:r>
      <w:r>
        <w:rPr>
          <w:color w:val="000000"/>
          <w:shd w:val="clear" w:color="auto" w:fill="FFFFFF"/>
        </w:rPr>
        <w:t>.</w:t>
      </w:r>
    </w:p>
    <w:p w:rsidR="00B06CC2" w:rsidRDefault="00B06CC2" w:rsidP="00B06CC2">
      <w:pPr>
        <w:ind w:firstLine="540"/>
        <w:jc w:val="both"/>
      </w:pPr>
      <w:r>
        <w:t>Atsisakius fiksuoto dydžio loterijų ir lošimų mokesčio ir perėjus prie lošimo organizatorių gaunamų grynųjų pajamų apmokestinimo, Azartinių lošimų įstatymo 21</w:t>
      </w:r>
      <w:r w:rsidRPr="006F590A">
        <w:rPr>
          <w:vertAlign w:val="superscript"/>
        </w:rPr>
        <w:t>1</w:t>
      </w:r>
      <w:r>
        <w:rPr>
          <w:bCs/>
          <w:color w:val="000000"/>
        </w:rPr>
        <w:t> </w:t>
      </w:r>
      <w:r>
        <w:t>straipsnyje įtvirtintas automatiškas l</w:t>
      </w:r>
      <w:r w:rsidRPr="00D01D12">
        <w:t xml:space="preserve">eidimų atidaryti automatų ar bingo salonus arba </w:t>
      </w:r>
      <w:r>
        <w:t>lošimo namus (kazino) galiojimo sustabdymas, kuris nustatytų ribojimų laikotarpiu, kai draudžiama antžeminių lošimo vietų veikla,</w:t>
      </w:r>
      <w:r w:rsidRPr="00B6513C">
        <w:t xml:space="preserve"> </w:t>
      </w:r>
      <w:r>
        <w:t>sukuria teisinį pagrindą neskaičiuoti ir nemokėti fiksuoto dydžio loterijų ir lošimų mokesčio už lošimų veiklos leidime nurodytus lošimo įrenginius, nebetenka prasmės.</w:t>
      </w:r>
    </w:p>
    <w:p w:rsidR="00B06CC2" w:rsidRDefault="00B06CC2" w:rsidP="00B06CC2">
      <w:pPr>
        <w:ind w:firstLine="709"/>
        <w:jc w:val="both"/>
        <w:rPr>
          <w:b/>
        </w:rPr>
      </w:pPr>
    </w:p>
    <w:p w:rsidR="00B06CC2" w:rsidRDefault="00B06CC2" w:rsidP="00B06CC2">
      <w:pPr>
        <w:ind w:firstLine="540"/>
        <w:jc w:val="both"/>
        <w:rPr>
          <w:b/>
        </w:rPr>
      </w:pPr>
      <w:r w:rsidRPr="008872B2">
        <w:rPr>
          <w:b/>
        </w:rPr>
        <w:t xml:space="preserve">5. </w:t>
      </w:r>
      <w:r w:rsidRPr="00F81AE7">
        <w:rPr>
          <w:b/>
        </w:rPr>
        <w:t>Numatomo teisinio reguliavimo poveikio vertinimo rezul</w:t>
      </w:r>
      <w:r>
        <w:rPr>
          <w:b/>
        </w:rPr>
        <w:t>tatai, galimos neigiamos priimtų įstatymų</w:t>
      </w:r>
      <w:r w:rsidRPr="00F81AE7">
        <w:rPr>
          <w:b/>
        </w:rPr>
        <w:t xml:space="preserve"> pasekmės ir kokių priemonių reikėtų imtis, kad tokių pasekmių būtų išvengta</w:t>
      </w:r>
    </w:p>
    <w:p w:rsidR="00B06CC2" w:rsidRDefault="00B06CC2" w:rsidP="00B06CC2">
      <w:pPr>
        <w:ind w:firstLine="540"/>
        <w:jc w:val="both"/>
      </w:pPr>
      <w:r w:rsidRPr="008872B2">
        <w:t>Pri</w:t>
      </w:r>
      <w:r>
        <w:t>ėmus</w:t>
      </w:r>
      <w:r w:rsidRPr="008872B2">
        <w:t xml:space="preserve"> </w:t>
      </w:r>
      <w:r>
        <w:t>įstatymų projektus, neigiamų pasekmių nenumatoma.</w:t>
      </w:r>
      <w:r w:rsidRPr="008872B2">
        <w:t xml:space="preserve"> </w:t>
      </w:r>
    </w:p>
    <w:p w:rsidR="00B06CC2" w:rsidRPr="000E4C23" w:rsidRDefault="00B06CC2" w:rsidP="00B06CC2">
      <w:pPr>
        <w:ind w:firstLine="540"/>
        <w:jc w:val="both"/>
      </w:pPr>
    </w:p>
    <w:p w:rsidR="00B06CC2" w:rsidRPr="008872B2" w:rsidRDefault="00B06CC2" w:rsidP="00B06CC2">
      <w:pPr>
        <w:ind w:firstLine="540"/>
        <w:jc w:val="both"/>
        <w:rPr>
          <w:b/>
        </w:rPr>
      </w:pPr>
      <w:r w:rsidRPr="008872B2">
        <w:rPr>
          <w:b/>
        </w:rPr>
        <w:t xml:space="preserve">6. </w:t>
      </w:r>
      <w:r>
        <w:rPr>
          <w:b/>
        </w:rPr>
        <w:t>Galima priimtų įstatymų</w:t>
      </w:r>
      <w:r w:rsidRPr="008872B2">
        <w:rPr>
          <w:b/>
        </w:rPr>
        <w:t xml:space="preserve"> įtak</w:t>
      </w:r>
      <w:r>
        <w:rPr>
          <w:b/>
        </w:rPr>
        <w:t>a</w:t>
      </w:r>
      <w:r w:rsidRPr="008872B2">
        <w:rPr>
          <w:b/>
        </w:rPr>
        <w:t xml:space="preserve"> kriminogeninei situacijai, korupcijai</w:t>
      </w:r>
    </w:p>
    <w:p w:rsidR="00B06CC2" w:rsidRPr="008872B2" w:rsidRDefault="00B06CC2" w:rsidP="00B06CC2">
      <w:pPr>
        <w:ind w:firstLine="540"/>
        <w:jc w:val="both"/>
      </w:pPr>
      <w:r>
        <w:t xml:space="preserve">Priimti įstatymai </w:t>
      </w:r>
      <w:r w:rsidRPr="008872B2">
        <w:t xml:space="preserve">kriminogeninei situacijai ir korupcijai neigiamos įtakos neturės. </w:t>
      </w:r>
    </w:p>
    <w:p w:rsidR="00B06CC2" w:rsidRPr="000E4C23" w:rsidRDefault="00B06CC2" w:rsidP="00B06CC2">
      <w:pPr>
        <w:ind w:firstLine="540"/>
        <w:jc w:val="both"/>
      </w:pPr>
    </w:p>
    <w:p w:rsidR="00B06CC2" w:rsidRPr="008872B2" w:rsidRDefault="00B06CC2" w:rsidP="00B06CC2">
      <w:pPr>
        <w:ind w:firstLine="540"/>
        <w:jc w:val="both"/>
        <w:rPr>
          <w:b/>
        </w:rPr>
      </w:pPr>
      <w:r w:rsidRPr="008872B2">
        <w:rPr>
          <w:b/>
        </w:rPr>
        <w:t xml:space="preserve">7. </w:t>
      </w:r>
      <w:r>
        <w:rPr>
          <w:b/>
        </w:rPr>
        <w:t>Galima priimtų įstatymų</w:t>
      </w:r>
      <w:r w:rsidRPr="008872B2">
        <w:rPr>
          <w:b/>
        </w:rPr>
        <w:t xml:space="preserve"> įtak</w:t>
      </w:r>
      <w:r>
        <w:rPr>
          <w:b/>
        </w:rPr>
        <w:t>a</w:t>
      </w:r>
      <w:r w:rsidRPr="008872B2">
        <w:rPr>
          <w:b/>
        </w:rPr>
        <w:t xml:space="preserve"> verslo sąlygoms ir jo plėtrai</w:t>
      </w:r>
    </w:p>
    <w:p w:rsidR="00B06CC2" w:rsidRDefault="00B06CC2" w:rsidP="00B06CC2">
      <w:pPr>
        <w:autoSpaceDE w:val="0"/>
        <w:autoSpaceDN w:val="0"/>
        <w:adjustRightInd w:val="0"/>
        <w:ind w:firstLine="567"/>
        <w:jc w:val="both"/>
        <w:rPr>
          <w:color w:val="000000"/>
        </w:rPr>
      </w:pPr>
      <w:r>
        <w:rPr>
          <w:color w:val="000000"/>
        </w:rPr>
        <w:t>Priimti įstatymai verslo sąlygoms ir jo galimai plėtrai įtakos neturės.</w:t>
      </w:r>
    </w:p>
    <w:p w:rsidR="00B06CC2" w:rsidRPr="000E4C23" w:rsidRDefault="00B06CC2" w:rsidP="00B06CC2">
      <w:pPr>
        <w:autoSpaceDE w:val="0"/>
        <w:autoSpaceDN w:val="0"/>
        <w:adjustRightInd w:val="0"/>
        <w:ind w:firstLine="567"/>
        <w:jc w:val="both"/>
      </w:pPr>
    </w:p>
    <w:p w:rsidR="00B06CC2" w:rsidRDefault="00B06CC2" w:rsidP="00B06CC2">
      <w:pPr>
        <w:pStyle w:val="Pagrindiniotekstotrauka3"/>
        <w:spacing w:before="0" w:beforeAutospacing="0" w:after="0" w:afterAutospacing="0"/>
        <w:ind w:firstLine="540"/>
        <w:jc w:val="both"/>
        <w:rPr>
          <w:b/>
        </w:rPr>
      </w:pPr>
      <w:r w:rsidRPr="008872B2">
        <w:rPr>
          <w:b/>
        </w:rPr>
        <w:t xml:space="preserve">8. </w:t>
      </w:r>
      <w:r>
        <w:rPr>
          <w:b/>
        </w:rPr>
        <w:t>Ar įstatymų projektai neprieštarauja strateginio lygmens planavimo dokumentams</w:t>
      </w:r>
    </w:p>
    <w:p w:rsidR="00B06CC2" w:rsidRPr="00D17EC4" w:rsidRDefault="00B06CC2" w:rsidP="00B06CC2">
      <w:pPr>
        <w:pStyle w:val="Pagrindiniotekstotrauka3"/>
        <w:spacing w:before="0" w:beforeAutospacing="0" w:after="0" w:afterAutospacing="0"/>
        <w:ind w:firstLine="540"/>
        <w:jc w:val="both"/>
      </w:pPr>
      <w:r>
        <w:t>Įstatymų projektai neprieštarauja strateginio lygmens planavimo dokumentams.</w:t>
      </w:r>
    </w:p>
    <w:p w:rsidR="00B06CC2" w:rsidRDefault="00B06CC2" w:rsidP="00B06CC2">
      <w:pPr>
        <w:pStyle w:val="Pagrindiniotekstotrauka3"/>
        <w:spacing w:before="0" w:beforeAutospacing="0" w:after="0" w:afterAutospacing="0"/>
        <w:ind w:firstLine="540"/>
        <w:jc w:val="both"/>
        <w:rPr>
          <w:b/>
        </w:rPr>
      </w:pPr>
    </w:p>
    <w:p w:rsidR="00B06CC2" w:rsidRPr="008872B2" w:rsidRDefault="00B06CC2" w:rsidP="00B06CC2">
      <w:pPr>
        <w:pStyle w:val="Pagrindiniotekstotrauka3"/>
        <w:spacing w:before="0" w:beforeAutospacing="0" w:after="0" w:afterAutospacing="0"/>
        <w:ind w:firstLine="540"/>
        <w:jc w:val="both"/>
        <w:rPr>
          <w:b/>
        </w:rPr>
      </w:pPr>
      <w:r>
        <w:rPr>
          <w:b/>
          <w:bCs/>
          <w:lang w:val="en-US"/>
        </w:rPr>
        <w:t xml:space="preserve">9. </w:t>
      </w:r>
      <w:r>
        <w:rPr>
          <w:b/>
          <w:bCs/>
        </w:rPr>
        <w:t>Įstatymų</w:t>
      </w:r>
      <w:r w:rsidRPr="00AB6313">
        <w:rPr>
          <w:b/>
          <w:bCs/>
        </w:rPr>
        <w:t xml:space="preserve"> inkorporavimas į teisinę sistemą, galiojantys teisės aktai, kuriuos būtina pakeisti</w:t>
      </w:r>
      <w:r>
        <w:rPr>
          <w:b/>
          <w:bCs/>
        </w:rPr>
        <w:t xml:space="preserve"> ar panaikinti, priėmus teikiamus įstatymų projektus</w:t>
      </w:r>
    </w:p>
    <w:p w:rsidR="00B06CC2" w:rsidRDefault="00B06CC2" w:rsidP="00B06CC2">
      <w:pPr>
        <w:pStyle w:val="HTMLiankstoformatuotas"/>
        <w:ind w:firstLine="540"/>
        <w:jc w:val="both"/>
        <w:rPr>
          <w:rFonts w:ascii="Times New Roman" w:hAnsi="Times New Roman" w:cs="Times New Roman"/>
          <w:sz w:val="24"/>
          <w:szCs w:val="24"/>
        </w:rPr>
      </w:pPr>
      <w:r w:rsidRPr="008872B2">
        <w:rPr>
          <w:rFonts w:ascii="Times New Roman" w:hAnsi="Times New Roman" w:cs="Times New Roman"/>
          <w:sz w:val="24"/>
          <w:szCs w:val="24"/>
        </w:rPr>
        <w:t xml:space="preserve">Priėmus </w:t>
      </w:r>
      <w:r>
        <w:rPr>
          <w:rFonts w:ascii="Times New Roman" w:hAnsi="Times New Roman" w:cs="Times New Roman"/>
          <w:sz w:val="24"/>
          <w:szCs w:val="24"/>
        </w:rPr>
        <w:t xml:space="preserve">įstatymų </w:t>
      </w:r>
      <w:r w:rsidRPr="008872B2">
        <w:rPr>
          <w:rFonts w:ascii="Times New Roman" w:hAnsi="Times New Roman" w:cs="Times New Roman"/>
          <w:sz w:val="24"/>
          <w:szCs w:val="24"/>
        </w:rPr>
        <w:t>projekt</w:t>
      </w:r>
      <w:r>
        <w:rPr>
          <w:rFonts w:ascii="Times New Roman" w:hAnsi="Times New Roman" w:cs="Times New Roman"/>
          <w:sz w:val="24"/>
          <w:szCs w:val="24"/>
        </w:rPr>
        <w:t>us</w:t>
      </w:r>
      <w:r w:rsidRPr="008872B2">
        <w:rPr>
          <w:rFonts w:ascii="Times New Roman" w:hAnsi="Times New Roman" w:cs="Times New Roman"/>
          <w:sz w:val="24"/>
          <w:szCs w:val="24"/>
        </w:rPr>
        <w:t xml:space="preserve">, </w:t>
      </w:r>
      <w:r>
        <w:rPr>
          <w:rFonts w:ascii="Times New Roman" w:hAnsi="Times New Roman" w:cs="Times New Roman"/>
          <w:sz w:val="24"/>
          <w:szCs w:val="24"/>
        </w:rPr>
        <w:t>kitų įstatymų keisti nereikės.</w:t>
      </w:r>
    </w:p>
    <w:p w:rsidR="00B06CC2" w:rsidRDefault="00B06CC2" w:rsidP="00B06CC2">
      <w:pPr>
        <w:pStyle w:val="Pagrindinistekstas"/>
        <w:spacing w:after="0"/>
        <w:ind w:firstLine="567"/>
        <w:jc w:val="both"/>
        <w:rPr>
          <w:b/>
        </w:rPr>
      </w:pPr>
    </w:p>
    <w:p w:rsidR="00B06CC2" w:rsidRPr="007D4D06" w:rsidRDefault="00B06CC2" w:rsidP="00B06CC2">
      <w:pPr>
        <w:pStyle w:val="Pagrindinistekstas"/>
        <w:spacing w:after="0"/>
        <w:ind w:firstLine="567"/>
        <w:jc w:val="both"/>
        <w:rPr>
          <w:b/>
          <w:lang w:val="en-US"/>
        </w:rPr>
      </w:pPr>
      <w:r>
        <w:rPr>
          <w:b/>
        </w:rPr>
        <w:t>10</w:t>
      </w:r>
      <w:r w:rsidRPr="008872B2">
        <w:rPr>
          <w:b/>
        </w:rPr>
        <w:t xml:space="preserve">. </w:t>
      </w:r>
      <w:r>
        <w:rPr>
          <w:b/>
          <w:bCs/>
        </w:rPr>
        <w:t>Įstatymų projektų atitiktis Lietuvos Respublikos valstybinės kalbos, Teisėkūros pagrindų į</w:t>
      </w:r>
      <w:r w:rsidRPr="00AB6313">
        <w:rPr>
          <w:b/>
          <w:bCs/>
        </w:rPr>
        <w:t>statymų reikalavimams ir bendrinės lietuvių kalbos normoms, sąvokų ir terminų įvertinimas</w:t>
      </w:r>
      <w:r>
        <w:rPr>
          <w:b/>
          <w:bCs/>
        </w:rPr>
        <w:t xml:space="preserve"> Terminų banko įstatymo ir jo įgyvendinamųjų teisės aktų nustatyta tvarka</w:t>
      </w:r>
    </w:p>
    <w:p w:rsidR="00B06CC2" w:rsidRPr="008872B2" w:rsidRDefault="00B06CC2" w:rsidP="00B06CC2">
      <w:pPr>
        <w:pStyle w:val="Pagrindiniotekstotrauka3"/>
        <w:tabs>
          <w:tab w:val="left" w:pos="9356"/>
          <w:tab w:val="left" w:pos="9498"/>
        </w:tabs>
        <w:spacing w:before="0" w:beforeAutospacing="0" w:after="0" w:afterAutospacing="0"/>
        <w:ind w:firstLine="567"/>
      </w:pPr>
      <w:r>
        <w:t>Įstatymų projektai parengti</w:t>
      </w:r>
      <w:r w:rsidRPr="008872B2">
        <w:t xml:space="preserve"> laikantis teisės aktuose nustatytų reikalavimų.</w:t>
      </w:r>
    </w:p>
    <w:p w:rsidR="00B06CC2" w:rsidRPr="000E4C23" w:rsidRDefault="00B06CC2" w:rsidP="00B06CC2">
      <w:pPr>
        <w:tabs>
          <w:tab w:val="left" w:pos="0"/>
        </w:tabs>
        <w:ind w:firstLine="540"/>
        <w:jc w:val="both"/>
      </w:pPr>
    </w:p>
    <w:p w:rsidR="00B06CC2" w:rsidRPr="008872B2" w:rsidRDefault="00B06CC2" w:rsidP="00B06CC2">
      <w:pPr>
        <w:pStyle w:val="Pagrindinistekstas"/>
        <w:spacing w:after="0"/>
        <w:ind w:firstLine="540"/>
        <w:jc w:val="both"/>
        <w:rPr>
          <w:b/>
        </w:rPr>
      </w:pPr>
      <w:r w:rsidRPr="008872B2">
        <w:rPr>
          <w:b/>
        </w:rPr>
        <w:t>1</w:t>
      </w:r>
      <w:r>
        <w:rPr>
          <w:b/>
        </w:rPr>
        <w:t>1</w:t>
      </w:r>
      <w:r w:rsidRPr="008872B2">
        <w:rPr>
          <w:b/>
        </w:rPr>
        <w:t xml:space="preserve">. </w:t>
      </w:r>
      <w:r>
        <w:rPr>
          <w:b/>
          <w:bCs/>
        </w:rPr>
        <w:t>Įstatymų projektų</w:t>
      </w:r>
      <w:r w:rsidRPr="00AB6313">
        <w:rPr>
          <w:b/>
          <w:bCs/>
        </w:rPr>
        <w:t xml:space="preserve"> atitik</w:t>
      </w:r>
      <w:r>
        <w:rPr>
          <w:b/>
          <w:bCs/>
        </w:rPr>
        <w:t>tis</w:t>
      </w:r>
      <w:r w:rsidRPr="00AB6313">
        <w:rPr>
          <w:b/>
          <w:bCs/>
        </w:rPr>
        <w:t xml:space="preserve"> Europos žmogaus teisių ir pagrindinių laisvių apsaugos konvencijos nuostatoms ir Europos Sąjungos teisei</w:t>
      </w:r>
    </w:p>
    <w:p w:rsidR="00B06CC2" w:rsidRPr="008872B2" w:rsidRDefault="00B06CC2" w:rsidP="00B06CC2">
      <w:pPr>
        <w:pStyle w:val="Pagrindiniotekstotrauka3"/>
        <w:tabs>
          <w:tab w:val="left" w:pos="9356"/>
          <w:tab w:val="left" w:pos="9498"/>
        </w:tabs>
        <w:spacing w:before="0" w:beforeAutospacing="0" w:after="0" w:afterAutospacing="0"/>
        <w:ind w:firstLine="540"/>
        <w:jc w:val="both"/>
      </w:pPr>
      <w:r>
        <w:t>Įstatymų projektų</w:t>
      </w:r>
      <w:r w:rsidRPr="008872B2">
        <w:t xml:space="preserve"> nuostatos </w:t>
      </w:r>
      <w:r w:rsidRPr="009D3FF4">
        <w:rPr>
          <w:bCs/>
        </w:rPr>
        <w:t>Europos žmogaus teisių ir pagrindinių laisvių apsaugos</w:t>
      </w:r>
      <w:r w:rsidRPr="008872B2">
        <w:t xml:space="preserve"> konvencijai </w:t>
      </w:r>
      <w:r>
        <w:t>ir</w:t>
      </w:r>
      <w:r w:rsidRPr="008872B2">
        <w:t xml:space="preserve"> Europos Sąjungos teisei neprieštarauja.</w:t>
      </w:r>
    </w:p>
    <w:p w:rsidR="00B06CC2" w:rsidRPr="000E4C23" w:rsidRDefault="00B06CC2" w:rsidP="00B06CC2">
      <w:pPr>
        <w:pStyle w:val="Pagrindinistekstas"/>
        <w:spacing w:after="0"/>
        <w:ind w:firstLine="540"/>
        <w:jc w:val="both"/>
      </w:pPr>
    </w:p>
    <w:p w:rsidR="00B06CC2" w:rsidRPr="008872B2" w:rsidRDefault="00B06CC2" w:rsidP="00B06CC2">
      <w:pPr>
        <w:pStyle w:val="Pagrindinistekstas"/>
        <w:spacing w:after="0"/>
        <w:ind w:firstLine="540"/>
        <w:jc w:val="both"/>
        <w:rPr>
          <w:b/>
        </w:rPr>
      </w:pPr>
      <w:r w:rsidRPr="008872B2">
        <w:rPr>
          <w:b/>
        </w:rPr>
        <w:t>1</w:t>
      </w:r>
      <w:r>
        <w:rPr>
          <w:b/>
        </w:rPr>
        <w:t>2</w:t>
      </w:r>
      <w:r w:rsidRPr="008872B2">
        <w:rPr>
          <w:b/>
        </w:rPr>
        <w:t xml:space="preserve">. </w:t>
      </w:r>
      <w:r>
        <w:rPr>
          <w:b/>
          <w:bCs/>
        </w:rPr>
        <w:t>Įstatymams</w:t>
      </w:r>
      <w:r w:rsidRPr="00AB6313">
        <w:rPr>
          <w:b/>
          <w:bCs/>
        </w:rPr>
        <w:t xml:space="preserve"> įgyvendinti reikalingi įgyvendinamieji teisės aktai, šių aktų rengėjai</w:t>
      </w:r>
    </w:p>
    <w:p w:rsidR="00B06CC2" w:rsidRPr="00A4718A" w:rsidRDefault="00B06CC2" w:rsidP="00B06CC2">
      <w:pPr>
        <w:pStyle w:val="HTMLiankstoformatuotas"/>
        <w:ind w:firstLine="540"/>
        <w:jc w:val="both"/>
        <w:rPr>
          <w:rFonts w:ascii="Times New Roman" w:hAnsi="Times New Roman" w:cs="Times New Roman"/>
          <w:sz w:val="24"/>
          <w:szCs w:val="24"/>
        </w:rPr>
      </w:pPr>
      <w:r w:rsidRPr="00C8234D">
        <w:rPr>
          <w:rFonts w:ascii="Times New Roman" w:hAnsi="Times New Roman" w:cs="Times New Roman"/>
          <w:sz w:val="24"/>
          <w:szCs w:val="24"/>
        </w:rPr>
        <w:t xml:space="preserve">Priėmus </w:t>
      </w:r>
      <w:r>
        <w:rPr>
          <w:rFonts w:ascii="Times New Roman" w:hAnsi="Times New Roman" w:cs="Times New Roman"/>
          <w:sz w:val="24"/>
          <w:szCs w:val="24"/>
        </w:rPr>
        <w:t>įstatymų projektus</w:t>
      </w:r>
      <w:r w:rsidRPr="00C8234D">
        <w:rPr>
          <w:rFonts w:ascii="Times New Roman" w:hAnsi="Times New Roman" w:cs="Times New Roman"/>
          <w:sz w:val="24"/>
          <w:szCs w:val="24"/>
        </w:rPr>
        <w:t>, reikės keisti Valstybinės mokesčių inspekcijos prie Lietuvos Respublikos finansų ministerijos viršininko 2003 m. lapkričio</w:t>
      </w:r>
      <w:r>
        <w:rPr>
          <w:rFonts w:ascii="Times New Roman" w:hAnsi="Times New Roman" w:cs="Times New Roman"/>
          <w:sz w:val="24"/>
          <w:szCs w:val="24"/>
        </w:rPr>
        <w:t xml:space="preserve"> 10 d. įsakymą Nr.</w:t>
      </w:r>
      <w:r>
        <w:rPr>
          <w:bCs/>
          <w:color w:val="000000"/>
        </w:rPr>
        <w:t> </w:t>
      </w:r>
      <w:r w:rsidRPr="00C8234D">
        <w:rPr>
          <w:rFonts w:ascii="Times New Roman" w:hAnsi="Times New Roman" w:cs="Times New Roman"/>
          <w:sz w:val="24"/>
          <w:szCs w:val="24"/>
        </w:rPr>
        <w:t>V-290 „Dėl loterijų ir lošimų mokesčio deklaracijų formų bei jų pildymo taisyklių patvirtinimo“.</w:t>
      </w:r>
    </w:p>
    <w:p w:rsidR="00B06CC2" w:rsidRPr="000E4C23" w:rsidRDefault="00B06CC2" w:rsidP="00B06CC2">
      <w:pPr>
        <w:pStyle w:val="Pagrindinistekstas"/>
        <w:spacing w:after="0"/>
        <w:ind w:firstLine="540"/>
        <w:jc w:val="both"/>
        <w:rPr>
          <w:b/>
        </w:rPr>
      </w:pPr>
    </w:p>
    <w:p w:rsidR="00B06CC2" w:rsidRPr="008872B2" w:rsidRDefault="00B06CC2" w:rsidP="00B06CC2">
      <w:pPr>
        <w:pStyle w:val="Pagrindinistekstas"/>
        <w:spacing w:after="0"/>
        <w:ind w:firstLine="540"/>
        <w:jc w:val="both"/>
        <w:rPr>
          <w:b/>
        </w:rPr>
      </w:pPr>
      <w:r w:rsidRPr="008872B2">
        <w:rPr>
          <w:b/>
        </w:rPr>
        <w:t>1</w:t>
      </w:r>
      <w:r>
        <w:rPr>
          <w:b/>
        </w:rPr>
        <w:t>3</w:t>
      </w:r>
      <w:r w:rsidRPr="008872B2">
        <w:rPr>
          <w:b/>
        </w:rPr>
        <w:t xml:space="preserve">. Kiek valstybės, savivaldybių biudžetų ir kitų valstybės įsteigtų fondų lėšų </w:t>
      </w:r>
      <w:r>
        <w:rPr>
          <w:b/>
        </w:rPr>
        <w:t>pareikalaus</w:t>
      </w:r>
      <w:r w:rsidRPr="008872B2">
        <w:rPr>
          <w:b/>
        </w:rPr>
        <w:t xml:space="preserve"> ar </w:t>
      </w:r>
      <w:r>
        <w:rPr>
          <w:b/>
        </w:rPr>
        <w:t>leis</w:t>
      </w:r>
      <w:r w:rsidRPr="008872B2">
        <w:rPr>
          <w:b/>
        </w:rPr>
        <w:t xml:space="preserve"> sutaupyti įstatym</w:t>
      </w:r>
      <w:r>
        <w:rPr>
          <w:b/>
        </w:rPr>
        <w:t xml:space="preserve">ų </w:t>
      </w:r>
      <w:r w:rsidRPr="008872B2">
        <w:rPr>
          <w:b/>
        </w:rPr>
        <w:t>įgyvendin</w:t>
      </w:r>
      <w:r>
        <w:rPr>
          <w:b/>
        </w:rPr>
        <w:t>imas</w:t>
      </w:r>
    </w:p>
    <w:p w:rsidR="00B06CC2" w:rsidRPr="008872B2" w:rsidRDefault="00B06CC2" w:rsidP="00B06CC2">
      <w:pPr>
        <w:pStyle w:val="Pagrindiniotekstotrauka3"/>
        <w:tabs>
          <w:tab w:val="left" w:pos="9356"/>
          <w:tab w:val="left" w:pos="9498"/>
        </w:tabs>
        <w:spacing w:before="0" w:beforeAutospacing="0" w:after="0" w:afterAutospacing="0"/>
        <w:ind w:firstLine="540"/>
        <w:jc w:val="both"/>
      </w:pPr>
      <w:r>
        <w:t xml:space="preserve">Įstatymams įgyvendinti </w:t>
      </w:r>
      <w:r w:rsidR="003F4E87">
        <w:t xml:space="preserve">reikės </w:t>
      </w:r>
      <w:r w:rsidR="003F4E87">
        <w:rPr>
          <w:lang w:val="en-US"/>
        </w:rPr>
        <w:t>85 000</w:t>
      </w:r>
      <w:r w:rsidR="003F4E87">
        <w:t xml:space="preserve"> eurų valstybės biudžeto lėšų Valstybinės mokesčių inspekcijos prie Lietuvos Respublikos f</w:t>
      </w:r>
      <w:r w:rsidR="00C37E0A">
        <w:t>inansų ministerijos informacinei sistemai IMIS modifikuoti</w:t>
      </w:r>
      <w:r w:rsidRPr="008872B2">
        <w:t xml:space="preserve">. </w:t>
      </w:r>
    </w:p>
    <w:p w:rsidR="00B06CC2" w:rsidRPr="000E4C23" w:rsidRDefault="00B06CC2" w:rsidP="00B06CC2">
      <w:pPr>
        <w:ind w:firstLine="540"/>
        <w:jc w:val="both"/>
      </w:pPr>
    </w:p>
    <w:p w:rsidR="00B06CC2" w:rsidRPr="008872B2" w:rsidRDefault="00B06CC2" w:rsidP="00B06CC2">
      <w:pPr>
        <w:pStyle w:val="Pagrindinistekstas"/>
        <w:spacing w:after="0"/>
        <w:ind w:firstLine="540"/>
        <w:jc w:val="both"/>
        <w:rPr>
          <w:b/>
        </w:rPr>
      </w:pPr>
      <w:r w:rsidRPr="008872B2">
        <w:rPr>
          <w:b/>
        </w:rPr>
        <w:t>1</w:t>
      </w:r>
      <w:r>
        <w:rPr>
          <w:b/>
        </w:rPr>
        <w:t>4</w:t>
      </w:r>
      <w:r w:rsidRPr="008872B2">
        <w:rPr>
          <w:b/>
        </w:rPr>
        <w:t>. Įstatym</w:t>
      </w:r>
      <w:r>
        <w:rPr>
          <w:b/>
        </w:rPr>
        <w:t>ų</w:t>
      </w:r>
      <w:r w:rsidRPr="008872B2">
        <w:rPr>
          <w:b/>
        </w:rPr>
        <w:t xml:space="preserve"> projekt</w:t>
      </w:r>
      <w:r>
        <w:rPr>
          <w:b/>
        </w:rPr>
        <w:t>ų</w:t>
      </w:r>
      <w:r w:rsidRPr="008872B2">
        <w:rPr>
          <w:b/>
        </w:rPr>
        <w:t xml:space="preserve"> rengimo metu gauti specialistų vertinimai ir išvados</w:t>
      </w:r>
    </w:p>
    <w:p w:rsidR="00B06CC2" w:rsidRPr="008872B2" w:rsidRDefault="00B06CC2" w:rsidP="00B06CC2">
      <w:pPr>
        <w:ind w:firstLine="540"/>
        <w:jc w:val="both"/>
      </w:pPr>
      <w:r w:rsidRPr="008872B2">
        <w:t>Negauta.</w:t>
      </w:r>
    </w:p>
    <w:p w:rsidR="00B06CC2" w:rsidRPr="000E4C23" w:rsidRDefault="00B06CC2" w:rsidP="00B06CC2">
      <w:pPr>
        <w:ind w:firstLine="540"/>
        <w:jc w:val="both"/>
      </w:pPr>
    </w:p>
    <w:p w:rsidR="00B06CC2" w:rsidRPr="008872B2" w:rsidRDefault="00B06CC2" w:rsidP="00B06CC2">
      <w:pPr>
        <w:pStyle w:val="Pagrindinistekstas"/>
        <w:spacing w:after="0"/>
        <w:ind w:firstLine="540"/>
        <w:jc w:val="both"/>
        <w:rPr>
          <w:b/>
        </w:rPr>
      </w:pPr>
      <w:r w:rsidRPr="008872B2">
        <w:rPr>
          <w:b/>
        </w:rPr>
        <w:lastRenderedPageBreak/>
        <w:t>1</w:t>
      </w:r>
      <w:r>
        <w:rPr>
          <w:b/>
        </w:rPr>
        <w:t>5</w:t>
      </w:r>
      <w:r w:rsidRPr="008872B2">
        <w:rPr>
          <w:b/>
        </w:rPr>
        <w:t xml:space="preserve">. Reikšminiai </w:t>
      </w:r>
      <w:r>
        <w:rPr>
          <w:b/>
        </w:rPr>
        <w:t>į</w:t>
      </w:r>
      <w:r w:rsidRPr="008872B2">
        <w:rPr>
          <w:b/>
        </w:rPr>
        <w:t>statym</w:t>
      </w:r>
      <w:r>
        <w:rPr>
          <w:b/>
        </w:rPr>
        <w:t>ų</w:t>
      </w:r>
      <w:r w:rsidRPr="008872B2">
        <w:rPr>
          <w:b/>
        </w:rPr>
        <w:t xml:space="preserve"> projekt</w:t>
      </w:r>
      <w:r>
        <w:rPr>
          <w:b/>
        </w:rPr>
        <w:t>ų</w:t>
      </w:r>
      <w:r w:rsidRPr="008872B2">
        <w:rPr>
          <w:b/>
        </w:rPr>
        <w:t xml:space="preserve"> </w:t>
      </w:r>
      <w:r>
        <w:rPr>
          <w:b/>
        </w:rPr>
        <w:t>žodžiai</w:t>
      </w:r>
    </w:p>
    <w:p w:rsidR="00B06CC2" w:rsidRPr="008872B2" w:rsidRDefault="00B06CC2" w:rsidP="00B06CC2">
      <w:pPr>
        <w:pStyle w:val="HTMLiankstoformatuotas"/>
        <w:ind w:firstLine="540"/>
        <w:jc w:val="both"/>
        <w:rPr>
          <w:rFonts w:ascii="Times New Roman" w:hAnsi="Times New Roman" w:cs="Times New Roman"/>
          <w:sz w:val="24"/>
          <w:szCs w:val="24"/>
        </w:rPr>
      </w:pPr>
      <w:r w:rsidRPr="008872B2">
        <w:rPr>
          <w:rFonts w:ascii="Times New Roman" w:hAnsi="Times New Roman" w:cs="Times New Roman"/>
          <w:sz w:val="24"/>
          <w:szCs w:val="24"/>
        </w:rPr>
        <w:t>„</w:t>
      </w:r>
      <w:r>
        <w:rPr>
          <w:rFonts w:ascii="Times New Roman" w:hAnsi="Times New Roman" w:cs="Times New Roman"/>
          <w:sz w:val="24"/>
          <w:szCs w:val="24"/>
        </w:rPr>
        <w:t>L</w:t>
      </w:r>
      <w:r w:rsidRPr="008872B2">
        <w:rPr>
          <w:rFonts w:ascii="Times New Roman" w:hAnsi="Times New Roman" w:cs="Times New Roman"/>
          <w:sz w:val="24"/>
          <w:szCs w:val="24"/>
        </w:rPr>
        <w:t>ošimai</w:t>
      </w:r>
      <w:r>
        <w:rPr>
          <w:rFonts w:ascii="Times New Roman" w:hAnsi="Times New Roman" w:cs="Times New Roman"/>
          <w:sz w:val="24"/>
          <w:szCs w:val="24"/>
        </w:rPr>
        <w:t>“, „</w:t>
      </w:r>
      <w:r w:rsidRPr="008872B2">
        <w:rPr>
          <w:rFonts w:ascii="Times New Roman" w:hAnsi="Times New Roman" w:cs="Times New Roman"/>
          <w:sz w:val="24"/>
          <w:szCs w:val="24"/>
        </w:rPr>
        <w:t>loterijų ir lošimų mokestis“</w:t>
      </w:r>
      <w:r>
        <w:rPr>
          <w:rFonts w:ascii="Times New Roman" w:hAnsi="Times New Roman" w:cs="Times New Roman"/>
          <w:sz w:val="24"/>
          <w:szCs w:val="24"/>
        </w:rPr>
        <w:t>.</w:t>
      </w:r>
    </w:p>
    <w:p w:rsidR="00B06CC2" w:rsidRPr="000E4C23" w:rsidRDefault="00B06CC2" w:rsidP="00B06CC2">
      <w:pPr>
        <w:tabs>
          <w:tab w:val="left" w:pos="1843"/>
        </w:tabs>
        <w:ind w:firstLine="540"/>
        <w:jc w:val="both"/>
      </w:pPr>
    </w:p>
    <w:p w:rsidR="00B06CC2" w:rsidRPr="008872B2" w:rsidRDefault="00B06CC2" w:rsidP="00B06CC2">
      <w:pPr>
        <w:pStyle w:val="Pagrindinistekstas"/>
        <w:spacing w:after="0"/>
        <w:ind w:firstLine="540"/>
        <w:jc w:val="both"/>
        <w:rPr>
          <w:b/>
        </w:rPr>
      </w:pPr>
      <w:r w:rsidRPr="008872B2">
        <w:rPr>
          <w:b/>
        </w:rPr>
        <w:t>1</w:t>
      </w:r>
      <w:r>
        <w:rPr>
          <w:b/>
        </w:rPr>
        <w:t>6</w:t>
      </w:r>
      <w:r w:rsidRPr="008872B2">
        <w:rPr>
          <w:b/>
        </w:rPr>
        <w:t>. Kiti, iniciatorių nuomone, reikalingi pagrindimai ir paaiškinimai</w:t>
      </w:r>
    </w:p>
    <w:p w:rsidR="00B06CC2" w:rsidRPr="008872B2" w:rsidRDefault="00B06CC2" w:rsidP="00B06CC2">
      <w:pPr>
        <w:ind w:firstLine="540"/>
        <w:jc w:val="both"/>
      </w:pPr>
      <w:r w:rsidRPr="008872B2">
        <w:t>Nėra.</w:t>
      </w:r>
    </w:p>
    <w:p w:rsidR="00B06CC2" w:rsidRPr="00810ADB" w:rsidRDefault="00B06CC2" w:rsidP="00B06CC2">
      <w:pPr>
        <w:tabs>
          <w:tab w:val="left" w:pos="1843"/>
        </w:tabs>
        <w:ind w:firstLine="540"/>
        <w:jc w:val="center"/>
        <w:rPr>
          <w:sz w:val="16"/>
          <w:szCs w:val="16"/>
        </w:rPr>
      </w:pPr>
    </w:p>
    <w:p w:rsidR="00B06CC2" w:rsidRPr="007B0FAA" w:rsidRDefault="00B06CC2" w:rsidP="00B06CC2">
      <w:pPr>
        <w:tabs>
          <w:tab w:val="left" w:pos="1843"/>
        </w:tabs>
        <w:ind w:firstLine="540"/>
        <w:jc w:val="center"/>
      </w:pPr>
      <w:r w:rsidRPr="007B0FAA">
        <w:t>___________</w:t>
      </w:r>
      <w:r>
        <w:t>__________________</w:t>
      </w:r>
    </w:p>
    <w:p w:rsidR="00391BB9" w:rsidRDefault="00391BB9"/>
    <w:sectPr w:rsidR="00391BB9" w:rsidSect="00054B0F">
      <w:headerReference w:type="even" r:id="rId8"/>
      <w:headerReference w:type="default" r:id="rId9"/>
      <w:footerReference w:type="even" r:id="rId10"/>
      <w:footerReference w:type="default" r:id="rId11"/>
      <w:pgSz w:w="11906" w:h="16838"/>
      <w:pgMar w:top="1276"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1EB" w:rsidRDefault="002C7461">
      <w:r>
        <w:separator/>
      </w:r>
    </w:p>
  </w:endnote>
  <w:endnote w:type="continuationSeparator" w:id="0">
    <w:p w:rsidR="004521EB" w:rsidRDefault="002C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52" w:rsidRDefault="00B06CC2" w:rsidP="00392A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65952" w:rsidRDefault="00A66D45" w:rsidP="00392AD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52" w:rsidRDefault="00A66D45" w:rsidP="004B6946">
    <w:pPr>
      <w:pStyle w:val="Porat"/>
      <w:framePr w:wrap="around" w:vAnchor="text" w:hAnchor="page" w:x="11242" w:y="86"/>
      <w:rPr>
        <w:rStyle w:val="Puslapionumeris"/>
      </w:rPr>
    </w:pPr>
  </w:p>
  <w:p w:rsidR="00465952" w:rsidRDefault="00A66D45" w:rsidP="00392AD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1EB" w:rsidRDefault="002C7461">
      <w:r>
        <w:separator/>
      </w:r>
    </w:p>
  </w:footnote>
  <w:footnote w:type="continuationSeparator" w:id="0">
    <w:p w:rsidR="004521EB" w:rsidRDefault="002C7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52" w:rsidRDefault="00B06CC2" w:rsidP="004B694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65952" w:rsidRDefault="00A66D4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52" w:rsidRPr="004B6946" w:rsidRDefault="00B06CC2" w:rsidP="004B6946">
    <w:pPr>
      <w:pStyle w:val="Antrats"/>
      <w:framePr w:wrap="around" w:vAnchor="text" w:hAnchor="margin" w:xAlign="center" w:y="1"/>
      <w:rPr>
        <w:rStyle w:val="Puslapionumeris"/>
        <w:sz w:val="20"/>
      </w:rPr>
    </w:pPr>
    <w:r w:rsidRPr="004B6946">
      <w:rPr>
        <w:rStyle w:val="Puslapionumeris"/>
        <w:sz w:val="20"/>
      </w:rPr>
      <w:fldChar w:fldCharType="begin"/>
    </w:r>
    <w:r w:rsidRPr="004B6946">
      <w:rPr>
        <w:rStyle w:val="Puslapionumeris"/>
        <w:sz w:val="20"/>
      </w:rPr>
      <w:instrText xml:space="preserve">PAGE  </w:instrText>
    </w:r>
    <w:r w:rsidRPr="004B6946">
      <w:rPr>
        <w:rStyle w:val="Puslapionumeris"/>
        <w:sz w:val="20"/>
      </w:rPr>
      <w:fldChar w:fldCharType="separate"/>
    </w:r>
    <w:r w:rsidR="00A66D45">
      <w:rPr>
        <w:rStyle w:val="Puslapionumeris"/>
        <w:noProof/>
        <w:sz w:val="20"/>
      </w:rPr>
      <w:t>2</w:t>
    </w:r>
    <w:r w:rsidRPr="004B6946">
      <w:rPr>
        <w:rStyle w:val="Puslapionumeris"/>
        <w:sz w:val="20"/>
      </w:rPr>
      <w:fldChar w:fldCharType="end"/>
    </w:r>
  </w:p>
  <w:p w:rsidR="00465952" w:rsidRDefault="00A66D4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CC2"/>
    <w:rsid w:val="000C1E22"/>
    <w:rsid w:val="0014478B"/>
    <w:rsid w:val="001C2C03"/>
    <w:rsid w:val="001D1C07"/>
    <w:rsid w:val="00267097"/>
    <w:rsid w:val="002C7461"/>
    <w:rsid w:val="002C7F90"/>
    <w:rsid w:val="0034542D"/>
    <w:rsid w:val="00391BB9"/>
    <w:rsid w:val="003F4E87"/>
    <w:rsid w:val="004137CD"/>
    <w:rsid w:val="004521EB"/>
    <w:rsid w:val="004545D2"/>
    <w:rsid w:val="004907C6"/>
    <w:rsid w:val="004F178B"/>
    <w:rsid w:val="00520964"/>
    <w:rsid w:val="00553636"/>
    <w:rsid w:val="0055761A"/>
    <w:rsid w:val="00593F44"/>
    <w:rsid w:val="005A50F3"/>
    <w:rsid w:val="00695D81"/>
    <w:rsid w:val="00722625"/>
    <w:rsid w:val="008A01DF"/>
    <w:rsid w:val="00A66D45"/>
    <w:rsid w:val="00A954E9"/>
    <w:rsid w:val="00B06CC2"/>
    <w:rsid w:val="00C37E0A"/>
    <w:rsid w:val="00CA489D"/>
    <w:rsid w:val="00DB0CAD"/>
    <w:rsid w:val="00E62D55"/>
    <w:rsid w:val="00E83E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6CC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B06CC2"/>
    <w:pPr>
      <w:spacing w:before="100" w:beforeAutospacing="1" w:after="100" w:afterAutospacing="1"/>
    </w:pPr>
  </w:style>
  <w:style w:type="character" w:customStyle="1" w:styleId="Pagrindiniotekstotrauka3Diagrama">
    <w:name w:val="Pagrindinio teksto įtrauka 3 Diagrama"/>
    <w:basedOn w:val="Numatytasispastraiposriftas"/>
    <w:link w:val="Pagrindiniotekstotrauka3"/>
    <w:rsid w:val="00B06CC2"/>
    <w:rPr>
      <w:rFonts w:ascii="Times New Roman" w:eastAsia="Times New Roman" w:hAnsi="Times New Roman" w:cs="Times New Roman"/>
      <w:sz w:val="24"/>
      <w:szCs w:val="24"/>
      <w:lang w:eastAsia="lt-LT"/>
    </w:rPr>
  </w:style>
  <w:style w:type="paragraph" w:styleId="Porat">
    <w:name w:val="footer"/>
    <w:basedOn w:val="prastasis"/>
    <w:link w:val="PoratDiagrama"/>
    <w:rsid w:val="00B06CC2"/>
    <w:pPr>
      <w:tabs>
        <w:tab w:val="center" w:pos="4819"/>
        <w:tab w:val="right" w:pos="9638"/>
      </w:tabs>
    </w:pPr>
  </w:style>
  <w:style w:type="character" w:customStyle="1" w:styleId="PoratDiagrama">
    <w:name w:val="Poraštė Diagrama"/>
    <w:basedOn w:val="Numatytasispastraiposriftas"/>
    <w:link w:val="Porat"/>
    <w:rsid w:val="00B06CC2"/>
    <w:rPr>
      <w:rFonts w:ascii="Times New Roman" w:eastAsia="Times New Roman" w:hAnsi="Times New Roman" w:cs="Times New Roman"/>
      <w:sz w:val="24"/>
      <w:szCs w:val="24"/>
      <w:lang w:eastAsia="lt-LT"/>
    </w:rPr>
  </w:style>
  <w:style w:type="character" w:styleId="Puslapionumeris">
    <w:name w:val="page number"/>
    <w:basedOn w:val="Numatytasispastraiposriftas"/>
    <w:rsid w:val="00B06CC2"/>
  </w:style>
  <w:style w:type="paragraph" w:styleId="Antrats">
    <w:name w:val="header"/>
    <w:basedOn w:val="prastasis"/>
    <w:link w:val="AntratsDiagrama"/>
    <w:rsid w:val="00B06CC2"/>
    <w:pPr>
      <w:tabs>
        <w:tab w:val="center" w:pos="4153"/>
        <w:tab w:val="right" w:pos="8306"/>
      </w:tabs>
    </w:pPr>
    <w:rPr>
      <w:szCs w:val="20"/>
    </w:rPr>
  </w:style>
  <w:style w:type="character" w:customStyle="1" w:styleId="AntratsDiagrama">
    <w:name w:val="Antraštės Diagrama"/>
    <w:basedOn w:val="Numatytasispastraiposriftas"/>
    <w:link w:val="Antrats"/>
    <w:rsid w:val="00B06CC2"/>
    <w:rPr>
      <w:rFonts w:ascii="Times New Roman" w:eastAsia="Times New Roman" w:hAnsi="Times New Roman" w:cs="Times New Roman"/>
      <w:sz w:val="24"/>
      <w:szCs w:val="20"/>
      <w:lang w:eastAsia="lt-LT"/>
    </w:rPr>
  </w:style>
  <w:style w:type="paragraph" w:styleId="HTMLiankstoformatuotas">
    <w:name w:val="HTML Preformatted"/>
    <w:basedOn w:val="prastasis"/>
    <w:link w:val="HTMLiankstoformatuotasDiagrama"/>
    <w:uiPriority w:val="99"/>
    <w:rsid w:val="00B06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06CC2"/>
    <w:rPr>
      <w:rFonts w:ascii="Courier New" w:eastAsia="Times New Roman" w:hAnsi="Courier New" w:cs="Courier New"/>
      <w:sz w:val="20"/>
      <w:szCs w:val="20"/>
      <w:lang w:eastAsia="lt-LT"/>
    </w:rPr>
  </w:style>
  <w:style w:type="paragraph" w:styleId="Pagrindinistekstas">
    <w:name w:val="Body Text"/>
    <w:basedOn w:val="prastasis"/>
    <w:link w:val="PagrindinistekstasDiagrama"/>
    <w:uiPriority w:val="99"/>
    <w:unhideWhenUsed/>
    <w:rsid w:val="00B06CC2"/>
    <w:pPr>
      <w:spacing w:after="120"/>
    </w:pPr>
  </w:style>
  <w:style w:type="character" w:customStyle="1" w:styleId="PagrindinistekstasDiagrama">
    <w:name w:val="Pagrindinis tekstas Diagrama"/>
    <w:basedOn w:val="Numatytasispastraiposriftas"/>
    <w:link w:val="Pagrindinistekstas"/>
    <w:uiPriority w:val="99"/>
    <w:rsid w:val="00B06CC2"/>
    <w:rPr>
      <w:rFonts w:ascii="Times New Roman" w:eastAsia="Times New Roman" w:hAnsi="Times New Roman" w:cs="Times New Roman"/>
      <w:sz w:val="24"/>
      <w:szCs w:val="24"/>
      <w:lang w:eastAsia="lt-LT"/>
    </w:rPr>
  </w:style>
  <w:style w:type="paragraph" w:customStyle="1" w:styleId="Standard">
    <w:name w:val="Standard"/>
    <w:rsid w:val="00B06CC2"/>
    <w:pPr>
      <w:suppressAutoHyphens/>
      <w:autoSpaceDN w:val="0"/>
      <w:spacing w:after="160" w:line="249" w:lineRule="auto"/>
      <w:textAlignment w:val="baseline"/>
    </w:pPr>
    <w:rPr>
      <w:rFonts w:ascii="Calibri" w:eastAsia="SimSun" w:hAnsi="Calibri" w:cs="F"/>
      <w:kern w:val="3"/>
      <w:lang w:val="en-US"/>
    </w:rPr>
  </w:style>
  <w:style w:type="paragraph" w:styleId="Sraopastraipa">
    <w:name w:val="List Paragraph"/>
    <w:basedOn w:val="prastasis"/>
    <w:uiPriority w:val="34"/>
    <w:qFormat/>
    <w:rsid w:val="00B06CC2"/>
    <w:pPr>
      <w:ind w:left="720"/>
      <w:contextualSpacing/>
    </w:pPr>
    <w:rPr>
      <w:lang w:eastAsia="en-US"/>
    </w:rPr>
  </w:style>
  <w:style w:type="paragraph" w:styleId="Debesliotekstas">
    <w:name w:val="Balloon Text"/>
    <w:basedOn w:val="prastasis"/>
    <w:link w:val="DebesliotekstasDiagrama"/>
    <w:uiPriority w:val="99"/>
    <w:semiHidden/>
    <w:unhideWhenUsed/>
    <w:rsid w:val="00E62D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2D55"/>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6CC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B06CC2"/>
    <w:pPr>
      <w:spacing w:before="100" w:beforeAutospacing="1" w:after="100" w:afterAutospacing="1"/>
    </w:pPr>
  </w:style>
  <w:style w:type="character" w:customStyle="1" w:styleId="Pagrindiniotekstotrauka3Diagrama">
    <w:name w:val="Pagrindinio teksto įtrauka 3 Diagrama"/>
    <w:basedOn w:val="Numatytasispastraiposriftas"/>
    <w:link w:val="Pagrindiniotekstotrauka3"/>
    <w:rsid w:val="00B06CC2"/>
    <w:rPr>
      <w:rFonts w:ascii="Times New Roman" w:eastAsia="Times New Roman" w:hAnsi="Times New Roman" w:cs="Times New Roman"/>
      <w:sz w:val="24"/>
      <w:szCs w:val="24"/>
      <w:lang w:eastAsia="lt-LT"/>
    </w:rPr>
  </w:style>
  <w:style w:type="paragraph" w:styleId="Porat">
    <w:name w:val="footer"/>
    <w:basedOn w:val="prastasis"/>
    <w:link w:val="PoratDiagrama"/>
    <w:rsid w:val="00B06CC2"/>
    <w:pPr>
      <w:tabs>
        <w:tab w:val="center" w:pos="4819"/>
        <w:tab w:val="right" w:pos="9638"/>
      </w:tabs>
    </w:pPr>
  </w:style>
  <w:style w:type="character" w:customStyle="1" w:styleId="PoratDiagrama">
    <w:name w:val="Poraštė Diagrama"/>
    <w:basedOn w:val="Numatytasispastraiposriftas"/>
    <w:link w:val="Porat"/>
    <w:rsid w:val="00B06CC2"/>
    <w:rPr>
      <w:rFonts w:ascii="Times New Roman" w:eastAsia="Times New Roman" w:hAnsi="Times New Roman" w:cs="Times New Roman"/>
      <w:sz w:val="24"/>
      <w:szCs w:val="24"/>
      <w:lang w:eastAsia="lt-LT"/>
    </w:rPr>
  </w:style>
  <w:style w:type="character" w:styleId="Puslapionumeris">
    <w:name w:val="page number"/>
    <w:basedOn w:val="Numatytasispastraiposriftas"/>
    <w:rsid w:val="00B06CC2"/>
  </w:style>
  <w:style w:type="paragraph" w:styleId="Antrats">
    <w:name w:val="header"/>
    <w:basedOn w:val="prastasis"/>
    <w:link w:val="AntratsDiagrama"/>
    <w:rsid w:val="00B06CC2"/>
    <w:pPr>
      <w:tabs>
        <w:tab w:val="center" w:pos="4153"/>
        <w:tab w:val="right" w:pos="8306"/>
      </w:tabs>
    </w:pPr>
    <w:rPr>
      <w:szCs w:val="20"/>
    </w:rPr>
  </w:style>
  <w:style w:type="character" w:customStyle="1" w:styleId="AntratsDiagrama">
    <w:name w:val="Antraštės Diagrama"/>
    <w:basedOn w:val="Numatytasispastraiposriftas"/>
    <w:link w:val="Antrats"/>
    <w:rsid w:val="00B06CC2"/>
    <w:rPr>
      <w:rFonts w:ascii="Times New Roman" w:eastAsia="Times New Roman" w:hAnsi="Times New Roman" w:cs="Times New Roman"/>
      <w:sz w:val="24"/>
      <w:szCs w:val="20"/>
      <w:lang w:eastAsia="lt-LT"/>
    </w:rPr>
  </w:style>
  <w:style w:type="paragraph" w:styleId="HTMLiankstoformatuotas">
    <w:name w:val="HTML Preformatted"/>
    <w:basedOn w:val="prastasis"/>
    <w:link w:val="HTMLiankstoformatuotasDiagrama"/>
    <w:uiPriority w:val="99"/>
    <w:rsid w:val="00B06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06CC2"/>
    <w:rPr>
      <w:rFonts w:ascii="Courier New" w:eastAsia="Times New Roman" w:hAnsi="Courier New" w:cs="Courier New"/>
      <w:sz w:val="20"/>
      <w:szCs w:val="20"/>
      <w:lang w:eastAsia="lt-LT"/>
    </w:rPr>
  </w:style>
  <w:style w:type="paragraph" w:styleId="Pagrindinistekstas">
    <w:name w:val="Body Text"/>
    <w:basedOn w:val="prastasis"/>
    <w:link w:val="PagrindinistekstasDiagrama"/>
    <w:uiPriority w:val="99"/>
    <w:unhideWhenUsed/>
    <w:rsid w:val="00B06CC2"/>
    <w:pPr>
      <w:spacing w:after="120"/>
    </w:pPr>
  </w:style>
  <w:style w:type="character" w:customStyle="1" w:styleId="PagrindinistekstasDiagrama">
    <w:name w:val="Pagrindinis tekstas Diagrama"/>
    <w:basedOn w:val="Numatytasispastraiposriftas"/>
    <w:link w:val="Pagrindinistekstas"/>
    <w:uiPriority w:val="99"/>
    <w:rsid w:val="00B06CC2"/>
    <w:rPr>
      <w:rFonts w:ascii="Times New Roman" w:eastAsia="Times New Roman" w:hAnsi="Times New Roman" w:cs="Times New Roman"/>
      <w:sz w:val="24"/>
      <w:szCs w:val="24"/>
      <w:lang w:eastAsia="lt-LT"/>
    </w:rPr>
  </w:style>
  <w:style w:type="paragraph" w:customStyle="1" w:styleId="Standard">
    <w:name w:val="Standard"/>
    <w:rsid w:val="00B06CC2"/>
    <w:pPr>
      <w:suppressAutoHyphens/>
      <w:autoSpaceDN w:val="0"/>
      <w:spacing w:after="160" w:line="249" w:lineRule="auto"/>
      <w:textAlignment w:val="baseline"/>
    </w:pPr>
    <w:rPr>
      <w:rFonts w:ascii="Calibri" w:eastAsia="SimSun" w:hAnsi="Calibri" w:cs="F"/>
      <w:kern w:val="3"/>
      <w:lang w:val="en-US"/>
    </w:rPr>
  </w:style>
  <w:style w:type="paragraph" w:styleId="Sraopastraipa">
    <w:name w:val="List Paragraph"/>
    <w:basedOn w:val="prastasis"/>
    <w:uiPriority w:val="34"/>
    <w:qFormat/>
    <w:rsid w:val="00B06CC2"/>
    <w:pPr>
      <w:ind w:left="720"/>
      <w:contextualSpacing/>
    </w:pPr>
    <w:rPr>
      <w:lang w:eastAsia="en-US"/>
    </w:rPr>
  </w:style>
  <w:style w:type="paragraph" w:styleId="Debesliotekstas">
    <w:name w:val="Balloon Text"/>
    <w:basedOn w:val="prastasis"/>
    <w:link w:val="DebesliotekstasDiagrama"/>
    <w:uiPriority w:val="99"/>
    <w:semiHidden/>
    <w:unhideWhenUsed/>
    <w:rsid w:val="00E62D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2D55"/>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a.kliukiene@finmin.l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7673</Words>
  <Characters>4374</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Kliukienė</dc:creator>
  <cp:lastModifiedBy>Lina Kliukienė</cp:lastModifiedBy>
  <cp:revision>12</cp:revision>
  <dcterms:created xsi:type="dcterms:W3CDTF">2021-07-23T12:08:00Z</dcterms:created>
  <dcterms:modified xsi:type="dcterms:W3CDTF">2021-08-20T11:32:00Z</dcterms:modified>
</cp:coreProperties>
</file>