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4294dbcd21694c47aed4fdf71c8b0cb7"/>
        <w:lock w:val="sdtLocked"/>
        <w:richText/>
      </w:sdtPr>
      <w:sdtContent>
        <w:p w14:paraId="2175BBEB" w14:textId="77777777">
          <w:pPr>
            <w:tabs>
              <w:tab w:val="center" w:pos="4819"/>
              <w:tab w:val="right" w:pos="9638"/>
            </w:tabs>
          </w:pPr>
        </w:p>
        <w:p w14:paraId="55049346" w14:textId="77777777">
          <w:pPr>
            <w:spacing w:line="256" w:lineRule="auto"/>
            <w:jc w:val="right"/>
            <w:rPr>
              <w:b/>
              <w:szCs w:val="24"/>
            </w:rPr>
          </w:pPr>
          <w:r>
            <w:rPr>
              <w:b/>
              <w:szCs w:val="24"/>
            </w:rPr>
            <w:t>Projektas</w:t>
          </w:r>
        </w:p>
        <w:p w14:paraId="2B92D32D" w14:textId="77777777"/>
        <w:p w14:paraId="3ABC2AA8" w14:textId="77777777"/>
        <w:p w14:paraId="5FBD498B" w14:textId="77777777">
          <w:pPr>
            <w:spacing w:line="256" w:lineRule="auto"/>
            <w:jc w:val="center"/>
            <w:rPr>
              <w:b/>
              <w:szCs w:val="24"/>
            </w:rPr>
          </w:pPr>
          <w:r>
            <w:rPr>
              <w:b/>
              <w:szCs w:val="24"/>
            </w:rPr>
            <w:t>LIETUVOS RESPUBLIKOS VYRIAUSYBĖ</w:t>
          </w:r>
        </w:p>
        <w:p w14:paraId="7BBB4384" w14:textId="77777777">
          <w:pPr>
            <w:rPr>
              <w:sz w:val="14"/>
              <w:szCs w:val="14"/>
            </w:rPr>
          </w:pPr>
        </w:p>
        <w:p w14:paraId="5A1A1FFA" w14:textId="77777777">
          <w:pPr>
            <w:spacing w:line="256" w:lineRule="auto"/>
            <w:jc w:val="center"/>
            <w:rPr>
              <w:b/>
              <w:szCs w:val="24"/>
            </w:rPr>
          </w:pPr>
          <w:r>
            <w:rPr>
              <w:b/>
              <w:szCs w:val="24"/>
            </w:rPr>
            <w:t>NUTARIMAS</w:t>
          </w:r>
        </w:p>
        <w:p w14:paraId="3749B1EE" w14:textId="77777777">
          <w:pPr>
            <w:rPr>
              <w:sz w:val="14"/>
              <w:szCs w:val="14"/>
            </w:rPr>
          </w:pPr>
        </w:p>
        <w:p w14:paraId="213BD7D2" w14:textId="686C92E4">
          <w:pPr>
            <w:spacing w:line="256" w:lineRule="auto"/>
            <w:jc w:val="center"/>
            <w:rPr>
              <w:b/>
              <w:szCs w:val="24"/>
            </w:rPr>
          </w:pPr>
          <w:r>
            <w:rPr>
              <w:b/>
              <w:szCs w:val="24"/>
            </w:rPr>
            <w:t>DĖL LIETUVOS RESPUBLIKOS VYRIAUSYBĖS 1999 M. VASARIO 13 D. NUTARIMO Nr. 159 „DĖL LIETUVOS RESPUBLIKOS VYRIAUSYBĖS NUTARIMŲ, VYRIAUSYBĖS SPRENDIMŲ IR VYRIAUSYBĖS REZOLIUCIJŲ, MINISTRO PIRMININKO POTVARKIŲ, TARPTAUTINIŲ SUTARČIŲ, JŲ PROJEKTŲ VERTIMO IR VERTIMO AUTENTIŠKUMO TVIRTINIMO TVARKOS APRAŠO IR KLAIDŲ IŠTAISYMO EUROPOS SĄJUNGOS TEISĖS AKTUOSE IR KITUOSE DOKUMENTUOSE LIETUVIŲ KALBA TVARKOS APRAŠO PATVIRTINIMO“ PAKEITIMO</w:t>
          </w:r>
        </w:p>
        <w:p w14:paraId="0FD35D65" w14:textId="77777777">
          <w:pPr>
            <w:rPr>
              <w:sz w:val="14"/>
              <w:szCs w:val="14"/>
            </w:rPr>
          </w:pPr>
        </w:p>
        <w:p w14:paraId="3AB2B7D2" w14:textId="77777777">
          <w:pPr>
            <w:spacing w:line="256" w:lineRule="auto"/>
            <w:jc w:val="center"/>
            <w:rPr>
              <w:szCs w:val="24"/>
            </w:rPr>
          </w:pPr>
          <w:r>
            <w:rPr>
              <w:szCs w:val="24"/>
            </w:rPr>
            <w:t>Nr.</w:t>
          </w:r>
        </w:p>
        <w:p w14:paraId="7542BBBE" w14:textId="77777777">
          <w:pPr>
            <w:rPr>
              <w:sz w:val="14"/>
              <w:szCs w:val="14"/>
            </w:rPr>
          </w:pPr>
        </w:p>
        <w:p w14:paraId="1C295AAB" w14:textId="77777777">
          <w:pPr>
            <w:spacing w:line="256" w:lineRule="auto"/>
            <w:jc w:val="center"/>
            <w:rPr>
              <w:szCs w:val="24"/>
            </w:rPr>
          </w:pPr>
          <w:r>
            <w:rPr>
              <w:szCs w:val="24"/>
            </w:rPr>
            <w:t>Vilnius</w:t>
          </w:r>
        </w:p>
        <w:p w14:paraId="7988024C" w14:textId="433D4E4D"/>
        <w:sdt>
          <w:sdtPr>
            <w:alias w:val="preambule"/>
            <w:tag w:val="part_b204f2c502974981ad47bbe662fd6012"/>
            <w:lock w:val="sdtLocked"/>
            <w:richText/>
          </w:sdtPr>
          <w:sdtContent>
            <w:p w14:paraId="04CF65EF" w14:textId="238644D0">
              <w:pPr>
                <w:spacing w:line="360" w:lineRule="atLeast"/>
                <w:ind w:firstLine="720"/>
                <w:jc w:val="both"/>
                <w:rPr>
                  <w:szCs w:val="24"/>
                </w:rPr>
              </w:pPr>
              <w:r>
                <w:rPr>
                  <w:szCs w:val="24"/>
                </w:rPr>
                <w:t xml:space="preserve">Lietuvos Respublikos Vyriausybė  n u t a r i a:</w:t>
              </w:r>
            </w:p>
          </w:sdtContent>
        </w:sdt>
        <w:sdt>
          <w:sdtPr>
            <w:alias w:val="pastraipa"/>
            <w:tag w:val="part_2f815cb2234a4a05ab84a373c8d304de"/>
            <w:lock w:val="sdtLocked"/>
            <w:richText/>
          </w:sdtPr>
          <w:sdtContent>
            <w:p w14:paraId="6329431D" w14:textId="7E6B7DB9">
              <w:pPr>
                <w:spacing w:line="360" w:lineRule="atLeast"/>
                <w:ind w:firstLine="720"/>
                <w:jc w:val="both"/>
                <w:rPr>
                  <w:szCs w:val="24"/>
                </w:rPr>
              </w:pPr>
              <w:r>
                <w:rPr>
                  <w:szCs w:val="24"/>
                </w:rPr>
                <w:t>Pakeisti Lietuvos Respublikos Vyriausybės 1999 m. vasario 13 d. nutarimą Nr. 159 „Dėl Lietuvos Respublikos Vyriausybės nutarimų, Vyriausybės sprendimų ir Vyriausybės rezoliucijų, Ministro Pirmininko potvarkių, tarptautinių sutarčių, jų projektų vertimo ir vertimo autentiškumo tvirtinimo tvarkos aprašo ir Klaidų ištaisymo Europos Sąjungos teisės aktuose ir kituose dokumentuose lietuvių kalba tvarkos aprašo patvirtinimo“:</w:t>
              </w:r>
            </w:p>
          </w:sdtContent>
        </w:sdt>
        <w:sdt>
          <w:sdtPr>
            <w:alias w:val="1 p."/>
            <w:tag w:val="part_f7f6dfe372ed4d0c927b2e9d7e82a3af"/>
            <w:lock w:val="sdtLocked"/>
            <w:richText/>
          </w:sdtPr>
          <w:sdtContent>
            <w:p w14:paraId="008A06A9" w14:textId="62532ABC">
              <w:pPr>
                <w:spacing w:line="360" w:lineRule="atLeast"/>
                <w:ind w:firstLine="720"/>
                <w:jc w:val="both"/>
                <w:rPr>
                  <w:szCs w:val="24"/>
                </w:rPr>
              </w:pPr>
              <w:sdt>
                <w:sdtPr>
                  <w:alias w:val="Numeris"/>
                  <w:tag w:val="nr_f7f6dfe372ed4d0c927b2e9d7e82a3af"/>
                  <w:lock w:val="sdtLocked"/>
                  <w:richText/>
                </w:sdtPr>
                <w:sdtContent>
                  <w:r>
                    <w:rPr>
                      <w:szCs w:val="24"/>
                    </w:rPr>
                    <w:t>1</w:t>
                  </w:r>
                </w:sdtContent>
              </w:sdt>
              <w:r>
                <w:rPr>
                  <w:szCs w:val="24"/>
                </w:rPr>
                <w:t>. Pakeisti pavadinimą ir jį išdėstyti taip:</w:t>
              </w:r>
            </w:p>
            <w:sdt>
              <w:sdtPr>
                <w:alias w:val="citata"/>
                <w:tag w:val="part_3ce4f8213eae4a29a50d86879c79e681"/>
                <w:lock w:val="sdtLocked"/>
                <w:richText/>
              </w:sdtPr>
              <w:sdtContent>
                <w:sdt>
                  <w:sdtPr>
                    <w:alias w:val="pastraipa"/>
                    <w:tag w:val="part_e0dc5303a54341aaa8c9140be305cb24"/>
                    <w:lock w:val="sdtLocked"/>
                    <w:richText/>
                  </w:sdtPr>
                  <w:sdtContent>
                    <w:p w14:paraId="2B9B59E5" w14:textId="257807D1">
                      <w:pPr>
                        <w:spacing w:line="360" w:lineRule="atLeast"/>
                        <w:ind w:firstLine="720"/>
                        <w:jc w:val="both"/>
                        <w:rPr>
                          <w:szCs w:val="24"/>
                        </w:rPr>
                      </w:pPr>
                      <w:r>
                        <w:rPr>
                          <w:b/>
                          <w:bCs/>
                          <w:szCs w:val="24"/>
                        </w:rPr>
                        <w:t>„DĖL LIETUVOS RESPUBLIKOS VYRIAUSYBĖS NUTARIMŲ, VYRIAUSYBĖS SPRENDIMŲ IR VYRIAUSYBĖS REZOLIUCIJŲ, MINISTRO PIRMININKO POTVARKIŲ, TARPTAUTINIŲ SUTARČIŲ, JŲ PROJEKTŲ, EUROPOS ŽMOGAUS TEISIŲ TEISMO SPRENDIMŲ VERTIMO IR VERTIMO AUTENTIŠKUMO TVIRTINIMO TVARKOS APRAŠO IR KLAIDŲ IŠTAISYMO EUROPOS SĄJUNGOS TEISĖS AKTUOSE IR KITUOSE DOKUMENTUOSE LIETUVIŲ KALBA TVARKOS APRAŠO PATVIRTINIMO“</w:t>
                      </w:r>
                      <w:r>
                        <w:rPr>
                          <w:szCs w:val="24"/>
                        </w:rPr>
                        <w:t>.</w:t>
                      </w:r>
                    </w:p>
                  </w:sdtContent>
                </w:sdt>
              </w:sdtContent>
            </w:sdt>
          </w:sdtContent>
        </w:sdt>
        <w:sdt>
          <w:sdtPr>
            <w:alias w:val="2 p."/>
            <w:tag w:val="part_894078f7ab224781b55e4bbc6f2ba058"/>
            <w:lock w:val="sdtLocked"/>
            <w:richText/>
          </w:sdtPr>
          <w:sdtContent>
            <w:p w14:paraId="08D0B293" w14:textId="0C81BDC4">
              <w:pPr>
                <w:spacing w:line="360" w:lineRule="atLeast"/>
                <w:ind w:firstLine="720"/>
                <w:jc w:val="both"/>
                <w:rPr>
                  <w:szCs w:val="24"/>
                </w:rPr>
              </w:pPr>
              <w:sdt>
                <w:sdtPr>
                  <w:alias w:val="Numeris"/>
                  <w:tag w:val="nr_894078f7ab224781b55e4bbc6f2ba058"/>
                  <w:lock w:val="sdtLocked"/>
                  <w:richText/>
                </w:sdtPr>
                <w:sdtContent>
                  <w:r>
                    <w:rPr>
                      <w:szCs w:val="24"/>
                    </w:rPr>
                    <w:t>2</w:t>
                  </w:r>
                </w:sdtContent>
              </w:sdt>
              <w:r>
                <w:rPr>
                  <w:szCs w:val="24"/>
                </w:rPr>
                <w:t>. Pakeisti 1.1 papunktį ir jį išdėstyti taip:</w:t>
              </w:r>
            </w:p>
            <w:sdt>
              <w:sdtPr>
                <w:alias w:val="citata"/>
                <w:tag w:val="part_2d540c071fb44d3bb2f7b6cef572df83"/>
                <w:lock w:val="sdtLocked"/>
                <w:richText/>
              </w:sdtPr>
              <w:sdtContent>
                <w:sdt>
                  <w:sdtPr>
                    <w:alias w:val="1.1 pp."/>
                    <w:tag w:val="part_4cdeaf7fde974c6287c06ce9ab54927c"/>
                    <w:lock w:val="sdtLocked"/>
                    <w:richText/>
                  </w:sdtPr>
                  <w:sdtContent>
                    <w:p w14:paraId="27ED4CBF" w14:textId="4727AA7E">
                      <w:pPr>
                        <w:spacing w:line="360" w:lineRule="atLeast"/>
                        <w:ind w:firstLine="720"/>
                        <w:jc w:val="both"/>
                        <w:rPr>
                          <w:b/>
                          <w:bCs/>
                          <w:szCs w:val="24"/>
                        </w:rPr>
                      </w:pPr>
                      <w:r>
                        <w:rPr>
                          <w:szCs w:val="24"/>
                        </w:rPr>
                        <w:t>„</w:t>
                      </w:r>
                      <w:sdt>
                        <w:sdtPr>
                          <w:alias w:val="Numeris"/>
                          <w:tag w:val="nr_4cdeaf7fde974c6287c06ce9ab54927c"/>
                          <w:lock w:val="sdtLocked"/>
                          <w:richText/>
                        </w:sdtPr>
                        <w:sdtContent>
                          <w:r>
                            <w:rPr>
                              <w:szCs w:val="24"/>
                            </w:rPr>
                            <w:t>1.1</w:t>
                          </w:r>
                        </w:sdtContent>
                      </w:sdt>
                      <w:r>
                        <w:rPr>
                          <w:szCs w:val="24"/>
                        </w:rPr>
                        <w:t>. Lietuvos Respublikos Vyriausybės nutarimų, Vyriausybės sprendimų ir Vyriausybės rezoliucijų, Ministro Pirmininko potvarkių, tarptautinių sutarčių, jų projektų, Europos Žmogaus Teisių Teismo sprendimų vertimo ir vertimo autentiškumo tvirtinimo tvarkos aprašą;“.</w:t>
                      </w:r>
                    </w:p>
                  </w:sdtContent>
                </w:sdt>
              </w:sdtContent>
            </w:sdt>
          </w:sdtContent>
        </w:sdt>
        <w:sdt>
          <w:sdtPr>
            <w:alias w:val="3 p."/>
            <w:tag w:val="part_45448255cc7f4368b42b14690e72744f"/>
            <w:lock w:val="sdtLocked"/>
            <w:richText/>
          </w:sdtPr>
          <w:sdtContent>
            <w:p w14:paraId="1457C29D" w14:textId="53980DE8">
              <w:pPr>
                <w:spacing w:line="360" w:lineRule="atLeast"/>
                <w:ind w:firstLine="720"/>
                <w:jc w:val="both"/>
                <w:rPr>
                  <w:szCs w:val="24"/>
                </w:rPr>
              </w:pPr>
              <w:sdt>
                <w:sdtPr>
                  <w:alias w:val="Numeris"/>
                  <w:tag w:val="nr_45448255cc7f4368b42b14690e72744f"/>
                  <w:lock w:val="sdtLocked"/>
                  <w:richText/>
                </w:sdtPr>
                <w:sdtContent>
                  <w:r>
                    <w:rPr>
                      <w:szCs w:val="24"/>
                    </w:rPr>
                    <w:t>3</w:t>
                  </w:r>
                </w:sdtContent>
              </w:sdt>
              <w:r>
                <w:rPr>
                  <w:szCs w:val="24"/>
                </w:rPr>
                <w:t>. Pakeisti nurodytu nutarimu patvirtintą Lietuvos Respublikos Vyriausybės nutarimų, Vyriausybės sprendimų ir Vyriausybės rezoliucijų, Ministro Pirmininko potvarkių, tarptautinių sutarčių, jų projektų vertimo ir vertimo autentiškumo tvirtinimo tvarkos aprašą:</w:t>
              </w:r>
            </w:p>
            <w:sdt>
              <w:sdtPr>
                <w:alias w:val="3.1 pp."/>
                <w:tag w:val="part_890d21a29d374f74b9d8cc07358f9cff"/>
                <w:lock w:val="sdtLocked"/>
                <w:richText/>
              </w:sdtPr>
              <w:sdtContent>
                <w:p w14:paraId="69D51E96" w14:textId="5C0619C9">
                  <w:pPr>
                    <w:spacing w:line="360" w:lineRule="atLeast"/>
                    <w:ind w:firstLine="720"/>
                    <w:jc w:val="both"/>
                    <w:rPr>
                      <w:szCs w:val="24"/>
                    </w:rPr>
                  </w:pPr>
                  <w:sdt>
                    <w:sdtPr>
                      <w:alias w:val="Numeris"/>
                      <w:tag w:val="nr_890d21a29d374f74b9d8cc07358f9cff"/>
                      <w:lock w:val="sdtLocked"/>
                      <w:richText/>
                    </w:sdtPr>
                    <w:sdtContent>
                      <w:r>
                        <w:rPr>
                          <w:szCs w:val="24"/>
                        </w:rPr>
                        <w:t>3.1</w:t>
                      </w:r>
                    </w:sdtContent>
                  </w:sdt>
                  <w:r>
                    <w:rPr>
                      <w:szCs w:val="24"/>
                    </w:rPr>
                    <w:t>. Pakeisti 1 punktą ir jį išdėstyti taip:</w:t>
                  </w:r>
                </w:p>
                <w:sdt>
                  <w:sdtPr>
                    <w:alias w:val="citata"/>
                    <w:tag w:val="part_2ebf0e2c1d9e499e84abe4c27fffc0ff"/>
                    <w:lock w:val="sdtLocked"/>
                    <w:richText/>
                  </w:sdtPr>
                  <w:sdtContent>
                    <w:sdt>
                      <w:sdtPr>
                        <w:alias w:val="1 p."/>
                        <w:tag w:val="part_d4d59097093346e980823ae0cecab41d"/>
                        <w:lock w:val="sdtLocked"/>
                        <w:richText/>
                      </w:sdtPr>
                      <w:sdtContent>
                        <w:p w14:paraId="71D49B91" w14:textId="0B5A5926">
                          <w:pPr>
                            <w:spacing w:line="360" w:lineRule="atLeast"/>
                            <w:ind w:firstLine="720"/>
                            <w:jc w:val="both"/>
                            <w:rPr>
                              <w:szCs w:val="24"/>
                            </w:rPr>
                          </w:pPr>
                          <w:r>
                            <w:rPr>
                              <w:szCs w:val="24"/>
                            </w:rPr>
                            <w:t>„</w:t>
                          </w:r>
                          <w:sdt>
                            <w:sdtPr>
                              <w:alias w:val="Numeris"/>
                              <w:tag w:val="nr_d4d59097093346e980823ae0cecab41d"/>
                              <w:lock w:val="sdtLocked"/>
                              <w:richText/>
                            </w:sdtPr>
                            <w:sdtContent>
                              <w:r>
                                <w:rPr>
                                  <w:szCs w:val="24"/>
                                </w:rPr>
                                <w:t>1</w:t>
                              </w:r>
                            </w:sdtContent>
                          </w:sdt>
                          <w:r>
                            <w:rPr>
                              <w:szCs w:val="24"/>
                            </w:rPr>
                            <w:t>. Lietuvos Respublikos Vyriausybės nutarimų, Vyriausybės sprendimų ir Vyriausybės rezoliucijų, Ministro Pirmininko potvarkių, tarptautinių sutarčių, jų projektų, Europos Žmogaus Teisių Teismo sprendimų vertimo ir vertimo autentiškumo tvirtinimo tvarkos aprašas (toliau – Aprašas) reglamentuoja Vyriausybės nutarimų, Vyriausybės sprendimų, Vyriausybės rezoliucijų, Ministro Pirmininko potvarkių, tarptautinių sutarčių, jų projektų ir Europos Žmogaus Teisių Teismo sprendimų (toliau – dokumentai) vertimo organizavimą ir vertimo autentiškumo patvirtinimą.“</w:t>
                          </w:r>
                        </w:p>
                      </w:sdtContent>
                    </w:sdt>
                  </w:sdtContent>
                </w:sdt>
              </w:sdtContent>
            </w:sdt>
            <w:sdt>
              <w:sdtPr>
                <w:alias w:val="3.2 pp."/>
                <w:tag w:val="part_4c352b4ff2d84d04b0e4e477ab18d5c1"/>
                <w:lock w:val="sdtLocked"/>
                <w:richText/>
              </w:sdtPr>
              <w:sdtContent>
                <w:p w14:paraId="19F1E05A" w14:textId="43F8B645">
                  <w:pPr>
                    <w:spacing w:line="360" w:lineRule="atLeast"/>
                    <w:ind w:firstLine="720"/>
                    <w:jc w:val="both"/>
                    <w:rPr>
                      <w:szCs w:val="24"/>
                    </w:rPr>
                  </w:pPr>
                  <w:sdt>
                    <w:sdtPr>
                      <w:alias w:val="Numeris"/>
                      <w:tag w:val="nr_4c352b4ff2d84d04b0e4e477ab18d5c1"/>
                      <w:lock w:val="sdtLocked"/>
                      <w:richText/>
                    </w:sdtPr>
                    <w:sdtContent>
                      <w:r>
                        <w:rPr>
                          <w:szCs w:val="24"/>
                        </w:rPr>
                        <w:t>3.2</w:t>
                      </w:r>
                    </w:sdtContent>
                  </w:sdt>
                  <w:r>
                    <w:rPr>
                      <w:szCs w:val="24"/>
                    </w:rPr>
                    <w:t>. Pakeisti 2 punktą ir jį išdėstyti taip:</w:t>
                  </w:r>
                </w:p>
                <w:sdt>
                  <w:sdtPr>
                    <w:alias w:val="citata"/>
                    <w:tag w:val="part_4ec76601475a4bfd980af342abec49a1"/>
                    <w:lock w:val="sdtLocked"/>
                    <w:richText/>
                  </w:sdtPr>
                  <w:sdtContent>
                    <w:sdt>
                      <w:sdtPr>
                        <w:alias w:val="2 p."/>
                        <w:tag w:val="part_c4e1dc1801874ab589421ee7f5a5e3a1"/>
                        <w:lock w:val="sdtLocked"/>
                        <w:richText/>
                      </w:sdtPr>
                      <w:sdtContent>
                        <w:p w14:paraId="64002362" w14:textId="77777777">
                          <w:pPr>
                            <w:spacing w:line="360" w:lineRule="atLeast"/>
                            <w:ind w:firstLine="720"/>
                            <w:jc w:val="both"/>
                            <w:rPr>
                              <w:szCs w:val="24"/>
                            </w:rPr>
                          </w:pPr>
                          <w:r>
                            <w:rPr>
                              <w:szCs w:val="24"/>
                            </w:rPr>
                            <w:t>„</w:t>
                          </w:r>
                          <w:sdt>
                            <w:sdtPr>
                              <w:alias w:val="Numeris"/>
                              <w:tag w:val="nr_c4e1dc1801874ab589421ee7f5a5e3a1"/>
                              <w:lock w:val="sdtLocked"/>
                              <w:richText/>
                            </w:sdtPr>
                            <w:sdtContent>
                              <w:r>
                                <w:rPr>
                                  <w:szCs w:val="24"/>
                                </w:rPr>
                                <w:t>2</w:t>
                              </w:r>
                            </w:sdtContent>
                          </w:sdt>
                          <w:r>
                            <w:rPr>
                              <w:szCs w:val="24"/>
                            </w:rPr>
                            <w:t>. Dokumentų vertimą organizuoja arba juos verčia atitinkamoje valdymo srityje įgaliojimus turinti ministerija arba kita suinteresuota institucija (toliau – valstybės institucija). Išversto dokumento ekspertizę atlieka ir jo autentiškumą patvirtina Vyriausybės kanceliarija.“</w:t>
                          </w:r>
                        </w:p>
                        <w:p w14:paraId="140B0A15" w14:textId="77777777">
                          <w:pPr>
                            <w:spacing w:line="360" w:lineRule="atLeast"/>
                            <w:ind w:firstLine="720"/>
                            <w:jc w:val="both"/>
                            <w:rPr>
                              <w:szCs w:val="24"/>
                            </w:rPr>
                          </w:pPr>
                        </w:p>
                        <w:p w14:paraId="24F2B704" w14:textId="3D8A415C">
                          <w:pPr>
                            <w:spacing w:line="259" w:lineRule="auto"/>
                            <w:jc w:val="both"/>
                            <w:rPr>
                              <w:szCs w:val="24"/>
                            </w:rPr>
                          </w:pPr>
                        </w:p>
                        <w:p w14:paraId="7BFA3F22" w14:textId="4A54FDF4">
                          <w:pPr>
                            <w:spacing w:line="259" w:lineRule="auto"/>
                            <w:jc w:val="both"/>
                            <w:rPr>
                              <w:szCs w:val="24"/>
                            </w:rPr>
                          </w:pPr>
                        </w:p>
                        <w:p w14:paraId="399F4432" w14:textId="2E0801BD">
                          <w:pPr>
                            <w:spacing w:line="259" w:lineRule="auto"/>
                            <w:jc w:val="both"/>
                            <w:rPr>
                              <w:szCs w:val="24"/>
                            </w:rPr>
                          </w:pPr>
                        </w:p>
                        <w:p w14:paraId="043785C2" w14:textId="77777777">
                          <w:pPr>
                            <w:spacing w:line="259" w:lineRule="auto"/>
                            <w:jc w:val="both"/>
                            <w:rPr>
                              <w:szCs w:val="24"/>
                            </w:rPr>
                          </w:pPr>
                        </w:p>
                      </w:sdtContent>
                    </w:sdt>
                  </w:sdtContent>
                </w:sdt>
              </w:sdtContent>
            </w:sdt>
          </w:sdtContent>
        </w:sdt>
        <w:sdt>
          <w:sdtPr>
            <w:alias w:val="signatura"/>
            <w:tag w:val="part_e471a367732f43b2810567334f4cdc22"/>
            <w:lock w:val="sdtLocked"/>
            <w:richText/>
          </w:sdtPr>
          <w:sdtContent>
            <w:p w14:paraId="5F0C454D" w14:textId="068E878C">
              <w:pPr>
                <w:spacing w:line="259" w:lineRule="auto"/>
                <w:jc w:val="both"/>
                <w:rPr>
                  <w:szCs w:val="24"/>
                </w:rPr>
              </w:pPr>
              <w:r>
                <w:rPr>
                  <w:szCs w:val="24"/>
                </w:rPr>
                <w:t xml:space="preserve">Ministras Pirmininkas </w:t>
              </w:r>
            </w:p>
            <w:p w14:paraId="25DFBCCA" w14:textId="475CF819">
              <w:pPr>
                <w:spacing w:line="259" w:lineRule="auto"/>
                <w:jc w:val="both"/>
                <w:rPr>
                  <w:szCs w:val="24"/>
                </w:rPr>
              </w:pPr>
            </w:p>
            <w:p w14:paraId="54A6A588" w14:textId="77777777">
              <w:pPr>
                <w:spacing w:line="259" w:lineRule="auto"/>
                <w:jc w:val="both"/>
                <w:rPr>
                  <w:szCs w:val="24"/>
                </w:rPr>
              </w:pPr>
            </w:p>
            <w:p w14:paraId="3E04F298" w14:textId="0E63CDED">
              <w:pPr>
                <w:spacing w:line="259" w:lineRule="auto"/>
                <w:jc w:val="both"/>
              </w:pPr>
              <w:r>
                <w:rPr>
                  <w:szCs w:val="24"/>
                </w:rPr>
                <w:t xml:space="preserve">Užsienio reikalų ministras   </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504B6" w14:textId="77777777">
      <w:r>
        <w:separator/>
      </w:r>
    </w:p>
  </w:endnote>
  <w:endnote w:type="continuationSeparator" w:id="0">
    <w:p w14:paraId="54C56E1F"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71DE5"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2A1A6"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F2B41" w14:textId="77777777">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60EA8" w14:textId="77777777">
      <w:r>
        <w:separator/>
      </w:r>
    </w:p>
  </w:footnote>
  <w:footnote w:type="continuationSeparator" w:id="0">
    <w:p w14:paraId="2B0BA6D1"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D21F8" w14:textId="77777777">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37B81" w14:textId="605C8F3C">
    <w:pPr>
      <w:tabs>
        <w:tab w:val="center" w:pos="4819"/>
        <w:tab w:val="right" w:pos="9638"/>
      </w:tabs>
      <w:jc w:val="center"/>
    </w:pPr>
    <w:r>
      <w:fldChar w:fldCharType="begin"/>
    </w:r>
    <w:r>
      <w:instrText>PAGE   \* MERGEFORMAT</w:instrText>
    </w:r>
    <w:r>
      <w:fldChar w:fldCharType="separate"/>
    </w:r>
    <w:r>
      <w:t>2</w:t>
    </w:r>
    <w:r>
      <w:fldChar w:fldCharType="end"/>
    </w:r>
  </w:p>
  <w:p w14:paraId="21B0964E" w14:textId="77777777">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34CCB"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8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C940"/>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66940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51dce23e22a8405c8a43a1a21084e11b" PartId="4294dbcd21694c47aed4fdf71c8b0cb7">
    <Part Type="preambule" DocPartId="1eb8c5e48bc441f98af22f8062bab5f5" PartId="b204f2c502974981ad47bbe662fd6012"/>
    <Part Type="pastraipa" DocPartId="2d94f1fd7fbb4766a259e0781c4fce8b" PartId="2f815cb2234a4a05ab84a373c8d304de"/>
    <Part Type="punktas" Nr="1" Abbr="1 p." DocPartId="796cc19adc524c09a525b092d50ce5ec" PartId="f7f6dfe372ed4d0c927b2e9d7e82a3af">
      <Part Type="citata" DocPartId="6e8da66992a64deca0f61cff795c9cbc" PartId="3ce4f8213eae4a29a50d86879c79e681">
        <Part Type="pastraipa" DocPartId="f395bf131880489782afc6be1d3dc020" PartId="e0dc5303a54341aaa8c9140be305cb24"/>
      </Part>
    </Part>
    <Part Type="punktas" Nr="2" Abbr="2 p." DocPartId="695de3b90cba4cc1b8e17541befc97c7" PartId="894078f7ab224781b55e4bbc6f2ba058">
      <Part Type="citata" DocPartId="f162adbebffb4503a80fbabfbf353dcb" PartId="2d540c071fb44d3bb2f7b6cef572df83">
        <Part Type="papunktis" Nr="1.1" Abbr="1.1 pp." DocPartId="d3ecf4e32d6149aa94078e32c21e2895" PartId="4cdeaf7fde974c6287c06ce9ab54927c"/>
      </Part>
    </Part>
    <Part Type="punktas" Nr="3" Abbr="3 p." DocPartId="e3a2932275da4771930c944abc674e0c" PartId="45448255cc7f4368b42b14690e72744f">
      <Part Type="papunktis" Nr="3.1" Abbr="3.1 pp." DocPartId="b566dd512240469780afc9d99e6565f5" PartId="890d21a29d374f74b9d8cc07358f9cff">
        <Part Type="citata" DocPartId="5c40bfd24dfa418d91d094f5b0acaf0b" PartId="2ebf0e2c1d9e499e84abe4c27fffc0ff">
          <Part Type="punktas" Nr="1" Abbr="1 p." DocPartId="aa52831a5dec43598086013c590f654a" PartId="d4d59097093346e980823ae0cecab41d"/>
        </Part>
      </Part>
      <Part Type="papunktis" Nr="3.2" Abbr="3.2 pp." DocPartId="1a90c29695f44a96bba50ab653e53fdd" PartId="4c352b4ff2d84d04b0e4e477ab18d5c1">
        <Part Type="citata" DocPartId="89eaa89ef7d34353bc5285907df0a118" PartId="4ec76601475a4bfd980af342abec49a1">
          <Part Type="punktas" Nr="2" Abbr="2 p." DocPartId="9617d7615c134b6eb95a789de8351dc8" PartId="c4e1dc1801874ab589421ee7f5a5e3a1"/>
        </Part>
      </Part>
    </Part>
    <Part Type="signatura" DocPartId="c5630b22157142b7b1f4ef4916c40fbf" PartId="e471a367732f43b2810567334f4cdc22"/>
  </Part>
</Parts>
</file>

<file path=customXml/itemProps1.xml><?xml version="1.0" encoding="utf-8"?>
<ds:datastoreItem xmlns:ds="http://schemas.openxmlformats.org/officeDocument/2006/customXml" ds:itemID="{D5EC3395-468A-47F3-832D-3C1713CD8D19}">
  <ds:schemaRefs>
    <ds:schemaRef ds:uri="http://schemas.openxmlformats.org/officeDocument/2006/bibliography"/>
  </ds:schemaRefs>
</ds:datastoreItem>
</file>

<file path=customXml/itemProps2.xml><?xml version="1.0" encoding="utf-8"?>
<ds:datastoreItem xmlns:ds="http://schemas.openxmlformats.org/officeDocument/2006/customXml" ds:itemID="{EB8F828D-53E5-4045-98A0-CE6AC6200515}">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2611</Characters>
  <Application>Microsoft Office Word</Application>
  <DocSecurity>4</DocSecurity>
  <Lines>60</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2020-11-26T12:23:00Z</dcterms:created>
  <dc:creator>Piotr Gerasimovič</dc:creator>
  <cp:lastModifiedBy>Asseco</cp:lastModifiedBy>
  <dcterms:modified xsi:type="dcterms:W3CDTF">2020-11-26T12:23:00Z</dcterms:modified>
  <cp:revision>2</cp:revision>
</cp:coreProperties>
</file>