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27AC79" w14:textId="77777777" w:rsidR="00B24873" w:rsidRPr="004F011C" w:rsidRDefault="00B24873" w:rsidP="00B24873">
      <w:pPr>
        <w:tabs>
          <w:tab w:val="left" w:pos="0"/>
        </w:tabs>
        <w:jc w:val="center"/>
        <w:rPr>
          <w:rFonts w:eastAsia="Calibri"/>
          <w:b/>
          <w:spacing w:val="60"/>
          <w:lang w:val="lt-LT"/>
        </w:rPr>
      </w:pPr>
      <w:r w:rsidRPr="004F011C">
        <w:rPr>
          <w:b/>
          <w:spacing w:val="60"/>
          <w:lang w:val="lt-LT"/>
        </w:rPr>
        <w:t xml:space="preserve">LIETUVOS RESPUBLIKOS POZICIJA </w:t>
      </w:r>
    </w:p>
    <w:p w14:paraId="1410649C" w14:textId="3712AF92" w:rsidR="00B24873" w:rsidRPr="004F011C" w:rsidRDefault="00B24873" w:rsidP="00B24873">
      <w:pPr>
        <w:tabs>
          <w:tab w:val="left" w:pos="0"/>
        </w:tabs>
        <w:jc w:val="center"/>
        <w:rPr>
          <w:b/>
          <w:lang w:val="lt-LT"/>
        </w:rPr>
      </w:pPr>
      <w:r w:rsidRPr="004F011C">
        <w:rPr>
          <w:b/>
          <w:lang w:val="lt-LT"/>
        </w:rPr>
        <w:t xml:space="preserve">EUROPOS SĄJUNGOS TEISINGUMO TEISME NAGRINĖJAMOJE BYLOJE </w:t>
      </w:r>
      <w:r w:rsidRPr="004F011C">
        <w:rPr>
          <w:b/>
          <w:caps/>
          <w:spacing w:val="-6"/>
          <w:lang w:val="lt-LT"/>
        </w:rPr>
        <w:t>C−</w:t>
      </w:r>
      <w:r w:rsidR="008840D0" w:rsidRPr="004F011C">
        <w:rPr>
          <w:b/>
          <w:caps/>
          <w:spacing w:val="-6"/>
          <w:lang w:val="lt-LT"/>
        </w:rPr>
        <w:t>354</w:t>
      </w:r>
      <w:r w:rsidRPr="004F011C">
        <w:rPr>
          <w:b/>
          <w:caps/>
          <w:spacing w:val="-6"/>
          <w:lang w:val="lt-LT"/>
        </w:rPr>
        <w:t>/21</w:t>
      </w:r>
    </w:p>
    <w:p w14:paraId="4835E2C9" w14:textId="3108623A" w:rsidR="00B24873" w:rsidRDefault="00B24873" w:rsidP="00B24873">
      <w:pPr>
        <w:tabs>
          <w:tab w:val="left" w:pos="0"/>
        </w:tabs>
        <w:spacing w:line="360" w:lineRule="auto"/>
        <w:jc w:val="both"/>
        <w:rPr>
          <w:rFonts w:eastAsia="Calibri"/>
          <w:b/>
          <w:lang w:val="lt-LT"/>
        </w:rPr>
      </w:pPr>
    </w:p>
    <w:p w14:paraId="29AD2AC1" w14:textId="77777777" w:rsidR="00832B6F" w:rsidRPr="004F011C" w:rsidRDefault="00832B6F" w:rsidP="00B24873">
      <w:pPr>
        <w:tabs>
          <w:tab w:val="left" w:pos="0"/>
        </w:tabs>
        <w:spacing w:line="360" w:lineRule="auto"/>
        <w:jc w:val="both"/>
        <w:rPr>
          <w:rFonts w:eastAsia="Calibri"/>
          <w:b/>
          <w:lang w:val="lt-LT"/>
        </w:rPr>
      </w:pPr>
    </w:p>
    <w:p w14:paraId="564A01D9" w14:textId="769C50B3" w:rsidR="00B24873" w:rsidRPr="004F011C" w:rsidRDefault="00B24873" w:rsidP="00832B6F">
      <w:pPr>
        <w:tabs>
          <w:tab w:val="left" w:pos="0"/>
        </w:tabs>
        <w:spacing w:after="360"/>
        <w:rPr>
          <w:b/>
          <w:lang w:val="lt-LT"/>
        </w:rPr>
      </w:pPr>
      <w:r w:rsidRPr="004F011C">
        <w:rPr>
          <w:rFonts w:eastAsia="Calibri"/>
          <w:b/>
          <w:lang w:val="lt-LT"/>
        </w:rPr>
        <w:t xml:space="preserve">Byloje </w:t>
      </w:r>
      <w:r w:rsidRPr="004F011C">
        <w:rPr>
          <w:b/>
          <w:caps/>
          <w:spacing w:val="-6"/>
          <w:lang w:val="lt-LT"/>
        </w:rPr>
        <w:t>C−</w:t>
      </w:r>
      <w:r w:rsidR="008840D0" w:rsidRPr="004F011C">
        <w:rPr>
          <w:b/>
          <w:caps/>
          <w:spacing w:val="-6"/>
          <w:lang w:val="lt-LT"/>
        </w:rPr>
        <w:t>354</w:t>
      </w:r>
      <w:r w:rsidRPr="004F011C">
        <w:rPr>
          <w:b/>
          <w:caps/>
          <w:spacing w:val="-6"/>
          <w:lang w:val="lt-LT"/>
        </w:rPr>
        <w:t>/21</w:t>
      </w:r>
      <w:r w:rsidRPr="004F011C">
        <w:rPr>
          <w:b/>
          <w:lang w:val="lt-LT"/>
        </w:rPr>
        <w:t xml:space="preserve"> keliami klausimai </w:t>
      </w:r>
    </w:p>
    <w:p w14:paraId="43542BDD" w14:textId="77777777" w:rsidR="00846A03" w:rsidRPr="004F011C" w:rsidRDefault="00B24873" w:rsidP="00846A03">
      <w:pPr>
        <w:tabs>
          <w:tab w:val="left" w:pos="0"/>
        </w:tabs>
        <w:autoSpaceDE w:val="0"/>
        <w:autoSpaceDN w:val="0"/>
        <w:adjustRightInd w:val="0"/>
        <w:spacing w:line="360" w:lineRule="auto"/>
        <w:ind w:firstLine="709"/>
        <w:jc w:val="both"/>
        <w:rPr>
          <w:rFonts w:eastAsia="Calibri"/>
          <w:lang w:val="lt-LT"/>
        </w:rPr>
      </w:pPr>
      <w:r w:rsidRPr="004F011C">
        <w:rPr>
          <w:rFonts w:eastAsia="Calibri"/>
          <w:lang w:val="lt-LT"/>
        </w:rPr>
        <w:t>Byla</w:t>
      </w:r>
      <w:r w:rsidR="00846A03" w:rsidRPr="004F011C">
        <w:rPr>
          <w:rFonts w:eastAsia="Calibri"/>
          <w:i/>
          <w:iCs/>
          <w:lang w:val="lt-LT"/>
        </w:rPr>
        <w:t xml:space="preserve"> Registrų centras</w:t>
      </w:r>
      <w:r w:rsidRPr="004F011C">
        <w:rPr>
          <w:rFonts w:eastAsia="Calibri"/>
          <w:i/>
          <w:iCs/>
          <w:lang w:val="lt-LT"/>
        </w:rPr>
        <w:t xml:space="preserve">, </w:t>
      </w:r>
      <w:r w:rsidRPr="004F011C">
        <w:rPr>
          <w:caps/>
          <w:spacing w:val="-6"/>
          <w:lang w:val="lt-LT"/>
        </w:rPr>
        <w:t>C−</w:t>
      </w:r>
      <w:r w:rsidR="00846A03" w:rsidRPr="004F011C">
        <w:rPr>
          <w:caps/>
          <w:spacing w:val="-6"/>
          <w:lang w:val="lt-LT"/>
        </w:rPr>
        <w:t>354</w:t>
      </w:r>
      <w:r w:rsidRPr="004F011C">
        <w:rPr>
          <w:caps/>
          <w:spacing w:val="-6"/>
          <w:lang w:val="lt-LT"/>
        </w:rPr>
        <w:t>/21</w:t>
      </w:r>
      <w:r w:rsidRPr="004F011C">
        <w:rPr>
          <w:b/>
          <w:caps/>
          <w:spacing w:val="-6"/>
          <w:lang w:val="lt-LT"/>
        </w:rPr>
        <w:t xml:space="preserve"> </w:t>
      </w:r>
      <w:r w:rsidRPr="004F011C">
        <w:rPr>
          <w:rFonts w:eastAsia="Calibri"/>
          <w:lang w:val="lt-LT"/>
        </w:rPr>
        <w:t xml:space="preserve">Europos Sąjungos Teisingumo Teisme (toliau – Teisingumo Teismas) nagrinėjama pagal Lietuvos vyriausiojo administracinio teismo (toliau – LVAT) </w:t>
      </w:r>
      <w:r w:rsidRPr="004F011C">
        <w:rPr>
          <w:rFonts w:eastAsia="Calibri"/>
          <w:iCs/>
          <w:lang w:val="lt-LT"/>
        </w:rPr>
        <w:t>2021 m.</w:t>
      </w:r>
      <w:r w:rsidR="004D7C53" w:rsidRPr="004F011C">
        <w:rPr>
          <w:rFonts w:eastAsia="Calibri"/>
          <w:iCs/>
          <w:lang w:val="lt-LT"/>
        </w:rPr>
        <w:t xml:space="preserve"> b</w:t>
      </w:r>
      <w:r w:rsidR="00846A03" w:rsidRPr="004F011C">
        <w:rPr>
          <w:rFonts w:eastAsia="Calibri"/>
          <w:iCs/>
          <w:lang w:val="lt-LT"/>
        </w:rPr>
        <w:t>irželio</w:t>
      </w:r>
      <w:r w:rsidRPr="004F011C">
        <w:rPr>
          <w:rFonts w:eastAsia="Calibri"/>
          <w:iCs/>
          <w:lang w:val="lt-LT"/>
        </w:rPr>
        <w:t xml:space="preserve"> </w:t>
      </w:r>
      <w:r w:rsidR="004D7C53" w:rsidRPr="004F011C">
        <w:rPr>
          <w:rFonts w:eastAsia="Calibri"/>
          <w:iCs/>
          <w:lang w:val="lt-LT"/>
        </w:rPr>
        <w:t>2</w:t>
      </w:r>
      <w:r w:rsidRPr="004F011C">
        <w:rPr>
          <w:rFonts w:eastAsia="Calibri"/>
          <w:iCs/>
          <w:lang w:val="lt-LT"/>
        </w:rPr>
        <w:t xml:space="preserve"> d. nutartimi </w:t>
      </w:r>
      <w:r w:rsidRPr="004F011C">
        <w:rPr>
          <w:rFonts w:eastAsia="Calibri"/>
          <w:lang w:val="lt-LT"/>
        </w:rPr>
        <w:t>pateiktą prašymą priimti prejudicinį sprendimą dėl</w:t>
      </w:r>
      <w:r w:rsidR="00846A03" w:rsidRPr="004F011C">
        <w:rPr>
          <w:rFonts w:eastAsia="Calibri"/>
          <w:lang w:val="lt-LT"/>
        </w:rPr>
        <w:t xml:space="preserve"> </w:t>
      </w:r>
      <w:r w:rsidR="00846A03" w:rsidRPr="004F011C">
        <w:rPr>
          <w:lang w:val="lt-LT"/>
        </w:rPr>
        <w:t>2012 m. liepos 4 d. Europos Parlamento ir Tarybos reglamento (ES) Nr. 650/2012 dėl jurisdikcijos, taikytinos teisės, teismo sprendimų paveldėjimo klausimais pripažinimo ir vykdymo bei autentiškų dokumentų paveldėjimo klausimais priėmimo ir vykdymo bei dėl Europos paveldėjimo pažymėjimo sukūrimo (toliau – Reglamentas 650/2012)</w:t>
      </w:r>
      <w:r w:rsidR="00846A03" w:rsidRPr="004F011C">
        <w:rPr>
          <w:rFonts w:eastAsia="Calibri"/>
          <w:lang w:val="lt-LT"/>
        </w:rPr>
        <w:t xml:space="preserve"> </w:t>
      </w:r>
      <w:r w:rsidRPr="004F011C">
        <w:rPr>
          <w:rFonts w:eastAsia="Calibri"/>
          <w:bCs/>
          <w:lang w:val="lt-LT"/>
        </w:rPr>
        <w:t xml:space="preserve">nuostatų išaiškinimo. </w:t>
      </w:r>
      <w:r w:rsidRPr="004F011C">
        <w:rPr>
          <w:rFonts w:eastAsia="Calibri"/>
          <w:lang w:val="lt-LT"/>
        </w:rPr>
        <w:t>Konkrečiai, Teisingumo Teismo prašoma atsakyti į š</w:t>
      </w:r>
      <w:r w:rsidR="008905F6" w:rsidRPr="004F011C">
        <w:rPr>
          <w:rFonts w:eastAsia="Calibri"/>
          <w:lang w:val="lt-LT"/>
        </w:rPr>
        <w:t>į</w:t>
      </w:r>
      <w:r w:rsidRPr="004F011C">
        <w:rPr>
          <w:rFonts w:eastAsia="Calibri"/>
          <w:lang w:val="lt-LT"/>
        </w:rPr>
        <w:t xml:space="preserve"> klausim</w:t>
      </w:r>
      <w:r w:rsidR="008905F6" w:rsidRPr="004F011C">
        <w:rPr>
          <w:rFonts w:eastAsia="Calibri"/>
          <w:lang w:val="lt-LT"/>
        </w:rPr>
        <w:t>ą</w:t>
      </w:r>
      <w:r w:rsidRPr="004F011C">
        <w:rPr>
          <w:rFonts w:eastAsia="Calibri"/>
          <w:lang w:val="lt-LT"/>
        </w:rPr>
        <w:t xml:space="preserve">: </w:t>
      </w:r>
    </w:p>
    <w:p w14:paraId="53045C05" w14:textId="092E7E83" w:rsidR="008905F6" w:rsidRDefault="00846A03" w:rsidP="00832B6F">
      <w:pPr>
        <w:tabs>
          <w:tab w:val="left" w:pos="0"/>
        </w:tabs>
        <w:autoSpaceDE w:val="0"/>
        <w:autoSpaceDN w:val="0"/>
        <w:adjustRightInd w:val="0"/>
        <w:spacing w:line="360" w:lineRule="auto"/>
        <w:ind w:firstLine="709"/>
        <w:jc w:val="both"/>
        <w:rPr>
          <w:rFonts w:eastAsia="Calibri"/>
          <w:szCs w:val="20"/>
          <w:lang w:val="lt-LT"/>
        </w:rPr>
      </w:pPr>
      <w:r w:rsidRPr="004F011C">
        <w:rPr>
          <w:color w:val="000000"/>
          <w:lang w:val="lt-LT"/>
        </w:rPr>
        <w:t>Ar Reglamento (ES) Nr. 650/2012</w:t>
      </w:r>
      <w:r w:rsidRPr="004F011C">
        <w:rPr>
          <w:lang w:val="lt-LT"/>
        </w:rPr>
        <w:t xml:space="preserve"> </w:t>
      </w:r>
      <w:r w:rsidRPr="004F011C">
        <w:rPr>
          <w:color w:val="000000"/>
          <w:lang w:val="lt-LT"/>
        </w:rPr>
        <w:t>1 straipsnio 2 dalies l punktas ir 69 straipsnio 5 dalis turi būti aiškinamos taip, kad pagal jas nėra draudžiamos nekilnojamojo turto buvimo vietos valstybės narės teisės normos, pagal kurias Europos paveldėjimo pažymėjimo pagrindu įregistruoti nuosavybės teises Nekilnojamojo turto registre galima tik tuo atveju, jei Europos paveldėjimo pažymėjime nurodyti visi įregistravimui būtini duomenys.</w:t>
      </w:r>
    </w:p>
    <w:p w14:paraId="57B80F9A" w14:textId="77777777" w:rsidR="00832B6F" w:rsidRPr="00832B6F" w:rsidRDefault="00832B6F" w:rsidP="00832B6F">
      <w:pPr>
        <w:tabs>
          <w:tab w:val="left" w:pos="0"/>
        </w:tabs>
        <w:autoSpaceDE w:val="0"/>
        <w:autoSpaceDN w:val="0"/>
        <w:adjustRightInd w:val="0"/>
        <w:spacing w:line="360" w:lineRule="auto"/>
        <w:ind w:firstLine="709"/>
        <w:jc w:val="both"/>
        <w:rPr>
          <w:rFonts w:eastAsia="Calibri"/>
          <w:szCs w:val="20"/>
          <w:lang w:val="lt-LT"/>
        </w:rPr>
      </w:pPr>
    </w:p>
    <w:p w14:paraId="694AFF49" w14:textId="77777777" w:rsidR="00B24873" w:rsidRPr="004F011C" w:rsidRDefault="00B24873" w:rsidP="00832B6F">
      <w:pPr>
        <w:tabs>
          <w:tab w:val="left" w:pos="0"/>
        </w:tabs>
        <w:autoSpaceDE w:val="0"/>
        <w:autoSpaceDN w:val="0"/>
        <w:adjustRightInd w:val="0"/>
        <w:spacing w:before="120" w:after="360"/>
        <w:rPr>
          <w:rFonts w:eastAsia="SimSun"/>
          <w:b/>
          <w:lang w:val="lt-LT" w:eastAsia="zh-CN"/>
        </w:rPr>
      </w:pPr>
      <w:r w:rsidRPr="004F011C">
        <w:rPr>
          <w:rFonts w:eastAsia="SimSun"/>
          <w:b/>
          <w:lang w:val="lt-LT" w:eastAsia="zh-CN"/>
        </w:rPr>
        <w:t>Pagrindinėje byloje nustatytos faktinės aplinkybės</w:t>
      </w:r>
    </w:p>
    <w:p w14:paraId="6B0247B0" w14:textId="05A91379" w:rsidR="00846A03" w:rsidRPr="004F011C" w:rsidRDefault="00744800" w:rsidP="00370B04">
      <w:pPr>
        <w:tabs>
          <w:tab w:val="left" w:pos="0"/>
        </w:tabs>
        <w:autoSpaceDE w:val="0"/>
        <w:autoSpaceDN w:val="0"/>
        <w:adjustRightInd w:val="0"/>
        <w:spacing w:line="360" w:lineRule="auto"/>
        <w:ind w:firstLine="709"/>
        <w:jc w:val="both"/>
        <w:rPr>
          <w:lang w:val="lt-LT"/>
        </w:rPr>
      </w:pPr>
      <w:r w:rsidRPr="004F011C">
        <w:rPr>
          <w:rFonts w:eastAsia="Calibri"/>
          <w:lang w:val="lt-LT"/>
        </w:rPr>
        <w:t xml:space="preserve">Pagrindinėje byloje nagrinėjamas ginčas </w:t>
      </w:r>
      <w:r w:rsidRPr="004F011C">
        <w:rPr>
          <w:rFonts w:eastAsia="TimesNewRomanPSMT"/>
          <w:color w:val="000000" w:themeColor="text1"/>
          <w:lang w:val="lt-LT"/>
        </w:rPr>
        <w:t>tarp pareiškėjo</w:t>
      </w:r>
      <w:r w:rsidR="00846A03" w:rsidRPr="004F011C">
        <w:rPr>
          <w:rFonts w:eastAsia="TimesNewRomanPSMT"/>
          <w:color w:val="000000" w:themeColor="text1"/>
          <w:lang w:val="lt-LT"/>
        </w:rPr>
        <w:t xml:space="preserve"> </w:t>
      </w:r>
      <w:r w:rsidR="00846A03" w:rsidRPr="004F011C">
        <w:rPr>
          <w:lang w:val="lt-LT"/>
        </w:rPr>
        <w:t>R. J. R. (toliau – pareiškėjas) ir atsakovo valstybės įmonės Registrų centro (toliau –</w:t>
      </w:r>
      <w:r w:rsidR="000358C1" w:rsidRPr="004F011C">
        <w:rPr>
          <w:lang w:val="lt-LT"/>
        </w:rPr>
        <w:t xml:space="preserve"> Registrų centras</w:t>
      </w:r>
      <w:r w:rsidR="00846A03" w:rsidRPr="004F011C">
        <w:rPr>
          <w:lang w:val="lt-LT"/>
        </w:rPr>
        <w:t xml:space="preserve">) </w:t>
      </w:r>
      <w:r w:rsidR="000358C1" w:rsidRPr="004F011C">
        <w:rPr>
          <w:lang w:val="lt-LT"/>
        </w:rPr>
        <w:t xml:space="preserve">kilo </w:t>
      </w:r>
      <w:r w:rsidR="00846A03" w:rsidRPr="004F011C">
        <w:rPr>
          <w:lang w:val="lt-LT"/>
        </w:rPr>
        <w:t xml:space="preserve">dėl: 1) VĮ Registrų centro Turto registrų tvarkymo tarnybos Nekilnojamojo turto registro departamento Tauragės skyriaus 2019 m. kovo 20 d. sprendimo Nr. SPR4-340, kuriuo atsisakyta Nekilnojamojo turto registre įregistruoti pareiškėjo nuosavybės teises į nekilnojamąjį turtą </w:t>
      </w:r>
      <w:r w:rsidR="00370B04">
        <w:rPr>
          <w:lang w:val="lt-LT"/>
        </w:rPr>
        <w:t>–</w:t>
      </w:r>
      <w:r w:rsidR="00846A03" w:rsidRPr="004F011C">
        <w:rPr>
          <w:lang w:val="lt-LT"/>
        </w:rPr>
        <w:t xml:space="preserve"> žemės sklypą; 2) VĮ Registrų centro Centrinio registratoriaus ginčų nagrinėjimo komisijos</w:t>
      </w:r>
      <w:r w:rsidR="000358C1" w:rsidRPr="004F011C">
        <w:rPr>
          <w:lang w:val="lt-LT"/>
        </w:rPr>
        <w:t xml:space="preserve"> </w:t>
      </w:r>
      <w:r w:rsidR="00846A03" w:rsidRPr="004F011C">
        <w:rPr>
          <w:lang w:val="lt-LT"/>
        </w:rPr>
        <w:t>2019 m. gegužės 9 d. sprendimo Nr. CSPR-147 „Dėl teritorinio registratoriaus sprendimo“, kuriuo Skyriaus sprendimas, dėl kurio pareiškėjas pateikė skundą Komisijai, paliktas galioti.</w:t>
      </w:r>
    </w:p>
    <w:p w14:paraId="63D81E50" w14:textId="77777777" w:rsidR="000358C1" w:rsidRPr="004F011C" w:rsidRDefault="000358C1" w:rsidP="000358C1">
      <w:pPr>
        <w:tabs>
          <w:tab w:val="left" w:pos="0"/>
        </w:tabs>
        <w:autoSpaceDE w:val="0"/>
        <w:autoSpaceDN w:val="0"/>
        <w:adjustRightInd w:val="0"/>
        <w:spacing w:line="360" w:lineRule="auto"/>
        <w:ind w:firstLine="709"/>
        <w:jc w:val="both"/>
        <w:rPr>
          <w:lang w:val="lt-LT"/>
        </w:rPr>
      </w:pPr>
      <w:r w:rsidRPr="004F011C">
        <w:rPr>
          <w:rFonts w:eastAsia="TimesNewRomanPSMT"/>
          <w:lang w:val="lt-LT"/>
        </w:rPr>
        <w:t>Byloje nustatyta, kad</w:t>
      </w:r>
      <w:r w:rsidRPr="004F011C">
        <w:rPr>
          <w:lang w:val="lt-LT"/>
        </w:rPr>
        <w:t xml:space="preserve"> 2015 m. gruodžio 6 d. mirė pareiškėjo, turinčio Vokietijos ir Lietuvos pilietybes, motina (toliau – palikėja). Palikėjos įprastinė gyvenamoji vieta mirties dieną buvo Vokietijoje. Pareiškėjas taip pat gyvena Vokietijoje. Būdamas vieninteliu palikėjos paveldėtoju, </w:t>
      </w:r>
      <w:r w:rsidRPr="004F011C">
        <w:rPr>
          <w:lang w:val="lt-LT"/>
        </w:rPr>
        <w:lastRenderedPageBreak/>
        <w:t xml:space="preserve">pareiškėjas, laikydamasis Vokietijos teisės aktuose numatytos procedūros ir terminų, be jokių išlygų priėmė visą palikėjos palikimą Vokietijoje. </w:t>
      </w:r>
    </w:p>
    <w:p w14:paraId="6E78D23B" w14:textId="66DCCDBD" w:rsidR="000358C1" w:rsidRPr="004F011C" w:rsidRDefault="000358C1" w:rsidP="000358C1">
      <w:pPr>
        <w:tabs>
          <w:tab w:val="left" w:pos="0"/>
        </w:tabs>
        <w:autoSpaceDE w:val="0"/>
        <w:autoSpaceDN w:val="0"/>
        <w:adjustRightInd w:val="0"/>
        <w:spacing w:line="360" w:lineRule="auto"/>
        <w:ind w:firstLine="709"/>
        <w:jc w:val="both"/>
        <w:rPr>
          <w:lang w:val="lt-LT"/>
        </w:rPr>
      </w:pPr>
      <w:r w:rsidRPr="004F011C">
        <w:rPr>
          <w:lang w:val="lt-LT"/>
        </w:rPr>
        <w:t xml:space="preserve">Atsižvelgdamas į tai, jog palikimą sudarė ne tik Vokietijoje, bet ir Lietuvoje esantis ir palikėjai nuosavybės teise priklausęs turtas, pareiškėjas kreipėsi į kompetentingą teismą Vokietijoje, kad jam, remiantis Reglamentu 650/2012, būtų išduotas Europos paveldėjimo pažymėjimas. 2018 m. rugsėjo 24 d. Vokietijos teismas išdavė </w:t>
      </w:r>
      <w:r w:rsidRPr="007B39A5">
        <w:rPr>
          <w:lang w:val="lt-LT"/>
        </w:rPr>
        <w:t xml:space="preserve">pareiškėjui </w:t>
      </w:r>
      <w:r w:rsidR="007B39A5" w:rsidRPr="007B39A5">
        <w:rPr>
          <w:lang w:val="lt-LT"/>
        </w:rPr>
        <w:t xml:space="preserve">paveldėjimo teisės liudijimą, kuriame nurodyta, kad </w:t>
      </w:r>
      <w:r w:rsidR="001C4A2E">
        <w:rPr>
          <w:lang w:val="lt-LT"/>
        </w:rPr>
        <w:t xml:space="preserve">palikėjo tėvas </w:t>
      </w:r>
      <w:r w:rsidR="007B39A5" w:rsidRPr="007B39A5">
        <w:rPr>
          <w:lang w:val="lt-LT"/>
        </w:rPr>
        <w:t xml:space="preserve">G. R., miręs 2014 m. gegužės 10 d., paliko palikimą palikėjai,  kuri yra vienintelė įpėdinė, </w:t>
      </w:r>
      <w:r w:rsidRPr="007B39A5">
        <w:rPr>
          <w:lang w:val="lt-LT"/>
        </w:rPr>
        <w:t>ir Europos paveldėjimo pažymėjimą, kuriame nurodyta</w:t>
      </w:r>
      <w:r w:rsidRPr="004F011C">
        <w:rPr>
          <w:lang w:val="lt-LT"/>
        </w:rPr>
        <w:t xml:space="preserve">, kad palikėja paliko palikimą pareiškėjui, kuris yra vienintelis įpėdinis ir kuris priėmė palikimą be sąlygų. </w:t>
      </w:r>
    </w:p>
    <w:p w14:paraId="28AE0344" w14:textId="2D4BF20A" w:rsidR="000358C1" w:rsidRPr="004F011C" w:rsidRDefault="000358C1" w:rsidP="000358C1">
      <w:pPr>
        <w:tabs>
          <w:tab w:val="left" w:pos="0"/>
        </w:tabs>
        <w:autoSpaceDE w:val="0"/>
        <w:autoSpaceDN w:val="0"/>
        <w:adjustRightInd w:val="0"/>
        <w:spacing w:line="360" w:lineRule="auto"/>
        <w:ind w:firstLine="709"/>
        <w:jc w:val="both"/>
        <w:rPr>
          <w:lang w:val="lt-LT"/>
        </w:rPr>
      </w:pPr>
      <w:r w:rsidRPr="004F011C">
        <w:rPr>
          <w:lang w:val="lt-LT"/>
        </w:rPr>
        <w:t>Siekdamas įregistruoti nuosavybės teises į</w:t>
      </w:r>
      <w:r w:rsidR="001C4A2E">
        <w:rPr>
          <w:lang w:val="lt-LT"/>
        </w:rPr>
        <w:t xml:space="preserve"> G. R.</w:t>
      </w:r>
      <w:r w:rsidRPr="004F011C">
        <w:rPr>
          <w:lang w:val="lt-LT"/>
        </w:rPr>
        <w:t xml:space="preserve"> priklausiusius nekilnojamuosius daiktus Lietuvoje, pareiškėjas 2019 m. kovo 15 d. pateikė prašymą Registrų centrui dėl nuosavybės teisių į </w:t>
      </w:r>
      <w:r w:rsidR="001C4A2E">
        <w:rPr>
          <w:lang w:val="lt-LT"/>
        </w:rPr>
        <w:t>G. R.</w:t>
      </w:r>
      <w:r w:rsidRPr="004F011C">
        <w:rPr>
          <w:lang w:val="lt-LT"/>
        </w:rPr>
        <w:t xml:space="preserve"> vardu registruoto nekilnojamojo turto įregistravimo. Kartu su prašymu pareiškėjas pateikė Vokietijos teismo 2018 m. rugsėjo 24 d. išduotus paveldėjimo teisės liudijimą ir Europos paveldėjimo pažymėjimą. </w:t>
      </w:r>
    </w:p>
    <w:p w14:paraId="7F052129" w14:textId="7D9247EE" w:rsidR="00A1767F" w:rsidRPr="004F011C" w:rsidRDefault="000358C1" w:rsidP="00A1767F">
      <w:pPr>
        <w:tabs>
          <w:tab w:val="left" w:pos="0"/>
        </w:tabs>
        <w:autoSpaceDE w:val="0"/>
        <w:autoSpaceDN w:val="0"/>
        <w:adjustRightInd w:val="0"/>
        <w:spacing w:line="360" w:lineRule="auto"/>
        <w:ind w:firstLine="709"/>
        <w:jc w:val="both"/>
        <w:rPr>
          <w:rFonts w:eastAsia="TimesNewRomanPSMT"/>
          <w:lang w:val="lt-LT"/>
        </w:rPr>
      </w:pPr>
      <w:r w:rsidRPr="004F011C">
        <w:rPr>
          <w:lang w:val="lt-LT"/>
        </w:rPr>
        <w:t xml:space="preserve">2019 m. kovo 20 d. Registrų centro skyriaus sprendimu pareiškėjo prašymas buvo atmestas nurodant, kad prie prašymo pateiktame Europos paveldėjimo pažymėjime nėra Lietuvos Respublikos nekilnojamojo turto registro įstatyme numatytų duomenų, būtinų nekilnojamajam daiktui identifikuoti, t. y. Europos paveldėjimo pažymėjime nėra išvardintas pareiškėjo paveldėtas turtas. </w:t>
      </w:r>
      <w:r w:rsidR="00A1767F" w:rsidRPr="004F011C">
        <w:rPr>
          <w:lang w:val="lt-LT"/>
        </w:rPr>
        <w:t xml:space="preserve">Pareiškėjas skyriaus sprendimą apskundė Registrų centro Centrinio registratoriaus ginčų nagrinėjimo komisijai, kuri 2019 m. gegužės 9 d. sprendimu paliko galioti skyriaus sprendimą nepakeistą. Nesutikdamas su nurodytu sprendimu, pareiškėjas su skundu kreipėsi į Regionų apygardos administracinį teismą, kuris 2019 m. gruodžio 30 d. sprendimu pareiškėjo skundą atmetė kaip nepagrįstą. </w:t>
      </w:r>
      <w:r w:rsidR="00E47C64" w:rsidRPr="004F011C">
        <w:rPr>
          <w:rFonts w:eastAsia="TimesNewRomanPSMT"/>
          <w:lang w:val="lt-LT"/>
        </w:rPr>
        <w:t xml:space="preserve">Apeliaciniu skundu </w:t>
      </w:r>
      <w:r w:rsidR="00370B04">
        <w:rPr>
          <w:rFonts w:eastAsia="TimesNewRomanPSMT"/>
          <w:lang w:val="lt-LT"/>
        </w:rPr>
        <w:t xml:space="preserve">pateiktu </w:t>
      </w:r>
      <w:r w:rsidR="00370B04" w:rsidRPr="004F011C">
        <w:rPr>
          <w:rFonts w:eastAsia="TimesNewRomanPSMT"/>
          <w:lang w:val="lt-LT"/>
        </w:rPr>
        <w:t xml:space="preserve">LVAT </w:t>
      </w:r>
      <w:r w:rsidR="00E47C64" w:rsidRPr="004F011C">
        <w:rPr>
          <w:rFonts w:eastAsia="TimesNewRomanPSMT"/>
          <w:lang w:val="lt-LT"/>
        </w:rPr>
        <w:t>parei</w:t>
      </w:r>
      <w:r w:rsidR="002A3DB0" w:rsidRPr="004F011C">
        <w:rPr>
          <w:rFonts w:eastAsia="TimesNewRomanPSMT"/>
          <w:lang w:val="lt-LT"/>
        </w:rPr>
        <w:t>š</w:t>
      </w:r>
      <w:r w:rsidR="00E47C64" w:rsidRPr="004F011C">
        <w:rPr>
          <w:rFonts w:eastAsia="TimesNewRomanPSMT"/>
          <w:lang w:val="lt-LT"/>
        </w:rPr>
        <w:t>k</w:t>
      </w:r>
      <w:r w:rsidR="002A3DB0" w:rsidRPr="004F011C">
        <w:rPr>
          <w:rFonts w:eastAsia="TimesNewRomanPSMT"/>
          <w:lang w:val="lt-LT"/>
        </w:rPr>
        <w:t>ė</w:t>
      </w:r>
      <w:r w:rsidR="00E47C64" w:rsidRPr="004F011C">
        <w:rPr>
          <w:rFonts w:eastAsia="TimesNewRomanPSMT"/>
          <w:lang w:val="lt-LT"/>
        </w:rPr>
        <w:t xml:space="preserve">jas </w:t>
      </w:r>
      <w:r w:rsidR="00A1767F" w:rsidRPr="004F011C">
        <w:rPr>
          <w:i/>
          <w:iCs/>
          <w:lang w:val="lt-LT"/>
        </w:rPr>
        <w:t>inter alia</w:t>
      </w:r>
      <w:r w:rsidR="00A1767F" w:rsidRPr="004F011C">
        <w:rPr>
          <w:lang w:val="lt-LT"/>
        </w:rPr>
        <w:t xml:space="preserve"> praš</w:t>
      </w:r>
      <w:r w:rsidR="00370B04">
        <w:rPr>
          <w:lang w:val="lt-LT"/>
        </w:rPr>
        <w:t>o</w:t>
      </w:r>
      <w:r w:rsidR="00A1767F" w:rsidRPr="004F011C">
        <w:rPr>
          <w:lang w:val="lt-LT"/>
        </w:rPr>
        <w:t xml:space="preserve"> kreiptis į Europos Sąjungos Teisingumo Teismą dėl Reglamento 650/2012 nuostatų išaiškinimo.</w:t>
      </w:r>
    </w:p>
    <w:p w14:paraId="5B290843" w14:textId="77777777" w:rsidR="00B24873" w:rsidRPr="00832B6F" w:rsidRDefault="00B24873" w:rsidP="00263A64">
      <w:pPr>
        <w:tabs>
          <w:tab w:val="left" w:pos="0"/>
        </w:tabs>
        <w:autoSpaceDE w:val="0"/>
        <w:autoSpaceDN w:val="0"/>
        <w:adjustRightInd w:val="0"/>
        <w:spacing w:line="360" w:lineRule="auto"/>
        <w:jc w:val="both"/>
        <w:rPr>
          <w:rFonts w:eastAsia="TimesNewRomanPSMT"/>
          <w:color w:val="000000" w:themeColor="text1"/>
          <w:sz w:val="10"/>
          <w:szCs w:val="10"/>
          <w:lang w:val="lt-LT"/>
        </w:rPr>
      </w:pPr>
    </w:p>
    <w:p w14:paraId="502EE581" w14:textId="77777777" w:rsidR="00B24873" w:rsidRPr="004F011C" w:rsidRDefault="00B24873" w:rsidP="00832B6F">
      <w:pPr>
        <w:tabs>
          <w:tab w:val="left" w:pos="0"/>
        </w:tabs>
        <w:autoSpaceDE w:val="0"/>
        <w:autoSpaceDN w:val="0"/>
        <w:adjustRightInd w:val="0"/>
        <w:spacing w:before="120" w:after="240" w:line="360" w:lineRule="auto"/>
        <w:jc w:val="both"/>
        <w:rPr>
          <w:b/>
          <w:lang w:val="lt-LT"/>
        </w:rPr>
      </w:pPr>
      <w:r w:rsidRPr="004F011C">
        <w:rPr>
          <w:b/>
          <w:lang w:val="lt-LT"/>
        </w:rPr>
        <w:t>Bylos reikšmė Lietuvai ir pagrindiniai motyvai, dėl kurių teikiama Lietuvos Respublikos pozicija</w:t>
      </w:r>
    </w:p>
    <w:p w14:paraId="322766AC" w14:textId="77777777" w:rsidR="00B24873" w:rsidRPr="004F011C" w:rsidRDefault="00B24873" w:rsidP="00B24873">
      <w:pPr>
        <w:tabs>
          <w:tab w:val="left" w:pos="0"/>
        </w:tabs>
        <w:spacing w:line="360" w:lineRule="auto"/>
        <w:ind w:firstLine="709"/>
        <w:jc w:val="both"/>
        <w:rPr>
          <w:rFonts w:eastAsia="Calibri"/>
          <w:lang w:val="lt-LT"/>
        </w:rPr>
      </w:pPr>
      <w:r w:rsidRPr="004F011C">
        <w:rPr>
          <w:rFonts w:eastAsia="Calibri"/>
          <w:lang w:val="lt-LT"/>
        </w:rPr>
        <w:t>Pirma, vadovaujantis 2004 m. sausio 9 d. Lietuvos Respublikos Vyriausybės nutarimu Nr.</w:t>
      </w:r>
      <w:r w:rsidR="00263A64" w:rsidRPr="004F011C">
        <w:rPr>
          <w:rFonts w:eastAsia="Calibri"/>
          <w:lang w:val="lt-LT"/>
        </w:rPr>
        <w:t> </w:t>
      </w:r>
      <w:r w:rsidRPr="004F011C">
        <w:rPr>
          <w:rFonts w:eastAsia="Calibri"/>
          <w:lang w:val="lt-LT"/>
        </w:rPr>
        <w:t xml:space="preserve">21 patvirtintų Europos Sąjungos reikalų koordinavimo taisyklių (2018 m. gruodžio 27 d. nutarimo Nr. 1375 redakcija) 119.2 punktu, Lietuvos Respublikos pozicija privalo būti rengiama, kai Lietuvos Respublikos teismas kreipiasi į Europos teisminę instituciją dėl prejudicinio sprendimo Europos Sąjungos teisės aiškinimo ir taikymo klausimais, kaip yra šiuo atveju. </w:t>
      </w:r>
    </w:p>
    <w:p w14:paraId="2C9AA209" w14:textId="02281567" w:rsidR="00263A64" w:rsidRPr="004F011C" w:rsidRDefault="00B24873" w:rsidP="00EF5292">
      <w:pPr>
        <w:tabs>
          <w:tab w:val="left" w:pos="0"/>
        </w:tabs>
        <w:spacing w:before="40" w:after="40" w:line="360" w:lineRule="auto"/>
        <w:ind w:firstLine="709"/>
        <w:jc w:val="both"/>
        <w:rPr>
          <w:bCs/>
          <w:iCs/>
          <w:lang w:val="lt-LT"/>
        </w:rPr>
      </w:pPr>
      <w:r w:rsidRPr="004F011C">
        <w:rPr>
          <w:lang w:val="lt-LT"/>
        </w:rPr>
        <w:lastRenderedPageBreak/>
        <w:t xml:space="preserve">Antra, prognozuojamo sprendimo šioje byloje poveikis Lietuvos Respublikos interesams įvertintas pagal 2016 m. gegužės 10 d. Lietuvos Respublikos Vyriausybės Europos Sąjungos komisijos protokoliniu sprendimu Nr. 239 patvirtintą Pavyzdinį Europos Sąjungos Teisingumo Teisme svarstomų bylų svarbos Lietuvai nustatymo kriterijų ir Lietuvos Respublikos pozicijos formulavimo gairių sąrašą (toliau – Sąrašas). Nustatyta, kad dalyvauti ir teikti poziciją šioje byloje tikslinga, kadangi būsimas sprendimas </w:t>
      </w:r>
      <w:r w:rsidRPr="004F011C">
        <w:rPr>
          <w:bCs/>
          <w:iCs/>
          <w:lang w:val="lt-LT"/>
        </w:rPr>
        <w:t xml:space="preserve">Teisingumo Teismo nagrinėjamoje byloje </w:t>
      </w:r>
      <w:r w:rsidR="00A1767F" w:rsidRPr="004F011C">
        <w:rPr>
          <w:i/>
          <w:iCs/>
          <w:lang w:val="lt-LT"/>
        </w:rPr>
        <w:t xml:space="preserve">gali turėti įtakos Lietuvos Respublikos įstatymuose ir kituose teisės aktuose įtvirtintam reguliavimui </w:t>
      </w:r>
      <w:r w:rsidR="00A1767F" w:rsidRPr="004F011C">
        <w:rPr>
          <w:lang w:val="lt-LT"/>
        </w:rPr>
        <w:t>(Sąrašo</w:t>
      </w:r>
      <w:r w:rsidR="00980467" w:rsidRPr="004F011C">
        <w:rPr>
          <w:lang w:val="lt-LT"/>
        </w:rPr>
        <w:t xml:space="preserve"> </w:t>
      </w:r>
      <w:r w:rsidR="00A1767F" w:rsidRPr="004F011C">
        <w:rPr>
          <w:lang w:val="lt-LT"/>
        </w:rPr>
        <w:t>3</w:t>
      </w:r>
      <w:r w:rsidR="00980467" w:rsidRPr="004F011C">
        <w:rPr>
          <w:lang w:val="lt-LT"/>
        </w:rPr>
        <w:t> </w:t>
      </w:r>
      <w:r w:rsidR="00A1767F" w:rsidRPr="004F011C">
        <w:rPr>
          <w:lang w:val="lt-LT"/>
        </w:rPr>
        <w:t>punktas)</w:t>
      </w:r>
      <w:r w:rsidR="00980467" w:rsidRPr="004F011C">
        <w:rPr>
          <w:lang w:val="lt-LT"/>
        </w:rPr>
        <w:t>,</w:t>
      </w:r>
      <w:r w:rsidR="00980467" w:rsidRPr="004F011C">
        <w:rPr>
          <w:bCs/>
          <w:iCs/>
          <w:lang w:val="lt-LT"/>
        </w:rPr>
        <w:t xml:space="preserve"> </w:t>
      </w:r>
      <w:r w:rsidR="00980467" w:rsidRPr="004F011C">
        <w:rPr>
          <w:bCs/>
          <w:i/>
          <w:color w:val="000000" w:themeColor="text1"/>
          <w:lang w:val="lt-LT"/>
        </w:rPr>
        <w:t>gali turėti poveikį</w:t>
      </w:r>
      <w:r w:rsidR="00980467" w:rsidRPr="004F011C">
        <w:rPr>
          <w:bCs/>
          <w:iCs/>
          <w:color w:val="000000" w:themeColor="text1"/>
          <w:lang w:val="lt-LT"/>
        </w:rPr>
        <w:t xml:space="preserve"> </w:t>
      </w:r>
      <w:r w:rsidR="00980467" w:rsidRPr="004F011C">
        <w:rPr>
          <w:bCs/>
          <w:i/>
          <w:color w:val="000000" w:themeColor="text1"/>
          <w:lang w:val="lt-LT"/>
        </w:rPr>
        <w:t xml:space="preserve">Lietuvos institucijų ir įstaigų nusistovėjusiai </w:t>
      </w:r>
      <w:r w:rsidR="00980467" w:rsidRPr="004F011C">
        <w:rPr>
          <w:i/>
          <w:iCs/>
          <w:color w:val="000000" w:themeColor="text1"/>
          <w:lang w:val="lt-LT"/>
        </w:rPr>
        <w:t>tiesiogiai taikomų ES teisės aktų ar</w:t>
      </w:r>
      <w:r w:rsidR="00980467" w:rsidRPr="004F011C">
        <w:rPr>
          <w:color w:val="000000" w:themeColor="text1"/>
          <w:lang w:val="lt-LT"/>
        </w:rPr>
        <w:t xml:space="preserve"> </w:t>
      </w:r>
      <w:r w:rsidR="00980467" w:rsidRPr="004F011C">
        <w:rPr>
          <w:bCs/>
          <w:i/>
          <w:color w:val="000000" w:themeColor="text1"/>
          <w:lang w:val="lt-LT"/>
        </w:rPr>
        <w:t>ES teisės aktus įgyvendinančių nacionalinės teisės aktų taikymo</w:t>
      </w:r>
      <w:r w:rsidR="00980467" w:rsidRPr="004F011C">
        <w:rPr>
          <w:bCs/>
          <w:iCs/>
          <w:color w:val="000000" w:themeColor="text1"/>
          <w:lang w:val="lt-LT"/>
        </w:rPr>
        <w:t xml:space="preserve"> </w:t>
      </w:r>
      <w:r w:rsidR="00980467" w:rsidRPr="004F011C">
        <w:rPr>
          <w:bCs/>
          <w:i/>
          <w:color w:val="000000" w:themeColor="text1"/>
          <w:lang w:val="lt-LT"/>
        </w:rPr>
        <w:t>(viešojo administravimo) praktikai (sprendimams)</w:t>
      </w:r>
      <w:r w:rsidR="00980467" w:rsidRPr="004F011C">
        <w:rPr>
          <w:bCs/>
          <w:iCs/>
          <w:color w:val="000000" w:themeColor="text1"/>
          <w:lang w:val="lt-LT"/>
        </w:rPr>
        <w:t xml:space="preserve"> (Sąrašo 9 punktas), </w:t>
      </w:r>
      <w:r w:rsidRPr="004F011C">
        <w:rPr>
          <w:i/>
          <w:iCs/>
          <w:lang w:val="lt-LT"/>
        </w:rPr>
        <w:t>gali išaiškinti</w:t>
      </w:r>
      <w:r w:rsidRPr="004F011C">
        <w:rPr>
          <w:lang w:val="lt-LT"/>
        </w:rPr>
        <w:t xml:space="preserve"> </w:t>
      </w:r>
      <w:r w:rsidRPr="004F011C">
        <w:rPr>
          <w:i/>
          <w:iCs/>
          <w:lang w:val="lt-LT"/>
        </w:rPr>
        <w:t>ES teisės akto nuostatas, Lietuvos institucijoms ir įstaigoms keliančias praktinių ir teisinių taikymo problemų, neaiškum</w:t>
      </w:r>
      <w:r w:rsidR="00D07AA5" w:rsidRPr="004F011C">
        <w:rPr>
          <w:i/>
          <w:iCs/>
          <w:lang w:val="lt-LT"/>
        </w:rPr>
        <w:t>ų</w:t>
      </w:r>
      <w:r w:rsidRPr="004F011C">
        <w:rPr>
          <w:i/>
          <w:iCs/>
          <w:lang w:val="lt-LT"/>
        </w:rPr>
        <w:t xml:space="preserve"> </w:t>
      </w:r>
      <w:r w:rsidRPr="004F011C">
        <w:rPr>
          <w:lang w:val="lt-LT"/>
        </w:rPr>
        <w:t>(Sąrašo 10 punktas</w:t>
      </w:r>
      <w:r w:rsidRPr="004F011C">
        <w:rPr>
          <w:bCs/>
          <w:iCs/>
          <w:lang w:val="lt-LT"/>
        </w:rPr>
        <w:t xml:space="preserve">). </w:t>
      </w:r>
      <w:r w:rsidR="00EF5292" w:rsidRPr="004F011C">
        <w:rPr>
          <w:bCs/>
          <w:iCs/>
          <w:lang w:val="lt-LT"/>
        </w:rPr>
        <w:t xml:space="preserve">Pažymėtina, kad praktikoje neretai susiduriama su panašiomis situacijomis, kuriose kyla klausimai, susiję su </w:t>
      </w:r>
      <w:r w:rsidR="00EF5292" w:rsidRPr="004F011C">
        <w:rPr>
          <w:lang w:val="lt-LT"/>
        </w:rPr>
        <w:t xml:space="preserve">Reglamento 650/2012 </w:t>
      </w:r>
      <w:r w:rsidR="00EF5292" w:rsidRPr="004F011C">
        <w:rPr>
          <w:rFonts w:eastAsia="TimesNewRomanPSMT"/>
          <w:lang w:val="lt-LT"/>
        </w:rPr>
        <w:t xml:space="preserve">nuostatų dėl </w:t>
      </w:r>
      <w:r w:rsidR="00EF5292" w:rsidRPr="004F011C">
        <w:rPr>
          <w:color w:val="000000" w:themeColor="text1"/>
          <w:shd w:val="clear" w:color="auto" w:fill="FFFFFF"/>
          <w:lang w:val="lt-LT"/>
        </w:rPr>
        <w:t xml:space="preserve">Europos paveldėjimo pažymėjimo </w:t>
      </w:r>
      <w:r w:rsidR="00EF5292" w:rsidRPr="004F011C">
        <w:rPr>
          <w:rFonts w:eastAsia="TimesNewRomanPSMT"/>
          <w:lang w:val="lt-LT"/>
        </w:rPr>
        <w:t>aiškinimu ir taikymu</w:t>
      </w:r>
      <w:r w:rsidR="00EF5292" w:rsidRPr="004F011C">
        <w:rPr>
          <w:bCs/>
          <w:iCs/>
          <w:lang w:val="lt-LT"/>
        </w:rPr>
        <w:t>.</w:t>
      </w:r>
    </w:p>
    <w:p w14:paraId="43470D09" w14:textId="61B87488" w:rsidR="00B24873" w:rsidRPr="004F011C" w:rsidRDefault="00B24873" w:rsidP="00EF5292">
      <w:pPr>
        <w:tabs>
          <w:tab w:val="left" w:pos="0"/>
        </w:tabs>
        <w:spacing w:before="40" w:after="40" w:line="360" w:lineRule="auto"/>
        <w:ind w:firstLine="709"/>
        <w:jc w:val="both"/>
        <w:rPr>
          <w:rFonts w:eastAsia="Calibri"/>
          <w:lang w:val="lt-LT"/>
        </w:rPr>
      </w:pPr>
      <w:r w:rsidRPr="004F011C">
        <w:rPr>
          <w:rFonts w:eastAsia="Calibri"/>
          <w:lang w:val="lt-LT"/>
        </w:rPr>
        <w:t xml:space="preserve">Teisingumo Teismui sprendimu byloje </w:t>
      </w:r>
      <w:r w:rsidR="00980467" w:rsidRPr="004F011C">
        <w:rPr>
          <w:rFonts w:eastAsia="Calibri"/>
          <w:i/>
          <w:iCs/>
          <w:lang w:val="lt-LT"/>
        </w:rPr>
        <w:t xml:space="preserve">Registrų centras, </w:t>
      </w:r>
      <w:r w:rsidR="00980467" w:rsidRPr="004F011C">
        <w:rPr>
          <w:caps/>
          <w:spacing w:val="-6"/>
          <w:lang w:val="lt-LT"/>
        </w:rPr>
        <w:t>C−354/21</w:t>
      </w:r>
      <w:r w:rsidRPr="004F011C">
        <w:rPr>
          <w:caps/>
          <w:spacing w:val="-6"/>
          <w:lang w:val="lt-LT"/>
        </w:rPr>
        <w:t xml:space="preserve">, </w:t>
      </w:r>
      <w:r w:rsidRPr="004F011C">
        <w:rPr>
          <w:rFonts w:eastAsia="Calibri"/>
          <w:lang w:val="lt-LT"/>
        </w:rPr>
        <w:t xml:space="preserve">pateikus </w:t>
      </w:r>
      <w:r w:rsidR="00980467" w:rsidRPr="004F011C">
        <w:rPr>
          <w:lang w:val="lt-LT"/>
        </w:rPr>
        <w:t>Reglamento</w:t>
      </w:r>
      <w:r w:rsidR="00EF5292" w:rsidRPr="004F011C">
        <w:rPr>
          <w:lang w:val="lt-LT"/>
        </w:rPr>
        <w:t> </w:t>
      </w:r>
      <w:r w:rsidR="00980467" w:rsidRPr="004F011C">
        <w:rPr>
          <w:lang w:val="lt-LT"/>
        </w:rPr>
        <w:t xml:space="preserve">650/2012 </w:t>
      </w:r>
      <w:r w:rsidRPr="004F011C">
        <w:rPr>
          <w:rFonts w:eastAsia="Calibri"/>
          <w:lang w:val="lt-LT"/>
        </w:rPr>
        <w:t xml:space="preserve">nuostatų išaiškinimus bus užtikrintas didesnis teisinis aiškumas ir veiksmingesnis </w:t>
      </w:r>
      <w:r w:rsidR="00980467" w:rsidRPr="004F011C">
        <w:rPr>
          <w:lang w:val="lt-LT"/>
        </w:rPr>
        <w:t xml:space="preserve">Reglamento 650/2012 </w:t>
      </w:r>
      <w:r w:rsidR="00263A64" w:rsidRPr="004F011C">
        <w:rPr>
          <w:rFonts w:eastAsia="Calibri"/>
          <w:lang w:val="lt-LT"/>
        </w:rPr>
        <w:t>nuostatų, reglamentuojančių</w:t>
      </w:r>
      <w:r w:rsidR="00EF5292" w:rsidRPr="004F011C">
        <w:rPr>
          <w:rFonts w:eastAsia="Calibri"/>
          <w:lang w:val="lt-LT"/>
        </w:rPr>
        <w:t xml:space="preserve"> </w:t>
      </w:r>
      <w:r w:rsidR="00980467" w:rsidRPr="004F011C">
        <w:rPr>
          <w:color w:val="000000" w:themeColor="text1"/>
          <w:shd w:val="clear" w:color="auto" w:fill="FFFFFF"/>
          <w:lang w:val="lt-LT"/>
        </w:rPr>
        <w:t>Europos paveldėjimo pažymėjim</w:t>
      </w:r>
      <w:r w:rsidR="00EF5292" w:rsidRPr="004F011C">
        <w:rPr>
          <w:color w:val="000000" w:themeColor="text1"/>
          <w:shd w:val="clear" w:color="auto" w:fill="FFFFFF"/>
          <w:lang w:val="lt-LT"/>
        </w:rPr>
        <w:t>ą,</w:t>
      </w:r>
      <w:r w:rsidR="00EF5292" w:rsidRPr="004F011C">
        <w:rPr>
          <w:rFonts w:eastAsia="Calibri"/>
          <w:lang w:val="lt-LT"/>
        </w:rPr>
        <w:t xml:space="preserve"> </w:t>
      </w:r>
      <w:r w:rsidRPr="004F011C">
        <w:rPr>
          <w:rFonts w:eastAsia="Calibri"/>
          <w:lang w:val="lt-LT"/>
        </w:rPr>
        <w:t>ir j</w:t>
      </w:r>
      <w:r w:rsidR="00263A64" w:rsidRPr="004F011C">
        <w:rPr>
          <w:rFonts w:eastAsia="Calibri"/>
          <w:lang w:val="lt-LT"/>
        </w:rPr>
        <w:t>a</w:t>
      </w:r>
      <w:r w:rsidRPr="004F011C">
        <w:rPr>
          <w:rFonts w:eastAsia="Calibri"/>
          <w:lang w:val="lt-LT"/>
        </w:rPr>
        <w:t>s įgyvendinančių nacionalinių teisės aktų taikymas.</w:t>
      </w:r>
    </w:p>
    <w:p w14:paraId="17CBDCFA" w14:textId="77777777" w:rsidR="00B24873" w:rsidRPr="00832B6F" w:rsidRDefault="00B24873" w:rsidP="00B24873">
      <w:pPr>
        <w:tabs>
          <w:tab w:val="left" w:pos="0"/>
        </w:tabs>
        <w:spacing w:before="40" w:after="40" w:line="360" w:lineRule="auto"/>
        <w:ind w:firstLine="709"/>
        <w:jc w:val="both"/>
        <w:rPr>
          <w:rFonts w:eastAsia="Calibri"/>
          <w:sz w:val="10"/>
          <w:szCs w:val="10"/>
          <w:lang w:val="lt-LT"/>
        </w:rPr>
      </w:pPr>
    </w:p>
    <w:p w14:paraId="02E919F9" w14:textId="77777777" w:rsidR="00B24873" w:rsidRPr="004F011C" w:rsidRDefault="00B24873" w:rsidP="00832B6F">
      <w:pPr>
        <w:tabs>
          <w:tab w:val="left" w:pos="0"/>
        </w:tabs>
        <w:spacing w:before="120" w:after="360" w:line="360" w:lineRule="auto"/>
        <w:jc w:val="both"/>
        <w:rPr>
          <w:rFonts w:eastAsia="Calibri"/>
          <w:b/>
          <w:lang w:val="lt-LT"/>
        </w:rPr>
      </w:pPr>
      <w:r w:rsidRPr="004F011C">
        <w:rPr>
          <w:rFonts w:eastAsia="Calibri"/>
          <w:b/>
          <w:lang w:val="lt-LT"/>
        </w:rPr>
        <w:t>Lietuvos Respublikos pozicijos derinimas</w:t>
      </w:r>
    </w:p>
    <w:p w14:paraId="43960CF2" w14:textId="1CFBAA9F" w:rsidR="00B24873" w:rsidRPr="004F011C" w:rsidRDefault="00B24873" w:rsidP="00B24873">
      <w:pPr>
        <w:tabs>
          <w:tab w:val="left" w:pos="0"/>
        </w:tabs>
        <w:spacing w:line="360" w:lineRule="auto"/>
        <w:ind w:firstLine="709"/>
        <w:jc w:val="both"/>
        <w:rPr>
          <w:rFonts w:eastAsia="Calibri"/>
          <w:lang w:val="lt-LT" w:eastAsia="x-none"/>
        </w:rPr>
      </w:pPr>
      <w:r w:rsidRPr="004F011C">
        <w:rPr>
          <w:rFonts w:eastAsia="Calibri"/>
          <w:lang w:val="lt-LT" w:eastAsia="x-none"/>
        </w:rPr>
        <w:t>2021 m.</w:t>
      </w:r>
      <w:r w:rsidR="00EF5292" w:rsidRPr="004F011C">
        <w:rPr>
          <w:rFonts w:eastAsia="Calibri"/>
          <w:lang w:val="lt-LT" w:eastAsia="x-none"/>
        </w:rPr>
        <w:t xml:space="preserve"> liepos</w:t>
      </w:r>
      <w:r w:rsidRPr="004F011C">
        <w:rPr>
          <w:rFonts w:eastAsia="Calibri"/>
          <w:lang w:val="lt-LT" w:eastAsia="x-none"/>
        </w:rPr>
        <w:t xml:space="preserve"> </w:t>
      </w:r>
      <w:r w:rsidR="00263A64" w:rsidRPr="004F011C">
        <w:rPr>
          <w:rFonts w:eastAsia="Calibri"/>
          <w:lang w:val="lt-LT" w:eastAsia="x-none"/>
        </w:rPr>
        <w:t>1</w:t>
      </w:r>
      <w:r w:rsidR="00EF5292" w:rsidRPr="004F011C">
        <w:rPr>
          <w:rFonts w:eastAsia="Calibri"/>
          <w:lang w:val="lt-LT" w:eastAsia="x-none"/>
        </w:rPr>
        <w:t>5</w:t>
      </w:r>
      <w:r w:rsidRPr="004F011C">
        <w:rPr>
          <w:rFonts w:eastAsia="Calibri"/>
          <w:lang w:val="lt-LT" w:eastAsia="x-none"/>
        </w:rPr>
        <w:t xml:space="preserve"> d., naudojantis Lietuvos narystės Europos Sąjungoje informacinės sistemos (LINESIS) Europos Sąjungos teismų posisteme, apie šią bylą informuot</w:t>
      </w:r>
      <w:r w:rsidR="00370B04">
        <w:rPr>
          <w:rFonts w:eastAsia="Calibri"/>
          <w:lang w:val="lt-LT" w:eastAsia="x-none"/>
        </w:rPr>
        <w:t>os</w:t>
      </w:r>
      <w:r w:rsidRPr="004F011C">
        <w:rPr>
          <w:rFonts w:eastAsia="Calibri"/>
          <w:lang w:val="lt-LT" w:eastAsia="x-none"/>
        </w:rPr>
        <w:t xml:space="preserve"> </w:t>
      </w:r>
      <w:r w:rsidR="00EF5292" w:rsidRPr="004F011C">
        <w:rPr>
          <w:lang w:val="lt-LT"/>
        </w:rPr>
        <w:t>kompetenting</w:t>
      </w:r>
      <w:r w:rsidR="00370B04">
        <w:rPr>
          <w:lang w:val="lt-LT"/>
        </w:rPr>
        <w:t>os institucijos</w:t>
      </w:r>
      <w:r w:rsidR="00EF5292" w:rsidRPr="004F011C">
        <w:rPr>
          <w:lang w:val="lt-LT"/>
        </w:rPr>
        <w:t>.</w:t>
      </w:r>
      <w:r w:rsidRPr="004F011C">
        <w:rPr>
          <w:color w:val="000000"/>
          <w:lang w:val="lt-LT"/>
        </w:rPr>
        <w:t xml:space="preserve"> </w:t>
      </w:r>
    </w:p>
    <w:p w14:paraId="6E7B6F30" w14:textId="1193EAF7" w:rsidR="00B24873" w:rsidRDefault="00B24873" w:rsidP="00D07AA5">
      <w:pPr>
        <w:tabs>
          <w:tab w:val="left" w:pos="0"/>
        </w:tabs>
        <w:spacing w:line="360" w:lineRule="auto"/>
        <w:ind w:firstLine="709"/>
        <w:jc w:val="both"/>
        <w:rPr>
          <w:rFonts w:eastAsia="Calibri"/>
          <w:lang w:val="lt-LT" w:eastAsia="x-none"/>
        </w:rPr>
      </w:pPr>
      <w:r w:rsidRPr="004F011C">
        <w:rPr>
          <w:rFonts w:eastAsia="Calibri"/>
          <w:lang w:val="lt-LT" w:eastAsia="x-none"/>
        </w:rPr>
        <w:t xml:space="preserve">Lietuvos Respublikos pozicijos projektas su </w:t>
      </w:r>
      <w:r w:rsidR="00EF5292" w:rsidRPr="004F011C">
        <w:rPr>
          <w:rFonts w:eastAsia="Calibri"/>
          <w:lang w:val="lt-LT" w:eastAsia="x-none"/>
        </w:rPr>
        <w:t xml:space="preserve">Teisingumo ministerijos </w:t>
      </w:r>
      <w:r w:rsidR="00EF5292" w:rsidRPr="004F011C">
        <w:rPr>
          <w:lang w:val="lt-LT"/>
        </w:rPr>
        <w:t>kompetentingų padalinių atstovais bei</w:t>
      </w:r>
      <w:r w:rsidR="00E172BD" w:rsidRPr="004F011C">
        <w:rPr>
          <w:lang w:val="lt-LT"/>
        </w:rPr>
        <w:t xml:space="preserve"> Lietuvos notarų rūmų</w:t>
      </w:r>
      <w:r w:rsidR="00370B04">
        <w:rPr>
          <w:lang w:val="lt-LT"/>
        </w:rPr>
        <w:t>, v</w:t>
      </w:r>
      <w:r w:rsidR="00E172BD" w:rsidRPr="004F011C">
        <w:rPr>
          <w:lang w:val="lt-LT"/>
        </w:rPr>
        <w:t>alstybės įmonės Registrų centro</w:t>
      </w:r>
      <w:r w:rsidRPr="004F011C">
        <w:rPr>
          <w:rFonts w:eastAsia="Calibri"/>
          <w:lang w:val="lt-LT" w:eastAsia="x-none"/>
        </w:rPr>
        <w:t xml:space="preserve"> atstovais derintas 2021 m.</w:t>
      </w:r>
      <w:r w:rsidR="00E172BD" w:rsidRPr="004F011C">
        <w:rPr>
          <w:rFonts w:eastAsia="Calibri"/>
          <w:lang w:val="lt-LT" w:eastAsia="x-none"/>
        </w:rPr>
        <w:t xml:space="preserve"> rugsėjo</w:t>
      </w:r>
      <w:r w:rsidRPr="004F011C">
        <w:rPr>
          <w:rFonts w:eastAsia="Calibri"/>
          <w:lang w:val="lt-LT" w:eastAsia="x-none"/>
        </w:rPr>
        <w:t xml:space="preserve"> </w:t>
      </w:r>
      <w:r w:rsidR="00E172BD" w:rsidRPr="004F011C">
        <w:rPr>
          <w:rFonts w:eastAsia="Calibri"/>
          <w:lang w:val="lt-LT" w:eastAsia="x-none"/>
        </w:rPr>
        <w:t>14</w:t>
      </w:r>
      <w:r w:rsidRPr="004F011C">
        <w:rPr>
          <w:rFonts w:eastAsia="Calibri"/>
          <w:lang w:val="lt-LT" w:eastAsia="x-none"/>
        </w:rPr>
        <w:t xml:space="preserve"> d. vykusiame ES teismų darbo grupės posėdyje. Lietuvos Respublikos Vyriausybės </w:t>
      </w:r>
      <w:r w:rsidR="00E172BD" w:rsidRPr="004F011C">
        <w:rPr>
          <w:rFonts w:eastAsia="Calibri"/>
          <w:lang w:val="lt-LT" w:eastAsia="x-none"/>
        </w:rPr>
        <w:t xml:space="preserve">pasitarime </w:t>
      </w:r>
      <w:r w:rsidRPr="004F011C">
        <w:rPr>
          <w:rFonts w:eastAsia="Calibri"/>
          <w:lang w:val="lt-LT" w:eastAsia="x-none"/>
        </w:rPr>
        <w:t>pritarus dalyvavimui byloje</w:t>
      </w:r>
      <w:r w:rsidRPr="004F011C">
        <w:rPr>
          <w:i/>
          <w:iCs/>
          <w:lang w:val="lt-LT"/>
        </w:rPr>
        <w:t xml:space="preserve"> </w:t>
      </w:r>
      <w:r w:rsidR="00E172BD" w:rsidRPr="004F011C">
        <w:rPr>
          <w:rFonts w:eastAsia="Calibri"/>
          <w:i/>
          <w:iCs/>
          <w:lang w:val="lt-LT"/>
        </w:rPr>
        <w:t xml:space="preserve">Registrų centras, </w:t>
      </w:r>
      <w:r w:rsidR="00E172BD" w:rsidRPr="004F011C">
        <w:rPr>
          <w:caps/>
          <w:spacing w:val="-6"/>
          <w:lang w:val="lt-LT"/>
        </w:rPr>
        <w:t>C−354/21,</w:t>
      </w:r>
      <w:r w:rsidRPr="004F011C">
        <w:rPr>
          <w:caps/>
          <w:spacing w:val="-6"/>
          <w:lang w:val="lt-LT"/>
        </w:rPr>
        <w:t xml:space="preserve"> </w:t>
      </w:r>
      <w:r w:rsidRPr="004F011C">
        <w:rPr>
          <w:rFonts w:eastAsia="Calibri"/>
          <w:lang w:val="lt-LT" w:eastAsia="x-none"/>
        </w:rPr>
        <w:t xml:space="preserve">pagal parengtą poziciją, Teisingumo ministerijos </w:t>
      </w:r>
      <w:r w:rsidR="0003697E">
        <w:rPr>
          <w:rFonts w:eastAsia="Calibri"/>
          <w:lang w:val="lt-LT" w:eastAsia="x-none"/>
        </w:rPr>
        <w:t>Europos Sąjungos teisės</w:t>
      </w:r>
      <w:r w:rsidRPr="004F011C">
        <w:rPr>
          <w:rFonts w:eastAsia="Calibri"/>
          <w:lang w:val="lt-LT" w:eastAsia="x-none"/>
        </w:rPr>
        <w:t xml:space="preserve"> grupė, bendradarbiaudama su k</w:t>
      </w:r>
      <w:r w:rsidR="00E172BD" w:rsidRPr="004F011C">
        <w:rPr>
          <w:rFonts w:eastAsia="Calibri"/>
          <w:lang w:val="lt-LT" w:eastAsia="x-none"/>
        </w:rPr>
        <w:t>itais Teisingumo ministerijos padaliniais</w:t>
      </w:r>
      <w:r w:rsidRPr="004F011C">
        <w:rPr>
          <w:rFonts w:eastAsia="Calibri"/>
          <w:lang w:val="lt-LT" w:eastAsia="x-none"/>
        </w:rPr>
        <w:t>, parengs rašytines pastabas byloje, kurios Teisingumo Teismui turėtų būti pateiktos iki 2021 m.</w:t>
      </w:r>
      <w:r w:rsidR="00D07AA5" w:rsidRPr="004F011C">
        <w:rPr>
          <w:rFonts w:eastAsia="Calibri"/>
          <w:lang w:val="lt-LT" w:eastAsia="x-none"/>
        </w:rPr>
        <w:t xml:space="preserve"> </w:t>
      </w:r>
      <w:r w:rsidR="00E172BD" w:rsidRPr="004F011C">
        <w:rPr>
          <w:rFonts w:eastAsia="Calibri"/>
          <w:lang w:val="lt-LT" w:eastAsia="x-none"/>
        </w:rPr>
        <w:t>spalio</w:t>
      </w:r>
      <w:r w:rsidRPr="004F011C">
        <w:rPr>
          <w:rFonts w:eastAsia="Calibri"/>
          <w:lang w:val="lt-LT" w:eastAsia="x-none"/>
        </w:rPr>
        <w:t> </w:t>
      </w:r>
      <w:r w:rsidR="00D07AA5" w:rsidRPr="004F011C">
        <w:rPr>
          <w:rFonts w:eastAsia="Calibri"/>
          <w:lang w:val="lt-LT" w:eastAsia="x-none"/>
        </w:rPr>
        <w:t>2</w:t>
      </w:r>
      <w:r w:rsidR="00E172BD" w:rsidRPr="004F011C">
        <w:rPr>
          <w:rFonts w:eastAsia="Calibri"/>
          <w:lang w:val="lt-LT" w:eastAsia="x-none"/>
        </w:rPr>
        <w:t>4</w:t>
      </w:r>
      <w:r w:rsidR="00D32EB3" w:rsidRPr="004F011C">
        <w:rPr>
          <w:rFonts w:eastAsia="Calibri"/>
          <w:lang w:val="lt-LT" w:eastAsia="x-none"/>
        </w:rPr>
        <w:t> </w:t>
      </w:r>
      <w:r w:rsidRPr="004F011C">
        <w:rPr>
          <w:rFonts w:eastAsia="Calibri"/>
          <w:lang w:val="lt-LT" w:eastAsia="x-none"/>
        </w:rPr>
        <w:t>d.</w:t>
      </w:r>
    </w:p>
    <w:p w14:paraId="2053C820" w14:textId="77777777" w:rsidR="00B24873" w:rsidRPr="004F011C" w:rsidRDefault="00B24873" w:rsidP="00832B6F">
      <w:pPr>
        <w:tabs>
          <w:tab w:val="left" w:pos="0"/>
        </w:tabs>
        <w:spacing w:before="480" w:after="360"/>
        <w:rPr>
          <w:b/>
          <w:lang w:val="lt-LT"/>
        </w:rPr>
      </w:pPr>
      <w:r w:rsidRPr="004F011C">
        <w:rPr>
          <w:b/>
          <w:lang w:val="lt-LT"/>
        </w:rPr>
        <w:lastRenderedPageBreak/>
        <w:t>Lietuvos Respublikos pozicija ir pagrindiniai palaikomi teiginiai</w:t>
      </w:r>
    </w:p>
    <w:p w14:paraId="49313437" w14:textId="6AEE1C23" w:rsidR="00D07AA5" w:rsidRPr="004F011C" w:rsidRDefault="00B24873" w:rsidP="00BC041C">
      <w:pPr>
        <w:tabs>
          <w:tab w:val="left" w:pos="0"/>
        </w:tabs>
        <w:spacing w:line="360" w:lineRule="auto"/>
        <w:ind w:firstLine="709"/>
        <w:jc w:val="both"/>
        <w:rPr>
          <w:lang w:val="lt-LT"/>
        </w:rPr>
      </w:pPr>
      <w:r w:rsidRPr="004F011C">
        <w:rPr>
          <w:lang w:val="lt-LT"/>
        </w:rPr>
        <w:t xml:space="preserve">Lietuvos Respublikos rašytinėse pastabose byloje </w:t>
      </w:r>
      <w:r w:rsidR="00E172BD" w:rsidRPr="004F011C">
        <w:rPr>
          <w:rFonts w:eastAsia="Calibri"/>
          <w:i/>
          <w:iCs/>
          <w:lang w:val="lt-LT"/>
        </w:rPr>
        <w:t xml:space="preserve">Registrų centras, </w:t>
      </w:r>
      <w:r w:rsidR="00E172BD" w:rsidRPr="004F011C">
        <w:rPr>
          <w:caps/>
          <w:spacing w:val="-6"/>
          <w:lang w:val="lt-LT"/>
        </w:rPr>
        <w:t xml:space="preserve">C−354/21, </w:t>
      </w:r>
      <w:r w:rsidR="00D07AA5" w:rsidRPr="004F011C">
        <w:rPr>
          <w:caps/>
          <w:spacing w:val="-6"/>
          <w:lang w:val="lt-LT"/>
        </w:rPr>
        <w:t xml:space="preserve"> </w:t>
      </w:r>
      <w:r w:rsidRPr="004F011C">
        <w:rPr>
          <w:lang w:val="lt-LT"/>
        </w:rPr>
        <w:t>Teisingumo Teismui pateikt</w:t>
      </w:r>
      <w:r w:rsidR="00D07AA5" w:rsidRPr="004F011C">
        <w:rPr>
          <w:lang w:val="lt-LT"/>
        </w:rPr>
        <w:t>u</w:t>
      </w:r>
      <w:r w:rsidRPr="004F011C">
        <w:rPr>
          <w:lang w:val="lt-LT"/>
        </w:rPr>
        <w:t xml:space="preserve"> klausim</w:t>
      </w:r>
      <w:r w:rsidR="00D07AA5" w:rsidRPr="004F011C">
        <w:rPr>
          <w:lang w:val="lt-LT"/>
        </w:rPr>
        <w:t>u</w:t>
      </w:r>
      <w:r w:rsidRPr="004F011C">
        <w:rPr>
          <w:lang w:val="lt-LT"/>
        </w:rPr>
        <w:t xml:space="preserve"> bus laikomasi toliau nurodytos pozicijos.</w:t>
      </w:r>
    </w:p>
    <w:p w14:paraId="67215695" w14:textId="77777777" w:rsidR="005B06F5" w:rsidRPr="004F011C" w:rsidRDefault="00EC2353" w:rsidP="005B06F5">
      <w:pPr>
        <w:tabs>
          <w:tab w:val="left" w:pos="0"/>
        </w:tabs>
        <w:spacing w:line="360" w:lineRule="auto"/>
        <w:ind w:firstLine="709"/>
        <w:jc w:val="both"/>
        <w:rPr>
          <w:lang w:val="lt-LT"/>
        </w:rPr>
      </w:pPr>
      <w:r w:rsidRPr="004F011C">
        <w:rPr>
          <w:rFonts w:eastAsia="Calibri"/>
          <w:lang w:val="lt-LT"/>
        </w:rPr>
        <w:t xml:space="preserve">Atsakant į Teisingumo Teismui pateiktą prejudicinį klausimą pažymėtina, kad </w:t>
      </w:r>
      <w:r w:rsidR="00E172BD" w:rsidRPr="004F011C">
        <w:rPr>
          <w:lang w:val="lt-LT"/>
        </w:rPr>
        <w:t xml:space="preserve">Reglamento 650/2012 69 straipsnio 5 dalis nustato, jog Europos paveldėjimo pažymėjimas yra galiojantis dokumentas, kuriuo remiantis paveldimas turtas įregistruojamas valstybės narės atitinkamame registre, </w:t>
      </w:r>
      <w:r w:rsidR="00E172BD" w:rsidRPr="004F011C">
        <w:rPr>
          <w:i/>
          <w:iCs/>
          <w:lang w:val="lt-LT"/>
        </w:rPr>
        <w:t>nedarant poveikio Reglamento 1 straipsnio 2 dalies k ir l punktų taikymui</w:t>
      </w:r>
      <w:r w:rsidR="00E172BD" w:rsidRPr="004F011C">
        <w:rPr>
          <w:lang w:val="lt-LT"/>
        </w:rPr>
        <w:t xml:space="preserve">. Reglamento 650/2012 1 straipsnio 2 dalies l punkte nurodoma, kad </w:t>
      </w:r>
      <w:r w:rsidR="005B06F5" w:rsidRPr="004F011C">
        <w:rPr>
          <w:lang w:val="lt-LT"/>
        </w:rPr>
        <w:t>„</w:t>
      </w:r>
      <w:r w:rsidR="005B06F5" w:rsidRPr="004F011C">
        <w:rPr>
          <w:i/>
          <w:iCs/>
          <w:lang w:val="lt-LT"/>
        </w:rPr>
        <w:t>šis r</w:t>
      </w:r>
      <w:r w:rsidR="00E172BD" w:rsidRPr="004F011C">
        <w:rPr>
          <w:i/>
          <w:iCs/>
          <w:lang w:val="lt-LT"/>
        </w:rPr>
        <w:t xml:space="preserve">eglamentas netaikomas </w:t>
      </w:r>
      <w:r w:rsidR="005B06F5" w:rsidRPr="004F011C">
        <w:rPr>
          <w:i/>
          <w:iCs/>
          <w:lang w:val="lt-LT"/>
        </w:rPr>
        <w:t xml:space="preserve">&lt;...&gt; </w:t>
      </w:r>
      <w:r w:rsidR="00E172BD" w:rsidRPr="004F011C">
        <w:rPr>
          <w:i/>
          <w:iCs/>
          <w:lang w:val="lt-LT"/>
        </w:rPr>
        <w:t>visoms registre įregistruotoms teisėms į nekilnojamąjį ar kilnojamąjį turtą,</w:t>
      </w:r>
      <w:r w:rsidR="00E172BD" w:rsidRPr="004F011C">
        <w:rPr>
          <w:lang w:val="lt-LT"/>
        </w:rPr>
        <w:t xml:space="preserve"> </w:t>
      </w:r>
      <w:r w:rsidR="00E172BD" w:rsidRPr="00370B04">
        <w:rPr>
          <w:i/>
          <w:iCs/>
          <w:lang w:val="lt-LT"/>
        </w:rPr>
        <w:t>į</w:t>
      </w:r>
      <w:r w:rsidR="00E172BD" w:rsidRPr="004F011C">
        <w:rPr>
          <w:i/>
          <w:iCs/>
          <w:lang w:val="lt-LT"/>
        </w:rPr>
        <w:t>skaitant tokių teisių įregistravimui keliamus teisinius reikalavimus</w:t>
      </w:r>
      <w:r w:rsidR="00E172BD" w:rsidRPr="004F011C">
        <w:rPr>
          <w:lang w:val="lt-LT"/>
        </w:rPr>
        <w:t>, ir tokių teisių įregistravimo arba jų neįregistravimo registre pasekmėms</w:t>
      </w:r>
      <w:r w:rsidR="005B06F5" w:rsidRPr="004F011C">
        <w:rPr>
          <w:lang w:val="lt-LT"/>
        </w:rPr>
        <w:t>“</w:t>
      </w:r>
      <w:r w:rsidR="00E172BD" w:rsidRPr="004F011C">
        <w:rPr>
          <w:lang w:val="lt-LT"/>
        </w:rPr>
        <w:t>.</w:t>
      </w:r>
      <w:r w:rsidR="005B06F5" w:rsidRPr="004F011C">
        <w:rPr>
          <w:lang w:val="lt-LT"/>
        </w:rPr>
        <w:t xml:space="preserve"> </w:t>
      </w:r>
      <w:r w:rsidR="00E172BD" w:rsidRPr="004F011C">
        <w:rPr>
          <w:lang w:val="lt-LT"/>
        </w:rPr>
        <w:t>Reglamento</w:t>
      </w:r>
      <w:r w:rsidR="005B06F5" w:rsidRPr="004F011C">
        <w:rPr>
          <w:lang w:val="lt-LT"/>
        </w:rPr>
        <w:t xml:space="preserve"> 650/2012 </w:t>
      </w:r>
      <w:r w:rsidR="00E172BD" w:rsidRPr="004F011C">
        <w:rPr>
          <w:lang w:val="lt-LT"/>
        </w:rPr>
        <w:t xml:space="preserve"> 68 straipsnyje įtvirtinta, kad Europos paveldėjimo pažymėjime pateikiama tiek šiame straipsnyje nurodytos informacijos, kiek jos reikia tikslui, kuriam išduodamas pažymėjimas. Pagal minėto straipsnio l punktą Europos paveldėjimo pažymėjime, be kita ko, nurodoma kiekvienam iš įpėdinių tenkanti palikimo dalis ir, </w:t>
      </w:r>
      <w:r w:rsidR="00E172BD" w:rsidRPr="004F011C">
        <w:rPr>
          <w:i/>
          <w:iCs/>
          <w:lang w:val="lt-LT"/>
        </w:rPr>
        <w:t>jei taikoma, kiekvienam įpėdiniui priklausančių teisių ir (arba) turto sąrašas (apyrašas)</w:t>
      </w:r>
      <w:r w:rsidR="00E172BD" w:rsidRPr="004F011C">
        <w:rPr>
          <w:lang w:val="lt-LT"/>
        </w:rPr>
        <w:t>.</w:t>
      </w:r>
    </w:p>
    <w:p w14:paraId="5C223025" w14:textId="0F30A017" w:rsidR="005B06F5" w:rsidRPr="004F011C" w:rsidRDefault="005B06F5" w:rsidP="005B06F5">
      <w:pPr>
        <w:tabs>
          <w:tab w:val="left" w:pos="0"/>
        </w:tabs>
        <w:spacing w:line="360" w:lineRule="auto"/>
        <w:ind w:firstLine="709"/>
        <w:jc w:val="both"/>
        <w:rPr>
          <w:lang w:val="lt-LT"/>
        </w:rPr>
      </w:pPr>
      <w:r w:rsidRPr="004F011C">
        <w:rPr>
          <w:rFonts w:eastAsia="Calibri"/>
          <w:lang w:val="lt-LT"/>
        </w:rPr>
        <w:t xml:space="preserve">Pažymėtina, kad </w:t>
      </w:r>
      <w:r w:rsidR="00E172BD" w:rsidRPr="004F011C">
        <w:rPr>
          <w:lang w:val="lt-LT"/>
        </w:rPr>
        <w:t xml:space="preserve">Reglamento </w:t>
      </w:r>
      <w:r w:rsidRPr="004F011C">
        <w:rPr>
          <w:lang w:val="lt-LT"/>
        </w:rPr>
        <w:t xml:space="preserve">650/2012 </w:t>
      </w:r>
      <w:r w:rsidR="00E172BD" w:rsidRPr="004F011C">
        <w:rPr>
          <w:lang w:val="lt-LT"/>
        </w:rPr>
        <w:t xml:space="preserve">preambulės 18 punkte paaiškinama, </w:t>
      </w:r>
      <w:r w:rsidRPr="004F011C">
        <w:rPr>
          <w:lang w:val="lt-LT"/>
        </w:rPr>
        <w:t>jog</w:t>
      </w:r>
      <w:r w:rsidR="00E172BD" w:rsidRPr="004F011C">
        <w:rPr>
          <w:lang w:val="lt-LT"/>
        </w:rPr>
        <w:t xml:space="preserve"> Reglamentas</w:t>
      </w:r>
      <w:r w:rsidR="00370B04">
        <w:rPr>
          <w:lang w:val="lt-LT"/>
        </w:rPr>
        <w:t> </w:t>
      </w:r>
      <w:r w:rsidR="00370B04" w:rsidRPr="004F011C">
        <w:rPr>
          <w:lang w:val="lt-LT"/>
        </w:rPr>
        <w:t xml:space="preserve">650/2012 </w:t>
      </w:r>
      <w:r w:rsidR="00E172BD" w:rsidRPr="004F011C">
        <w:rPr>
          <w:lang w:val="lt-LT"/>
        </w:rPr>
        <w:t>neturėtų būti taikomas reikalavimams įregistruoti registre teisę į nekilnojamąjį arba kilnojamąjį turtą. Todėl įregistravimo teisinės sąlygos ir būdas bei institucijos (pvz., žemės kadastrai arba notarai), kurios privalo tikrinti, kad būtų laikomasi visų reikalavimų ir kad būtų pateikta ar parengta pakankamai dokumentų arba juose pateikta reikiama informacija, turėtų būti nustatomi pagal valstybės narės, kurioje tvarkomas registras, teisę (nekilnojamojo turto atveju – pagal </w:t>
      </w:r>
      <w:proofErr w:type="spellStart"/>
      <w:r w:rsidR="00E172BD" w:rsidRPr="004F011C">
        <w:rPr>
          <w:i/>
          <w:iCs/>
          <w:lang w:val="lt-LT"/>
        </w:rPr>
        <w:t>lex</w:t>
      </w:r>
      <w:proofErr w:type="spellEnd"/>
      <w:r w:rsidR="00E172BD" w:rsidRPr="004F011C">
        <w:rPr>
          <w:i/>
          <w:iCs/>
          <w:lang w:val="lt-LT"/>
        </w:rPr>
        <w:t xml:space="preserve"> </w:t>
      </w:r>
      <w:proofErr w:type="spellStart"/>
      <w:r w:rsidR="00E172BD" w:rsidRPr="004F011C">
        <w:rPr>
          <w:i/>
          <w:iCs/>
          <w:lang w:val="lt-LT"/>
        </w:rPr>
        <w:t>rei</w:t>
      </w:r>
      <w:proofErr w:type="spellEnd"/>
      <w:r w:rsidR="00E172BD" w:rsidRPr="004F011C">
        <w:rPr>
          <w:i/>
          <w:iCs/>
          <w:lang w:val="lt-LT"/>
        </w:rPr>
        <w:t xml:space="preserve"> </w:t>
      </w:r>
      <w:proofErr w:type="spellStart"/>
      <w:r w:rsidR="00E172BD" w:rsidRPr="004F011C">
        <w:rPr>
          <w:i/>
          <w:iCs/>
          <w:lang w:val="lt-LT"/>
        </w:rPr>
        <w:t>sitae</w:t>
      </w:r>
      <w:proofErr w:type="spellEnd"/>
      <w:r w:rsidR="00E172BD" w:rsidRPr="004F011C">
        <w:rPr>
          <w:lang w:val="lt-LT"/>
        </w:rPr>
        <w:t>). Visų pirma institucijos gali patikrinti, ar palikėjo teisė į paveldimą turtą, nurodytą registruoti pateiktame dokumente, yra tokia teisė, kuri yra įregistruota registre arba kuri yra kitaip nurodyta pagal valstybės narės, kurioje tvarkomas registras, teisę.</w:t>
      </w:r>
      <w:r w:rsidRPr="004F011C">
        <w:rPr>
          <w:lang w:val="lt-LT"/>
        </w:rPr>
        <w:t xml:space="preserve"> P</w:t>
      </w:r>
      <w:r w:rsidR="00E172BD" w:rsidRPr="004F011C">
        <w:rPr>
          <w:lang w:val="lt-LT"/>
        </w:rPr>
        <w:t>agal</w:t>
      </w:r>
      <w:r w:rsidRPr="004F011C">
        <w:rPr>
          <w:lang w:val="lt-LT"/>
        </w:rPr>
        <w:t xml:space="preserve"> </w:t>
      </w:r>
      <w:r w:rsidR="00E172BD" w:rsidRPr="004F011C">
        <w:rPr>
          <w:lang w:val="lt-LT"/>
        </w:rPr>
        <w:t>Reglamentą</w:t>
      </w:r>
      <w:r w:rsidR="00370B04">
        <w:rPr>
          <w:lang w:val="lt-LT"/>
        </w:rPr>
        <w:t> </w:t>
      </w:r>
      <w:r w:rsidRPr="004F011C">
        <w:rPr>
          <w:lang w:val="lt-LT"/>
        </w:rPr>
        <w:t xml:space="preserve">650/2012 </w:t>
      </w:r>
      <w:r w:rsidR="00E172BD" w:rsidRPr="004F011C">
        <w:rPr>
          <w:lang w:val="lt-LT"/>
        </w:rPr>
        <w:t>išduotas Europos paveldėjimo pažymėjimas turėtų būti laikomas galiojančiu dokumentu, kuriuo remiantis paveldimas turtas įregistruojamas valstybės narės registre</w:t>
      </w:r>
      <w:r w:rsidRPr="004F011C">
        <w:rPr>
          <w:lang w:val="lt-LT"/>
        </w:rPr>
        <w:t>. Tačiau</w:t>
      </w:r>
      <w:r w:rsidR="00E172BD" w:rsidRPr="004F011C">
        <w:rPr>
          <w:lang w:val="lt-LT"/>
        </w:rPr>
        <w:t xml:space="preserve"> </w:t>
      </w:r>
      <w:r w:rsidRPr="004F011C">
        <w:rPr>
          <w:lang w:val="lt-LT"/>
        </w:rPr>
        <w:t>t</w:t>
      </w:r>
      <w:r w:rsidR="00E172BD" w:rsidRPr="004F011C">
        <w:rPr>
          <w:lang w:val="lt-LT"/>
        </w:rPr>
        <w:t xml:space="preserve">ai neturėtų trukdyti registravimo procese dalyvaujančioms institucijoms prašyti asmens, kuris pateikia prašymą dėl registravimo, pateikti tokią papildomą informaciją arba tokius papildomus dokumentus, </w:t>
      </w:r>
      <w:r w:rsidR="00E172BD" w:rsidRPr="004F011C">
        <w:rPr>
          <w:i/>
          <w:iCs/>
          <w:lang w:val="lt-LT"/>
        </w:rPr>
        <w:t>kurie reikalingi pagal valstybės narės, kurioje tvarkomas registras, teisę</w:t>
      </w:r>
      <w:r w:rsidRPr="004F011C">
        <w:rPr>
          <w:lang w:val="lt-LT"/>
        </w:rPr>
        <w:t xml:space="preserve">. </w:t>
      </w:r>
    </w:p>
    <w:p w14:paraId="00177423" w14:textId="70233312" w:rsidR="00CF303C" w:rsidRPr="00832B6F" w:rsidRDefault="00E172BD" w:rsidP="00832B6F">
      <w:pPr>
        <w:tabs>
          <w:tab w:val="left" w:pos="0"/>
        </w:tabs>
        <w:spacing w:line="360" w:lineRule="auto"/>
        <w:ind w:firstLine="709"/>
        <w:jc w:val="both"/>
        <w:rPr>
          <w:lang w:val="lt-LT"/>
        </w:rPr>
      </w:pPr>
      <w:r w:rsidRPr="004F011C">
        <w:rPr>
          <w:lang w:val="lt-LT"/>
        </w:rPr>
        <w:t>Be to,</w:t>
      </w:r>
      <w:r w:rsidR="005B06F5" w:rsidRPr="004F011C">
        <w:rPr>
          <w:lang w:val="lt-LT"/>
        </w:rPr>
        <w:t xml:space="preserve"> pažymėtina, kad </w:t>
      </w:r>
      <w:r w:rsidRPr="004F011C">
        <w:rPr>
          <w:lang w:val="lt-LT"/>
        </w:rPr>
        <w:t xml:space="preserve">Reglamento </w:t>
      </w:r>
      <w:r w:rsidR="005B06F5" w:rsidRPr="004F011C">
        <w:rPr>
          <w:lang w:val="lt-LT"/>
        </w:rPr>
        <w:t xml:space="preserve">650/2012 </w:t>
      </w:r>
      <w:r w:rsidRPr="004F011C">
        <w:rPr>
          <w:lang w:val="lt-LT"/>
        </w:rPr>
        <w:t>preambulės 68 punkte nurodoma,</w:t>
      </w:r>
      <w:r w:rsidR="00370B04">
        <w:rPr>
          <w:lang w:val="lt-LT"/>
        </w:rPr>
        <w:t xml:space="preserve"> jog</w:t>
      </w:r>
      <w:r w:rsidRPr="004F011C">
        <w:rPr>
          <w:lang w:val="lt-LT"/>
        </w:rPr>
        <w:t xml:space="preserve"> </w:t>
      </w:r>
      <w:r w:rsidRPr="004F011C">
        <w:rPr>
          <w:i/>
          <w:iCs/>
          <w:lang w:val="lt-LT"/>
        </w:rPr>
        <w:t>Europos paveldėjimo pažymėjimą išduodanti institucija turėtų atsižvelgti į formalumus, kurių reikalaujama laikytis registruojant nekilnojamąjį turtą valstybėje narėje, kurioje tvarkomas registras</w:t>
      </w:r>
      <w:r w:rsidRPr="004F011C">
        <w:rPr>
          <w:lang w:val="lt-LT"/>
        </w:rPr>
        <w:t>.</w:t>
      </w:r>
      <w:r w:rsidR="001C4A2E">
        <w:rPr>
          <w:lang w:val="lt-LT"/>
        </w:rPr>
        <w:t xml:space="preserve"> Šiuo </w:t>
      </w:r>
      <w:r w:rsidR="001C4A2E">
        <w:rPr>
          <w:lang w:val="lt-LT"/>
        </w:rPr>
        <w:lastRenderedPageBreak/>
        <w:t xml:space="preserve">atžvilgiu </w:t>
      </w:r>
      <w:r w:rsidR="00CF303C">
        <w:rPr>
          <w:lang w:val="lt-LT"/>
        </w:rPr>
        <w:t xml:space="preserve">papildomai </w:t>
      </w:r>
      <w:r w:rsidR="001C4A2E">
        <w:rPr>
          <w:lang w:val="lt-LT"/>
        </w:rPr>
        <w:t xml:space="preserve">pažymėtina, kad </w:t>
      </w:r>
      <w:r w:rsidR="00CF303C">
        <w:rPr>
          <w:lang w:val="lt-LT"/>
        </w:rPr>
        <w:t xml:space="preserve">siekiant </w:t>
      </w:r>
      <w:r w:rsidR="00CF303C" w:rsidRPr="004F011C">
        <w:rPr>
          <w:lang w:val="lt-LT"/>
        </w:rPr>
        <w:t>Reglamento 650/2012</w:t>
      </w:r>
      <w:r w:rsidR="00CF303C">
        <w:rPr>
          <w:lang w:val="lt-LT"/>
        </w:rPr>
        <w:t xml:space="preserve"> tinkamo taikymo </w:t>
      </w:r>
      <w:r w:rsidR="00CF303C">
        <w:t xml:space="preserve">Europos </w:t>
      </w:r>
      <w:r w:rsidR="00CF303C" w:rsidRPr="00832B6F">
        <w:rPr>
          <w:lang w:val="lt-LT"/>
        </w:rPr>
        <w:t>Komisija 2014 m. gruodžio 9 d. pri</w:t>
      </w:r>
      <w:r w:rsidR="00832B6F">
        <w:rPr>
          <w:lang w:val="lt-LT"/>
        </w:rPr>
        <w:t>ė</w:t>
      </w:r>
      <w:r w:rsidR="00CF303C" w:rsidRPr="00832B6F">
        <w:rPr>
          <w:lang w:val="lt-LT"/>
        </w:rPr>
        <w:t>mė Komisijos įgyvendinimo reglament</w:t>
      </w:r>
      <w:r w:rsidR="00832B6F">
        <w:rPr>
          <w:lang w:val="lt-LT"/>
        </w:rPr>
        <w:t>ą</w:t>
      </w:r>
      <w:r w:rsidR="00CF303C" w:rsidRPr="00832B6F">
        <w:rPr>
          <w:lang w:val="lt-LT"/>
        </w:rPr>
        <w:t xml:space="preserve"> (ES) Nr. 1329/2014, kuriuo nustat</w:t>
      </w:r>
      <w:r w:rsidR="00832B6F">
        <w:rPr>
          <w:lang w:val="lt-LT"/>
        </w:rPr>
        <w:t>ė</w:t>
      </w:r>
      <w:r w:rsidR="00CF303C" w:rsidRPr="00832B6F">
        <w:rPr>
          <w:lang w:val="lt-LT"/>
        </w:rPr>
        <w:t xml:space="preserve"> Europos paveldėjimo pa</w:t>
      </w:r>
      <w:r w:rsidR="00832B6F">
        <w:rPr>
          <w:lang w:val="lt-LT"/>
        </w:rPr>
        <w:t>ž</w:t>
      </w:r>
      <w:r w:rsidR="00CF303C" w:rsidRPr="00832B6F">
        <w:rPr>
          <w:lang w:val="lt-LT"/>
        </w:rPr>
        <w:t>ymėjimo formą (toliau</w:t>
      </w:r>
      <w:r w:rsidR="005872C8" w:rsidRPr="00832B6F">
        <w:rPr>
          <w:lang w:val="lt-LT"/>
        </w:rPr>
        <w:t xml:space="preserve"> – forma)</w:t>
      </w:r>
      <w:r w:rsidR="00CF303C" w:rsidRPr="00832B6F">
        <w:rPr>
          <w:lang w:val="lt-LT"/>
        </w:rPr>
        <w:t xml:space="preserve"> ir joje detalizavo Europos paveldėjimo pažymėjime</w:t>
      </w:r>
      <w:r w:rsidR="00832B6F">
        <w:rPr>
          <w:lang w:val="lt-LT"/>
        </w:rPr>
        <w:t xml:space="preserve"> </w:t>
      </w:r>
      <w:r w:rsidR="00CF303C" w:rsidRPr="00832B6F">
        <w:rPr>
          <w:lang w:val="lt-LT"/>
        </w:rPr>
        <w:t>nuro</w:t>
      </w:r>
      <w:r w:rsidR="00832B6F">
        <w:rPr>
          <w:lang w:val="lt-LT"/>
        </w:rPr>
        <w:t>dytinus</w:t>
      </w:r>
      <w:r w:rsidR="00CF303C" w:rsidRPr="00832B6F">
        <w:rPr>
          <w:lang w:val="lt-LT"/>
        </w:rPr>
        <w:t xml:space="preserve"> duomenis</w:t>
      </w:r>
      <w:r w:rsidR="005872C8" w:rsidRPr="00832B6F">
        <w:rPr>
          <w:lang w:val="lt-LT"/>
        </w:rPr>
        <w:t xml:space="preserve">. Nurodytos formos </w:t>
      </w:r>
      <w:r w:rsidR="00CF303C" w:rsidRPr="00CF303C">
        <w:rPr>
          <w:rFonts w:eastAsia="TimesNewRomanPSMT"/>
          <w:lang w:val="lt-LT"/>
        </w:rPr>
        <w:t>IV pried</w:t>
      </w:r>
      <w:r w:rsidR="005872C8" w:rsidRPr="00832B6F">
        <w:rPr>
          <w:rFonts w:eastAsia="TimesNewRomanPSMT"/>
          <w:lang w:val="lt-LT"/>
        </w:rPr>
        <w:t xml:space="preserve">o </w:t>
      </w:r>
      <w:r w:rsidR="005872C8" w:rsidRPr="00CF303C">
        <w:rPr>
          <w:rFonts w:eastAsia="TimesNewRomanPSMT"/>
          <w:lang w:val="lt-LT"/>
        </w:rPr>
        <w:t>9 punkt</w:t>
      </w:r>
      <w:r w:rsidR="005872C8" w:rsidRPr="00832B6F">
        <w:rPr>
          <w:rFonts w:eastAsia="TimesNewRomanPSMT"/>
          <w:lang w:val="lt-LT"/>
        </w:rPr>
        <w:t>e</w:t>
      </w:r>
      <w:r w:rsidR="00832B6F" w:rsidRPr="00832B6F">
        <w:rPr>
          <w:rFonts w:eastAsia="TimesNewRomanPSMT"/>
          <w:lang w:val="lt-LT"/>
        </w:rPr>
        <w:t xml:space="preserve"> ir jį papildančioje išnašoje paaiškinama, kad </w:t>
      </w:r>
      <w:r w:rsidR="00832B6F">
        <w:rPr>
          <w:rFonts w:eastAsia="TimesNewRomanPSMT"/>
          <w:lang w:val="lt-LT"/>
        </w:rPr>
        <w:t>į</w:t>
      </w:r>
      <w:r w:rsidR="005872C8" w:rsidRPr="00CF303C">
        <w:rPr>
          <w:rFonts w:eastAsia="TimesNewRomanPSMT"/>
          <w:lang w:val="lt-LT"/>
        </w:rPr>
        <w:t>vardi</w:t>
      </w:r>
      <w:r w:rsidR="00832B6F" w:rsidRPr="00832B6F">
        <w:rPr>
          <w:rFonts w:eastAsia="TimesNewRomanPSMT"/>
          <w:lang w:val="lt-LT"/>
        </w:rPr>
        <w:t>jant</w:t>
      </w:r>
      <w:r w:rsidR="005872C8" w:rsidRPr="00CF303C">
        <w:rPr>
          <w:rFonts w:eastAsia="TimesNewRomanPSMT"/>
          <w:lang w:val="lt-LT"/>
        </w:rPr>
        <w:t xml:space="preserve"> </w:t>
      </w:r>
      <w:r w:rsidR="00832B6F">
        <w:rPr>
          <w:rFonts w:eastAsia="TimesNewRomanPSMT"/>
          <w:lang w:val="lt-LT"/>
        </w:rPr>
        <w:t>į</w:t>
      </w:r>
      <w:r w:rsidR="005872C8" w:rsidRPr="00CF303C">
        <w:rPr>
          <w:rFonts w:eastAsia="TimesNewRomanPSMT"/>
          <w:lang w:val="lt-LT"/>
        </w:rPr>
        <w:t>p</w:t>
      </w:r>
      <w:r w:rsidR="00832B6F">
        <w:rPr>
          <w:rFonts w:eastAsia="TimesNewRomanPSMT"/>
          <w:lang w:val="lt-LT"/>
        </w:rPr>
        <w:t>ė</w:t>
      </w:r>
      <w:r w:rsidR="005872C8" w:rsidRPr="00CF303C">
        <w:rPr>
          <w:rFonts w:eastAsia="TimesNewRomanPSMT"/>
          <w:lang w:val="lt-LT"/>
        </w:rPr>
        <w:t>diniui priskirt</w:t>
      </w:r>
      <w:r w:rsidR="00832B6F">
        <w:rPr>
          <w:rFonts w:eastAsia="TimesNewRomanPSMT"/>
          <w:lang w:val="lt-LT"/>
        </w:rPr>
        <w:t>ą</w:t>
      </w:r>
      <w:r w:rsidR="005872C8" w:rsidRPr="00CF303C">
        <w:rPr>
          <w:rFonts w:eastAsia="TimesNewRomanPSMT"/>
          <w:lang w:val="lt-LT"/>
        </w:rPr>
        <w:t xml:space="preserve"> turt</w:t>
      </w:r>
      <w:r w:rsidR="00832B6F">
        <w:rPr>
          <w:rFonts w:eastAsia="TimesNewRomanPSMT"/>
          <w:lang w:val="lt-LT"/>
        </w:rPr>
        <w:t>ą</w:t>
      </w:r>
      <w:r w:rsidR="005872C8" w:rsidRPr="00CF303C">
        <w:rPr>
          <w:rFonts w:eastAsia="TimesNewRomanPSMT"/>
          <w:lang w:val="lt-LT"/>
        </w:rPr>
        <w:t>, d</w:t>
      </w:r>
      <w:r w:rsidR="008742DE">
        <w:rPr>
          <w:rFonts w:eastAsia="TimesNewRomanPSMT"/>
          <w:lang w:val="lt-LT"/>
        </w:rPr>
        <w:t>ė</w:t>
      </w:r>
      <w:r w:rsidR="005872C8" w:rsidRPr="00CF303C">
        <w:rPr>
          <w:rFonts w:eastAsia="TimesNewRomanPSMT"/>
          <w:lang w:val="lt-LT"/>
        </w:rPr>
        <w:t>l kurio pra</w:t>
      </w:r>
      <w:r w:rsidR="008742DE">
        <w:rPr>
          <w:rFonts w:eastAsia="TimesNewRomanPSMT"/>
          <w:lang w:val="lt-LT"/>
        </w:rPr>
        <w:t>š</w:t>
      </w:r>
      <w:r w:rsidR="005872C8" w:rsidRPr="00CF303C">
        <w:rPr>
          <w:rFonts w:eastAsia="TimesNewRomanPSMT"/>
          <w:lang w:val="lt-LT"/>
        </w:rPr>
        <w:t>oma i</w:t>
      </w:r>
      <w:r w:rsidR="008742DE">
        <w:rPr>
          <w:rFonts w:eastAsia="TimesNewRomanPSMT"/>
          <w:lang w:val="lt-LT"/>
        </w:rPr>
        <w:t>š</w:t>
      </w:r>
      <w:r w:rsidR="005872C8" w:rsidRPr="00CF303C">
        <w:rPr>
          <w:rFonts w:eastAsia="TimesNewRomanPSMT"/>
          <w:lang w:val="lt-LT"/>
        </w:rPr>
        <w:t>duoti pa</w:t>
      </w:r>
      <w:r w:rsidR="008742DE">
        <w:rPr>
          <w:rFonts w:eastAsia="TimesNewRomanPSMT"/>
          <w:lang w:val="lt-LT"/>
        </w:rPr>
        <w:t>ž</w:t>
      </w:r>
      <w:r w:rsidR="005872C8" w:rsidRPr="00CF303C">
        <w:rPr>
          <w:rFonts w:eastAsia="TimesNewRomanPSMT"/>
          <w:lang w:val="lt-LT"/>
        </w:rPr>
        <w:t>ym</w:t>
      </w:r>
      <w:r w:rsidR="008742DE">
        <w:rPr>
          <w:rFonts w:eastAsia="TimesNewRomanPSMT"/>
          <w:lang w:val="lt-LT"/>
        </w:rPr>
        <w:t>ė</w:t>
      </w:r>
      <w:r w:rsidR="005872C8" w:rsidRPr="00CF303C">
        <w:rPr>
          <w:rFonts w:eastAsia="TimesNewRomanPSMT"/>
          <w:lang w:val="lt-LT"/>
        </w:rPr>
        <w:t>jim</w:t>
      </w:r>
      <w:r w:rsidR="008742DE">
        <w:rPr>
          <w:rFonts w:eastAsia="TimesNewRomanPSMT"/>
          <w:lang w:val="lt-LT"/>
        </w:rPr>
        <w:t>ą</w:t>
      </w:r>
      <w:r w:rsidR="005872C8" w:rsidRPr="00832B6F">
        <w:rPr>
          <w:rFonts w:eastAsia="TimesNewRomanPSMT"/>
          <w:lang w:val="lt-LT"/>
        </w:rPr>
        <w:t>,</w:t>
      </w:r>
      <w:r w:rsidR="00CF303C" w:rsidRPr="00CF303C">
        <w:rPr>
          <w:rFonts w:eastAsia="TimesNewRomanPSMT"/>
          <w:lang w:val="lt-LT"/>
        </w:rPr>
        <w:t xml:space="preserve"> turi b</w:t>
      </w:r>
      <w:r w:rsidR="008742DE">
        <w:rPr>
          <w:rFonts w:eastAsia="TimesNewRomanPSMT"/>
          <w:lang w:val="lt-LT"/>
        </w:rPr>
        <w:t>ū</w:t>
      </w:r>
      <w:r w:rsidR="00CF303C" w:rsidRPr="00CF303C">
        <w:rPr>
          <w:rFonts w:eastAsia="TimesNewRomanPSMT"/>
          <w:lang w:val="lt-LT"/>
        </w:rPr>
        <w:t xml:space="preserve">ti nurodoma, ar </w:t>
      </w:r>
      <w:r w:rsidR="008742DE">
        <w:rPr>
          <w:rFonts w:eastAsia="TimesNewRomanPSMT"/>
          <w:lang w:val="lt-LT"/>
        </w:rPr>
        <w:t>į</w:t>
      </w:r>
      <w:r w:rsidR="00CF303C" w:rsidRPr="00CF303C">
        <w:rPr>
          <w:rFonts w:eastAsia="TimesNewRomanPSMT"/>
          <w:lang w:val="lt-LT"/>
        </w:rPr>
        <w:t>p</w:t>
      </w:r>
      <w:r w:rsidR="008742DE">
        <w:rPr>
          <w:rFonts w:eastAsia="TimesNewRomanPSMT"/>
          <w:lang w:val="lt-LT"/>
        </w:rPr>
        <w:t>ė</w:t>
      </w:r>
      <w:r w:rsidR="00CF303C" w:rsidRPr="00CF303C">
        <w:rPr>
          <w:rFonts w:eastAsia="TimesNewRomanPSMT"/>
          <w:lang w:val="lt-LT"/>
        </w:rPr>
        <w:t xml:space="preserve">dinis </w:t>
      </w:r>
      <w:r w:rsidR="008742DE">
        <w:rPr>
          <w:rFonts w:eastAsia="TimesNewRomanPSMT"/>
          <w:lang w:val="lt-LT"/>
        </w:rPr>
        <w:t>į</w:t>
      </w:r>
      <w:r w:rsidR="00CF303C" w:rsidRPr="00CF303C">
        <w:rPr>
          <w:rFonts w:eastAsia="TimesNewRomanPSMT"/>
          <w:lang w:val="lt-LT"/>
        </w:rPr>
        <w:t>gijo nuosavyb</w:t>
      </w:r>
      <w:r w:rsidR="008742DE">
        <w:rPr>
          <w:rFonts w:eastAsia="TimesNewRomanPSMT"/>
          <w:lang w:val="lt-LT"/>
        </w:rPr>
        <w:t>ė</w:t>
      </w:r>
      <w:r w:rsidR="00CF303C" w:rsidRPr="00CF303C">
        <w:rPr>
          <w:rFonts w:eastAsia="TimesNewRomanPSMT"/>
          <w:lang w:val="lt-LT"/>
        </w:rPr>
        <w:t>s ar koki</w:t>
      </w:r>
      <w:r w:rsidR="008742DE">
        <w:rPr>
          <w:rFonts w:eastAsia="TimesNewRomanPSMT"/>
          <w:lang w:val="lt-LT"/>
        </w:rPr>
        <w:t>ą</w:t>
      </w:r>
      <w:r w:rsidR="00CF303C" w:rsidRPr="00CF303C">
        <w:rPr>
          <w:rFonts w:eastAsia="TimesNewRomanPSMT"/>
          <w:lang w:val="lt-LT"/>
        </w:rPr>
        <w:t xml:space="preserve"> kit</w:t>
      </w:r>
      <w:r w:rsidR="008742DE">
        <w:rPr>
          <w:rFonts w:eastAsia="TimesNewRomanPSMT"/>
          <w:lang w:val="lt-LT"/>
        </w:rPr>
        <w:t>ą</w:t>
      </w:r>
      <w:r w:rsidR="00CF303C" w:rsidRPr="00CF303C">
        <w:rPr>
          <w:rFonts w:eastAsia="TimesNewRomanPSMT"/>
          <w:lang w:val="lt-LT"/>
        </w:rPr>
        <w:t xml:space="preserve"> teis</w:t>
      </w:r>
      <w:r w:rsidR="008742DE">
        <w:rPr>
          <w:rFonts w:eastAsia="TimesNewRomanPSMT"/>
          <w:lang w:val="lt-LT"/>
        </w:rPr>
        <w:t>ę</w:t>
      </w:r>
      <w:r w:rsidR="00CF303C" w:rsidRPr="00CF303C">
        <w:rPr>
          <w:rFonts w:eastAsia="TimesNewRomanPSMT"/>
          <w:lang w:val="lt-LT"/>
        </w:rPr>
        <w:t xml:space="preserve"> </w:t>
      </w:r>
      <w:r w:rsidR="008742DE">
        <w:rPr>
          <w:rFonts w:eastAsia="TimesNewRomanPSMT"/>
          <w:lang w:val="lt-LT"/>
        </w:rPr>
        <w:t>į</w:t>
      </w:r>
      <w:r w:rsidR="00CF303C" w:rsidRPr="00CF303C">
        <w:rPr>
          <w:rFonts w:eastAsia="TimesNewRomanPSMT"/>
          <w:lang w:val="lt-LT"/>
        </w:rPr>
        <w:t xml:space="preserve"> turt</w:t>
      </w:r>
      <w:r w:rsidR="008742DE">
        <w:rPr>
          <w:rFonts w:eastAsia="TimesNewRomanPSMT"/>
          <w:lang w:val="lt-LT"/>
        </w:rPr>
        <w:t>ą</w:t>
      </w:r>
      <w:r w:rsidR="00CF303C" w:rsidRPr="00CF303C">
        <w:rPr>
          <w:rFonts w:eastAsia="TimesNewRomanPSMT"/>
          <w:lang w:val="lt-LT"/>
        </w:rPr>
        <w:t xml:space="preserve">, o registruoto turto atveju </w:t>
      </w:r>
      <w:r w:rsidR="00832B6F" w:rsidRPr="00832B6F">
        <w:rPr>
          <w:rFonts w:eastAsia="TimesNewRomanPSMT"/>
          <w:lang w:val="lt-LT"/>
        </w:rPr>
        <w:t xml:space="preserve">turi būti </w:t>
      </w:r>
      <w:r w:rsidR="00CF303C" w:rsidRPr="00CF303C">
        <w:rPr>
          <w:rFonts w:eastAsia="TimesNewRomanPSMT"/>
          <w:lang w:val="lt-LT"/>
        </w:rPr>
        <w:t>pateik</w:t>
      </w:r>
      <w:r w:rsidR="00832B6F" w:rsidRPr="00832B6F">
        <w:rPr>
          <w:rFonts w:eastAsia="TimesNewRomanPSMT"/>
          <w:lang w:val="lt-LT"/>
        </w:rPr>
        <w:t>iama</w:t>
      </w:r>
      <w:r w:rsidR="00CF303C" w:rsidRPr="00CF303C">
        <w:rPr>
          <w:rFonts w:eastAsia="TimesNewRomanPSMT"/>
          <w:lang w:val="lt-LT"/>
        </w:rPr>
        <w:t xml:space="preserve"> </w:t>
      </w:r>
      <w:r w:rsidR="00CF303C" w:rsidRPr="00CF303C">
        <w:rPr>
          <w:rFonts w:eastAsia="TimesNewRomanPSMT"/>
          <w:i/>
          <w:iCs/>
          <w:lang w:val="lt-LT"/>
        </w:rPr>
        <w:t>informacija, pagal registr</w:t>
      </w:r>
      <w:r w:rsidR="008742DE">
        <w:rPr>
          <w:rFonts w:eastAsia="TimesNewRomanPSMT"/>
          <w:i/>
          <w:iCs/>
          <w:lang w:val="lt-LT"/>
        </w:rPr>
        <w:t>ą</w:t>
      </w:r>
      <w:r w:rsidR="00CF303C" w:rsidRPr="00CF303C">
        <w:rPr>
          <w:rFonts w:eastAsia="TimesNewRomanPSMT"/>
          <w:i/>
          <w:iCs/>
          <w:lang w:val="lt-LT"/>
        </w:rPr>
        <w:t xml:space="preserve"> tvarkan</w:t>
      </w:r>
      <w:r w:rsidR="008742DE">
        <w:rPr>
          <w:rFonts w:eastAsia="TimesNewRomanPSMT"/>
          <w:i/>
          <w:iCs/>
          <w:lang w:val="lt-LT"/>
        </w:rPr>
        <w:t>č</w:t>
      </w:r>
      <w:r w:rsidR="00CF303C" w:rsidRPr="00CF303C">
        <w:rPr>
          <w:rFonts w:eastAsia="TimesNewRomanPSMT"/>
          <w:i/>
          <w:iCs/>
          <w:lang w:val="lt-LT"/>
        </w:rPr>
        <w:t>ios valstyb</w:t>
      </w:r>
      <w:r w:rsidR="008742DE">
        <w:rPr>
          <w:rFonts w:eastAsia="TimesNewRomanPSMT"/>
          <w:i/>
          <w:iCs/>
          <w:lang w:val="lt-LT"/>
        </w:rPr>
        <w:t>ė</w:t>
      </w:r>
      <w:r w:rsidR="00CF303C" w:rsidRPr="00CF303C">
        <w:rPr>
          <w:rFonts w:eastAsia="TimesNewRomanPSMT"/>
          <w:i/>
          <w:iCs/>
          <w:lang w:val="lt-LT"/>
        </w:rPr>
        <w:t>s nar</w:t>
      </w:r>
      <w:r w:rsidR="008742DE">
        <w:rPr>
          <w:rFonts w:eastAsia="TimesNewRomanPSMT"/>
          <w:i/>
          <w:iCs/>
          <w:lang w:val="lt-LT"/>
        </w:rPr>
        <w:t>ė</w:t>
      </w:r>
      <w:r w:rsidR="00CF303C" w:rsidRPr="00CF303C">
        <w:rPr>
          <w:rFonts w:eastAsia="TimesNewRomanPSMT"/>
          <w:i/>
          <w:iCs/>
          <w:lang w:val="lt-LT"/>
        </w:rPr>
        <w:t>s teis</w:t>
      </w:r>
      <w:r w:rsidR="008742DE">
        <w:rPr>
          <w:rFonts w:eastAsia="TimesNewRomanPSMT"/>
          <w:i/>
          <w:iCs/>
          <w:lang w:val="lt-LT"/>
        </w:rPr>
        <w:t>ę</w:t>
      </w:r>
      <w:r w:rsidR="00CF303C" w:rsidRPr="00CF303C">
        <w:rPr>
          <w:rFonts w:eastAsia="TimesNewRomanPSMT"/>
          <w:i/>
          <w:iCs/>
          <w:lang w:val="lt-LT"/>
        </w:rPr>
        <w:t xml:space="preserve"> reikaling</w:t>
      </w:r>
      <w:r w:rsidR="00832B6F" w:rsidRPr="00832B6F">
        <w:rPr>
          <w:rFonts w:eastAsia="TimesNewRomanPSMT"/>
          <w:i/>
          <w:iCs/>
          <w:lang w:val="lt-LT"/>
        </w:rPr>
        <w:t>a</w:t>
      </w:r>
      <w:r w:rsidR="00CF303C" w:rsidRPr="00CF303C">
        <w:rPr>
          <w:rFonts w:eastAsia="TimesNewRomanPSMT"/>
          <w:i/>
          <w:iCs/>
          <w:lang w:val="lt-LT"/>
        </w:rPr>
        <w:t xml:space="preserve"> turtui identifikuoti</w:t>
      </w:r>
      <w:r w:rsidR="00CF303C" w:rsidRPr="00CF303C">
        <w:rPr>
          <w:rFonts w:eastAsia="TimesNewRomanPSMT"/>
          <w:lang w:val="lt-LT"/>
        </w:rPr>
        <w:t xml:space="preserve"> (pvz., tiksl</w:t>
      </w:r>
      <w:r w:rsidR="00832B6F" w:rsidRPr="00832B6F">
        <w:rPr>
          <w:rFonts w:eastAsia="TimesNewRomanPSMT"/>
          <w:lang w:val="lt-LT"/>
        </w:rPr>
        <w:t>us</w:t>
      </w:r>
      <w:r w:rsidR="00CF303C" w:rsidRPr="00CF303C">
        <w:rPr>
          <w:rFonts w:eastAsia="TimesNewRomanPSMT"/>
          <w:lang w:val="lt-LT"/>
        </w:rPr>
        <w:t xml:space="preserve"> nekilnojamojo turto objekto adres</w:t>
      </w:r>
      <w:r w:rsidR="00832B6F" w:rsidRPr="00832B6F">
        <w:rPr>
          <w:rFonts w:eastAsia="TimesNewRomanPSMT"/>
          <w:lang w:val="lt-LT"/>
        </w:rPr>
        <w:t>as</w:t>
      </w:r>
      <w:r w:rsidR="00CF303C" w:rsidRPr="00CF303C">
        <w:rPr>
          <w:rFonts w:eastAsia="TimesNewRomanPSMT"/>
          <w:lang w:val="lt-LT"/>
        </w:rPr>
        <w:t xml:space="preserve">, </w:t>
      </w:r>
      <w:r w:rsidR="008742DE">
        <w:rPr>
          <w:rFonts w:eastAsia="TimesNewRomanPSMT"/>
          <w:lang w:val="lt-LT"/>
        </w:rPr>
        <w:t>ž</w:t>
      </w:r>
      <w:r w:rsidR="00CF303C" w:rsidRPr="00CF303C">
        <w:rPr>
          <w:rFonts w:eastAsia="TimesNewRomanPSMT"/>
          <w:lang w:val="lt-LT"/>
        </w:rPr>
        <w:t>em</w:t>
      </w:r>
      <w:r w:rsidR="00832B6F" w:rsidRPr="00832B6F">
        <w:rPr>
          <w:rFonts w:eastAsia="TimesNewRomanPSMT"/>
          <w:lang w:val="lt-LT"/>
        </w:rPr>
        <w:t>ė</w:t>
      </w:r>
      <w:r w:rsidR="00CF303C" w:rsidRPr="00CF303C">
        <w:rPr>
          <w:rFonts w:eastAsia="TimesNewRomanPSMT"/>
          <w:lang w:val="lt-LT"/>
        </w:rPr>
        <w:t>s registro, sklypo ar kadastro numer</w:t>
      </w:r>
      <w:r w:rsidR="00832B6F" w:rsidRPr="00832B6F">
        <w:rPr>
          <w:rFonts w:eastAsia="TimesNewRomanPSMT"/>
          <w:lang w:val="lt-LT"/>
        </w:rPr>
        <w:t>is</w:t>
      </w:r>
      <w:r w:rsidR="00CF303C" w:rsidRPr="00CF303C">
        <w:rPr>
          <w:rFonts w:eastAsia="TimesNewRomanPSMT"/>
          <w:lang w:val="lt-LT"/>
        </w:rPr>
        <w:t>, turto apra</w:t>
      </w:r>
      <w:r w:rsidR="00832B6F" w:rsidRPr="00832B6F">
        <w:rPr>
          <w:rFonts w:eastAsia="TimesNewRomanPSMT"/>
          <w:lang w:val="lt-LT"/>
        </w:rPr>
        <w:t>šas</w:t>
      </w:r>
      <w:r w:rsidR="00CF303C" w:rsidRPr="00CF303C">
        <w:rPr>
          <w:rFonts w:eastAsia="TimesNewRomanPSMT"/>
          <w:lang w:val="lt-LT"/>
        </w:rPr>
        <w:t xml:space="preserve">). </w:t>
      </w:r>
    </w:p>
    <w:p w14:paraId="2D5BEE86" w14:textId="0E0CBD18" w:rsidR="00E172BD" w:rsidRPr="004F011C" w:rsidRDefault="00CE3FA8" w:rsidP="00CE3FA8">
      <w:pPr>
        <w:tabs>
          <w:tab w:val="left" w:pos="0"/>
        </w:tabs>
        <w:spacing w:line="360" w:lineRule="auto"/>
        <w:ind w:firstLine="709"/>
        <w:jc w:val="both"/>
        <w:rPr>
          <w:lang w:val="lt-LT"/>
        </w:rPr>
      </w:pPr>
      <w:r w:rsidRPr="004F011C">
        <w:rPr>
          <w:lang w:val="lt-LT"/>
        </w:rPr>
        <w:t xml:space="preserve">Vadovaujantis </w:t>
      </w:r>
      <w:r w:rsidR="00E172BD" w:rsidRPr="004F011C">
        <w:rPr>
          <w:lang w:val="lt-LT"/>
        </w:rPr>
        <w:t>Lietuvos Respublikos nekilnojamojo turto registro įstatym</w:t>
      </w:r>
      <w:r w:rsidRPr="004F011C">
        <w:rPr>
          <w:lang w:val="lt-LT"/>
        </w:rPr>
        <w:t xml:space="preserve">o </w:t>
      </w:r>
      <w:r w:rsidR="00E172BD" w:rsidRPr="004F011C">
        <w:rPr>
          <w:lang w:val="lt-LT"/>
        </w:rPr>
        <w:t xml:space="preserve">23 straipsniu, kartu su prašymu įregistruoti nuosavybės teisę į nekilnojamąjį daiktą turi būti pateikiami dokumentai, patvirtinantys prašomų įregistruoti daiktinių teisių, šių teisių suvaržymų, juridinių faktų atsiradimą. Dokumentai, kurių pagrindu patvirtinamos, atsiranda, baigiasi, perleidžiamos ar suvaržomos daiktinės teisės į nekilnojamąjį daiktą, šių teisių suvaržymai, juridiniai faktai, turi atitikti teisės aktų reikalavimus, </w:t>
      </w:r>
      <w:r w:rsidR="00E172BD" w:rsidRPr="004F011C">
        <w:rPr>
          <w:i/>
          <w:iCs/>
          <w:lang w:val="lt-LT"/>
        </w:rPr>
        <w:t>juose turi būti įregistravimui nekilnojamojo turto registre būtini duomenys</w:t>
      </w:r>
      <w:r w:rsidR="00E172BD" w:rsidRPr="004F011C">
        <w:rPr>
          <w:lang w:val="lt-LT"/>
        </w:rPr>
        <w:t xml:space="preserve">. Dokumentuose, kurių pagrindu prašoma atlikti registraciją, </w:t>
      </w:r>
      <w:r w:rsidR="00E172BD" w:rsidRPr="004F011C">
        <w:rPr>
          <w:i/>
          <w:iCs/>
          <w:lang w:val="lt-LT"/>
        </w:rPr>
        <w:t>turi būti pilni asmenų, susijusių su registracija, vardai, pavardės, pavadinimai, adresai, kodai bei nekilnojamojo daikto, susijusio su registracija, unikalus numeris, kuris suteikiamas Nekilnojamojo turto kadastro nuostatų nustatyta tvarka</w:t>
      </w:r>
      <w:r w:rsidR="00E172BD" w:rsidRPr="004F011C">
        <w:rPr>
          <w:lang w:val="lt-LT"/>
        </w:rPr>
        <w:t>.</w:t>
      </w:r>
    </w:p>
    <w:p w14:paraId="62D147B7" w14:textId="7A8A337C" w:rsidR="00E172BD" w:rsidRPr="004F011C" w:rsidRDefault="004F011C" w:rsidP="004F011C">
      <w:pPr>
        <w:tabs>
          <w:tab w:val="left" w:pos="0"/>
        </w:tabs>
        <w:spacing w:line="360" w:lineRule="auto"/>
        <w:ind w:firstLine="709"/>
        <w:jc w:val="both"/>
        <w:rPr>
          <w:lang w:val="lt-LT"/>
        </w:rPr>
      </w:pPr>
      <w:r w:rsidRPr="004F011C">
        <w:rPr>
          <w:lang w:val="lt-LT"/>
        </w:rPr>
        <w:t>Atsižvelgiant į nurodytas Reglamento 650/2012 bei nacionalinės teisės aktų nuostatas</w:t>
      </w:r>
      <w:r w:rsidR="00974B40">
        <w:rPr>
          <w:lang w:val="lt-LT"/>
        </w:rPr>
        <w:t>,</w:t>
      </w:r>
      <w:r w:rsidRPr="004F011C">
        <w:rPr>
          <w:iCs/>
          <w:lang w:val="lt-LT"/>
        </w:rPr>
        <w:t xml:space="preserve"> į LVAT pateiktą klausimą siūloma atsakyt</w:t>
      </w:r>
      <w:r w:rsidR="00832B6F">
        <w:rPr>
          <w:iCs/>
          <w:lang w:val="lt-LT"/>
        </w:rPr>
        <w:t>i</w:t>
      </w:r>
      <w:r w:rsidRPr="004F011C">
        <w:rPr>
          <w:iCs/>
          <w:lang w:val="lt-LT"/>
        </w:rPr>
        <w:t xml:space="preserve"> taip:</w:t>
      </w:r>
      <w:r w:rsidRPr="004F011C">
        <w:rPr>
          <w:lang w:val="lt-LT"/>
        </w:rPr>
        <w:t xml:space="preserve"> </w:t>
      </w:r>
      <w:r w:rsidR="00E172BD" w:rsidRPr="004F011C">
        <w:rPr>
          <w:lang w:val="lt-LT"/>
        </w:rPr>
        <w:t xml:space="preserve">Reglamento </w:t>
      </w:r>
      <w:r w:rsidRPr="004F011C">
        <w:rPr>
          <w:lang w:val="lt-LT"/>
        </w:rPr>
        <w:t xml:space="preserve">650/2012 </w:t>
      </w:r>
      <w:r w:rsidR="00E172BD" w:rsidRPr="004F011C">
        <w:rPr>
          <w:lang w:val="lt-LT"/>
        </w:rPr>
        <w:t xml:space="preserve">1 straipsnio 2 dalies </w:t>
      </w:r>
      <w:r w:rsidRPr="004F011C">
        <w:rPr>
          <w:lang w:val="lt-LT"/>
        </w:rPr>
        <w:t>l </w:t>
      </w:r>
      <w:r w:rsidR="00E172BD" w:rsidRPr="004F011C">
        <w:rPr>
          <w:lang w:val="lt-LT"/>
        </w:rPr>
        <w:t>punkt</w:t>
      </w:r>
      <w:r w:rsidRPr="004F011C">
        <w:rPr>
          <w:lang w:val="lt-LT"/>
        </w:rPr>
        <w:t>o</w:t>
      </w:r>
      <w:r w:rsidR="00E172BD" w:rsidRPr="004F011C">
        <w:rPr>
          <w:lang w:val="lt-LT"/>
        </w:rPr>
        <w:t xml:space="preserve"> ir 69 straipsnio 5 dali</w:t>
      </w:r>
      <w:r w:rsidRPr="004F011C">
        <w:rPr>
          <w:lang w:val="lt-LT"/>
        </w:rPr>
        <w:t>es nuostatos</w:t>
      </w:r>
      <w:r w:rsidR="00E172BD" w:rsidRPr="004F011C">
        <w:rPr>
          <w:lang w:val="lt-LT"/>
        </w:rPr>
        <w:t xml:space="preserve"> turi būti aiškinam</w:t>
      </w:r>
      <w:r w:rsidRPr="004F011C">
        <w:rPr>
          <w:lang w:val="lt-LT"/>
        </w:rPr>
        <w:t>os</w:t>
      </w:r>
      <w:r w:rsidR="00E172BD" w:rsidRPr="004F011C">
        <w:rPr>
          <w:lang w:val="lt-LT"/>
        </w:rPr>
        <w:t xml:space="preserve"> taip, kad pagal jas nėra draudžiamos nekilnojamojo turto buvimo vietos valstybės narės teisės normos, pagal kurias Europos paveldėjimo pažymėjimo pagrindu įregistruoti nuosavybės teises Nekilnojamojo turto registre galima tik tuo atveju, jei Europos paveldėjimo pažymėjime nurodyti visi įregistravimui būtini duomenys.</w:t>
      </w:r>
    </w:p>
    <w:p w14:paraId="6427FCB3" w14:textId="77777777" w:rsidR="00B24873" w:rsidRPr="004F011C" w:rsidRDefault="00B24873" w:rsidP="00B24873">
      <w:pPr>
        <w:tabs>
          <w:tab w:val="left" w:pos="0"/>
        </w:tabs>
        <w:spacing w:after="120" w:line="360" w:lineRule="auto"/>
        <w:jc w:val="both"/>
        <w:rPr>
          <w:bCs/>
          <w:iCs/>
          <w:lang w:val="lt-LT"/>
        </w:rPr>
      </w:pPr>
    </w:p>
    <w:p w14:paraId="6D1654D0" w14:textId="77777777" w:rsidR="00B24873" w:rsidRPr="004F011C" w:rsidRDefault="00B24873" w:rsidP="00B24873">
      <w:pPr>
        <w:tabs>
          <w:tab w:val="left" w:pos="0"/>
        </w:tabs>
        <w:spacing w:after="240" w:line="360" w:lineRule="auto"/>
        <w:jc w:val="both"/>
        <w:rPr>
          <w:rFonts w:eastAsia="Calibri"/>
          <w:b/>
          <w:lang w:val="lt-LT"/>
        </w:rPr>
      </w:pPr>
      <w:r w:rsidRPr="004F011C">
        <w:rPr>
          <w:rFonts w:eastAsia="Calibri"/>
          <w:b/>
          <w:lang w:val="lt-LT"/>
        </w:rPr>
        <w:t>Lietuvos Respublikos pozicijos rengėjai</w:t>
      </w:r>
    </w:p>
    <w:p w14:paraId="0CC09E16" w14:textId="3168704C" w:rsidR="00A56A99" w:rsidRPr="004F011C" w:rsidRDefault="00B24873" w:rsidP="006018E1">
      <w:pPr>
        <w:tabs>
          <w:tab w:val="left" w:pos="0"/>
        </w:tabs>
        <w:spacing w:line="360" w:lineRule="auto"/>
        <w:ind w:firstLine="709"/>
        <w:jc w:val="both"/>
        <w:rPr>
          <w:rFonts w:eastAsia="Calibri"/>
          <w:lang w:val="lt-LT"/>
        </w:rPr>
      </w:pPr>
      <w:r w:rsidRPr="004F011C">
        <w:rPr>
          <w:rFonts w:eastAsia="Calibri"/>
          <w:lang w:val="lt-LT"/>
        </w:rPr>
        <w:t>Lietuvos Respublikos poziciją byloje</w:t>
      </w:r>
      <w:r w:rsidRPr="004F011C">
        <w:rPr>
          <w:i/>
          <w:lang w:val="lt-LT"/>
        </w:rPr>
        <w:t xml:space="preserve"> </w:t>
      </w:r>
      <w:r w:rsidR="004F011C" w:rsidRPr="004F011C">
        <w:rPr>
          <w:rFonts w:eastAsia="Calibri"/>
          <w:i/>
          <w:iCs/>
          <w:lang w:val="lt-LT"/>
        </w:rPr>
        <w:t xml:space="preserve">Registrų centras, </w:t>
      </w:r>
      <w:r w:rsidR="004F011C" w:rsidRPr="004F011C">
        <w:rPr>
          <w:caps/>
          <w:spacing w:val="-6"/>
          <w:lang w:val="lt-LT"/>
        </w:rPr>
        <w:t>C−354/21,</w:t>
      </w:r>
      <w:r w:rsidRPr="004F011C">
        <w:rPr>
          <w:b/>
          <w:caps/>
          <w:spacing w:val="-6"/>
          <w:lang w:val="lt-LT"/>
        </w:rPr>
        <w:t xml:space="preserve"> </w:t>
      </w:r>
      <w:r w:rsidRPr="004F011C">
        <w:rPr>
          <w:rFonts w:eastAsia="Calibri"/>
          <w:lang w:val="lt-LT"/>
        </w:rPr>
        <w:t>parengė</w:t>
      </w:r>
      <w:r w:rsidRPr="004F011C">
        <w:rPr>
          <w:rFonts w:ascii="Calibri" w:eastAsia="Calibri" w:hAnsi="Calibri"/>
          <w:lang w:val="lt-LT"/>
        </w:rPr>
        <w:t xml:space="preserve"> </w:t>
      </w:r>
      <w:r w:rsidRPr="004F011C">
        <w:rPr>
          <w:rFonts w:eastAsia="Calibri"/>
          <w:lang w:val="lt-LT"/>
        </w:rPr>
        <w:t xml:space="preserve">Lietuvos Respublikos teisingumo ministerijos </w:t>
      </w:r>
      <w:r w:rsidR="0003697E">
        <w:rPr>
          <w:rFonts w:eastAsia="Calibri"/>
          <w:lang w:val="lt-LT" w:eastAsia="x-none"/>
        </w:rPr>
        <w:t>Europos Sąjungos teisės</w:t>
      </w:r>
      <w:r w:rsidR="0003697E" w:rsidRPr="004F011C">
        <w:rPr>
          <w:rFonts w:eastAsia="Calibri"/>
          <w:lang w:val="lt-LT"/>
        </w:rPr>
        <w:t xml:space="preserve"> </w:t>
      </w:r>
      <w:r w:rsidRPr="004F011C">
        <w:rPr>
          <w:rFonts w:eastAsia="Calibri"/>
          <w:lang w:val="lt-LT"/>
        </w:rPr>
        <w:t>grupės vyresnioji patarėja Vytautė Kazlauskaitė-Švenčionienė (tel.:</w:t>
      </w:r>
      <w:r w:rsidR="00D32EB3" w:rsidRPr="004F011C">
        <w:rPr>
          <w:rFonts w:eastAsia="Calibri"/>
          <w:lang w:val="lt-LT"/>
        </w:rPr>
        <w:t> </w:t>
      </w:r>
      <w:r w:rsidRPr="004F011C">
        <w:rPr>
          <w:rFonts w:eastAsia="Calibri"/>
          <w:lang w:val="lt-LT"/>
        </w:rPr>
        <w:t xml:space="preserve">2662925, el. paštas: </w:t>
      </w:r>
      <w:hyperlink r:id="rId7" w:history="1">
        <w:r w:rsidRPr="004F011C">
          <w:rPr>
            <w:rStyle w:val="Hyperlink"/>
            <w:rFonts w:eastAsia="Calibri"/>
            <w:lang w:val="lt-LT"/>
          </w:rPr>
          <w:t>vytaute.kazlauskaite@tm.lt</w:t>
        </w:r>
      </w:hyperlink>
      <w:r w:rsidRPr="004F011C">
        <w:rPr>
          <w:rFonts w:eastAsia="Calibri"/>
          <w:lang w:val="lt-LT"/>
        </w:rPr>
        <w:t>).</w:t>
      </w:r>
    </w:p>
    <w:sectPr w:rsidR="00A56A99" w:rsidRPr="004F011C" w:rsidSect="00D32EB3">
      <w:headerReference w:type="default" r:id="rId8"/>
      <w:pgSz w:w="12240" w:h="15840"/>
      <w:pgMar w:top="1134" w:right="102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2CDC7C" w14:textId="77777777" w:rsidR="00C014A3" w:rsidRDefault="00C014A3">
      <w:r>
        <w:separator/>
      </w:r>
    </w:p>
  </w:endnote>
  <w:endnote w:type="continuationSeparator" w:id="0">
    <w:p w14:paraId="64AEFB6F" w14:textId="77777777" w:rsidR="00C014A3" w:rsidRDefault="00C01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imesLT">
    <w:altName w:val="Times New Roman"/>
    <w:panose1 w:val="020B0604020202020204"/>
    <w:charset w:val="BA"/>
    <w:family w:val="roman"/>
    <w:notTrueType/>
    <w:pitch w:val="variable"/>
    <w:sig w:usb0="00000007" w:usb1="00000000" w:usb2="00000000" w:usb3="00000000" w:csb0="00000081"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Heiti TC Light"/>
    <w:panose1 w:val="020B0604020202020204"/>
    <w:charset w:val="80"/>
    <w:family w:val="auto"/>
    <w:notTrueType/>
    <w:pitch w:val="default"/>
    <w:sig w:usb0="00000000" w:usb1="08070000" w:usb2="00000010" w:usb3="00000000" w:csb0="0002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7C9F96" w14:textId="77777777" w:rsidR="00C014A3" w:rsidRDefault="00C014A3">
      <w:r>
        <w:separator/>
      </w:r>
    </w:p>
  </w:footnote>
  <w:footnote w:type="continuationSeparator" w:id="0">
    <w:p w14:paraId="415BFA27" w14:textId="77777777" w:rsidR="00C014A3" w:rsidRDefault="00C01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3AB0C" w14:textId="77777777" w:rsidR="007C7099" w:rsidRPr="0063012A" w:rsidRDefault="00B24873">
    <w:pPr>
      <w:pStyle w:val="Header"/>
      <w:jc w:val="center"/>
    </w:pPr>
    <w:r w:rsidRPr="0063012A">
      <w:fldChar w:fldCharType="begin"/>
    </w:r>
    <w:r w:rsidRPr="0063012A">
      <w:instrText xml:space="preserve"> PAGE   \* MERGEFORMAT </w:instrText>
    </w:r>
    <w:r w:rsidRPr="0063012A">
      <w:fldChar w:fldCharType="separate"/>
    </w:r>
    <w:r w:rsidR="00E47C76">
      <w:rPr>
        <w:noProof/>
      </w:rPr>
      <w:t>5</w:t>
    </w:r>
    <w:r w:rsidRPr="0063012A">
      <w:fldChar w:fldCharType="end"/>
    </w:r>
  </w:p>
  <w:p w14:paraId="6C95E2F1" w14:textId="77777777" w:rsidR="007C7099" w:rsidRPr="00702964" w:rsidRDefault="00C014A3" w:rsidP="007C7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678C1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495252"/>
    <w:multiLevelType w:val="hybridMultilevel"/>
    <w:tmpl w:val="2A24F2E4"/>
    <w:lvl w:ilvl="0" w:tplc="0384348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A820784"/>
    <w:multiLevelType w:val="hybridMultilevel"/>
    <w:tmpl w:val="2A24F2E4"/>
    <w:lvl w:ilvl="0" w:tplc="0384348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15F31DC"/>
    <w:multiLevelType w:val="hybridMultilevel"/>
    <w:tmpl w:val="1CEE59F8"/>
    <w:lvl w:ilvl="0" w:tplc="4CBACE68">
      <w:start w:val="1"/>
      <w:numFmt w:val="decimal"/>
      <w:lvlText w:val="%1."/>
      <w:lvlJc w:val="left"/>
      <w:pPr>
        <w:ind w:left="1353"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934163C"/>
    <w:multiLevelType w:val="hybridMultilevel"/>
    <w:tmpl w:val="1E3C3E58"/>
    <w:lvl w:ilvl="0" w:tplc="D1286A36">
      <w:start w:val="202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A99"/>
    <w:rsid w:val="000049B2"/>
    <w:rsid w:val="0001354D"/>
    <w:rsid w:val="00013CBB"/>
    <w:rsid w:val="000358C1"/>
    <w:rsid w:val="0003697E"/>
    <w:rsid w:val="000A57BE"/>
    <w:rsid w:val="001505CC"/>
    <w:rsid w:val="00156F61"/>
    <w:rsid w:val="001B4E96"/>
    <w:rsid w:val="001C4A2E"/>
    <w:rsid w:val="001F63E1"/>
    <w:rsid w:val="0022408C"/>
    <w:rsid w:val="00245AB0"/>
    <w:rsid w:val="00263A64"/>
    <w:rsid w:val="0027100C"/>
    <w:rsid w:val="002A3DB0"/>
    <w:rsid w:val="002F3C12"/>
    <w:rsid w:val="00324E5D"/>
    <w:rsid w:val="00370B04"/>
    <w:rsid w:val="00386EAE"/>
    <w:rsid w:val="003B1617"/>
    <w:rsid w:val="004B0382"/>
    <w:rsid w:val="004D7C53"/>
    <w:rsid w:val="004F011C"/>
    <w:rsid w:val="0057799F"/>
    <w:rsid w:val="005872C8"/>
    <w:rsid w:val="005B06F5"/>
    <w:rsid w:val="005D570E"/>
    <w:rsid w:val="006018E1"/>
    <w:rsid w:val="00610B2D"/>
    <w:rsid w:val="0064087F"/>
    <w:rsid w:val="006621D7"/>
    <w:rsid w:val="006C76BF"/>
    <w:rsid w:val="006E6FC2"/>
    <w:rsid w:val="00744800"/>
    <w:rsid w:val="00765332"/>
    <w:rsid w:val="0079481B"/>
    <w:rsid w:val="007B39A5"/>
    <w:rsid w:val="007B48DF"/>
    <w:rsid w:val="00832B6F"/>
    <w:rsid w:val="00846A03"/>
    <w:rsid w:val="008742DE"/>
    <w:rsid w:val="008840D0"/>
    <w:rsid w:val="008905F6"/>
    <w:rsid w:val="008A1984"/>
    <w:rsid w:val="008D5627"/>
    <w:rsid w:val="00960021"/>
    <w:rsid w:val="00974B40"/>
    <w:rsid w:val="00980467"/>
    <w:rsid w:val="00984483"/>
    <w:rsid w:val="009A4A91"/>
    <w:rsid w:val="00A1767F"/>
    <w:rsid w:val="00A56A99"/>
    <w:rsid w:val="00A70998"/>
    <w:rsid w:val="00B1428D"/>
    <w:rsid w:val="00B24873"/>
    <w:rsid w:val="00B41FAB"/>
    <w:rsid w:val="00BC041C"/>
    <w:rsid w:val="00BC4844"/>
    <w:rsid w:val="00C0034B"/>
    <w:rsid w:val="00C014A3"/>
    <w:rsid w:val="00C11AF1"/>
    <w:rsid w:val="00CE3FA8"/>
    <w:rsid w:val="00CF303C"/>
    <w:rsid w:val="00D07AA5"/>
    <w:rsid w:val="00D1769B"/>
    <w:rsid w:val="00D32EB3"/>
    <w:rsid w:val="00D3342D"/>
    <w:rsid w:val="00D367C9"/>
    <w:rsid w:val="00D61F89"/>
    <w:rsid w:val="00DA4D7F"/>
    <w:rsid w:val="00DC50F4"/>
    <w:rsid w:val="00E172BD"/>
    <w:rsid w:val="00E47C64"/>
    <w:rsid w:val="00E47C76"/>
    <w:rsid w:val="00E56051"/>
    <w:rsid w:val="00E85069"/>
    <w:rsid w:val="00EC2353"/>
    <w:rsid w:val="00EC449B"/>
    <w:rsid w:val="00ED418B"/>
    <w:rsid w:val="00EF5292"/>
    <w:rsid w:val="00F13E3B"/>
    <w:rsid w:val="00F316D9"/>
    <w:rsid w:val="00F35DDB"/>
    <w:rsid w:val="00F409A6"/>
    <w:rsid w:val="00F41B0B"/>
    <w:rsid w:val="00F57530"/>
    <w:rsid w:val="00F64368"/>
    <w:rsid w:val="00F83555"/>
    <w:rsid w:val="00FC55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639B7"/>
  <w15:docId w15:val="{7E90C1AF-BFFA-E044-9B33-E89AE869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6F5"/>
    <w:rPr>
      <w:rFonts w:ascii="Times New Roman" w:eastAsia="Times New Roman" w:hAnsi="Times New Roman"/>
      <w:sz w:val="24"/>
      <w:szCs w:val="24"/>
      <w:lang w:val="en-US" w:eastAsia="en-GB"/>
    </w:rPr>
  </w:style>
  <w:style w:type="paragraph" w:styleId="Heading2">
    <w:name w:val="heading 2"/>
    <w:basedOn w:val="Normal"/>
    <w:next w:val="Normal"/>
    <w:link w:val="Heading2Char"/>
    <w:qFormat/>
    <w:rsid w:val="00A56A99"/>
    <w:pPr>
      <w:keepNext/>
      <w:ind w:left="6480" w:firstLine="720"/>
      <w:jc w:val="both"/>
      <w:outlineLvl w:val="1"/>
    </w:pPr>
    <w:rPr>
      <w:rFonts w:ascii="TimesLT" w:hAnsi="TimesLT"/>
      <w:b/>
      <w:szCs w:val="20"/>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56A99"/>
    <w:rPr>
      <w:rFonts w:ascii="TimesLT" w:eastAsia="Times New Roman" w:hAnsi="TimesLT" w:cs="Times New Roman"/>
      <w:b/>
      <w:sz w:val="24"/>
      <w:szCs w:val="20"/>
    </w:rPr>
  </w:style>
  <w:style w:type="paragraph" w:styleId="Header">
    <w:name w:val="header"/>
    <w:basedOn w:val="Normal"/>
    <w:link w:val="HeaderChar"/>
    <w:uiPriority w:val="99"/>
    <w:rsid w:val="00A56A99"/>
    <w:pPr>
      <w:tabs>
        <w:tab w:val="center" w:pos="4153"/>
        <w:tab w:val="right" w:pos="8306"/>
      </w:tabs>
    </w:pPr>
    <w:rPr>
      <w:szCs w:val="20"/>
      <w:lang w:val="lt-LT" w:eastAsia="lt-LT"/>
    </w:rPr>
  </w:style>
  <w:style w:type="character" w:customStyle="1" w:styleId="HeaderChar">
    <w:name w:val="Header Char"/>
    <w:link w:val="Header"/>
    <w:uiPriority w:val="99"/>
    <w:rsid w:val="00A56A99"/>
    <w:rPr>
      <w:rFonts w:ascii="Times New Roman" w:eastAsia="Times New Roman" w:hAnsi="Times New Roman" w:cs="Times New Roman"/>
      <w:sz w:val="24"/>
      <w:szCs w:val="20"/>
      <w:lang w:eastAsia="lt-LT"/>
    </w:rPr>
  </w:style>
  <w:style w:type="paragraph" w:styleId="ListParagraph">
    <w:name w:val="List Paragraph"/>
    <w:aliases w:val="Table of contents numbered,List Paragraph21,List Paragraph1,Lentele,List Paragraph2,ERP-List Paragraph,List Paragraph11,Bullet EY,Buletai,lp1,Bullet 1,Use Case List Paragraph,Numbering,List Paragraph111,Paragraph,List Paragraph Red"/>
    <w:basedOn w:val="Normal"/>
    <w:link w:val="ListParagraphChar"/>
    <w:uiPriority w:val="34"/>
    <w:qFormat/>
    <w:rsid w:val="0022408C"/>
    <w:pPr>
      <w:ind w:left="720"/>
      <w:contextualSpacing/>
    </w:pPr>
    <w:rPr>
      <w:szCs w:val="20"/>
      <w:lang w:val="lt-LT" w:eastAsia="lt-LT"/>
    </w:rPr>
  </w:style>
  <w:style w:type="character" w:styleId="Hyperlink">
    <w:name w:val="Hyperlink"/>
    <w:basedOn w:val="DefaultParagraphFont"/>
    <w:uiPriority w:val="99"/>
    <w:unhideWhenUsed/>
    <w:rsid w:val="00B24873"/>
    <w:rPr>
      <w:color w:val="0000FF" w:themeColor="hyperlink"/>
      <w:u w:val="single"/>
    </w:rPr>
  </w:style>
  <w:style w:type="paragraph" w:styleId="NormalWeb">
    <w:name w:val="Normal (Web)"/>
    <w:basedOn w:val="Normal"/>
    <w:uiPriority w:val="99"/>
    <w:semiHidden/>
    <w:unhideWhenUsed/>
    <w:rsid w:val="008905F6"/>
    <w:pPr>
      <w:spacing w:before="100" w:beforeAutospacing="1" w:after="100" w:afterAutospacing="1"/>
    </w:pPr>
  </w:style>
  <w:style w:type="character" w:customStyle="1" w:styleId="ListParagraphChar">
    <w:name w:val="List Paragraph Char"/>
    <w:aliases w:val="Table of contents numbered Char,List Paragraph21 Char,List Paragraph1 Char,Lentele Char,List Paragraph2 Char,ERP-List Paragraph Char,List Paragraph11 Char,Bullet EY Char,Buletai Char,lp1 Char,Bullet 1 Char,Numbering Char"/>
    <w:basedOn w:val="DefaultParagraphFont"/>
    <w:link w:val="ListParagraph"/>
    <w:uiPriority w:val="34"/>
    <w:locked/>
    <w:rsid w:val="00BC041C"/>
    <w:rPr>
      <w:rFonts w:ascii="Times New Roman" w:eastAsia="Times New Roman" w:hAnsi="Times New Roman"/>
      <w:sz w:val="24"/>
    </w:rPr>
  </w:style>
  <w:style w:type="paragraph" w:customStyle="1" w:styleId="Tekstas">
    <w:name w:val="Tekstas"/>
    <w:basedOn w:val="Normal"/>
    <w:uiPriority w:val="99"/>
    <w:rsid w:val="0001354D"/>
    <w:pPr>
      <w:spacing w:before="40" w:after="40"/>
      <w:ind w:right="40" w:firstLine="1247"/>
      <w:jc w:val="both"/>
    </w:pPr>
    <w:rPr>
      <w:lang w:val="lt-LT" w:eastAsia="en-US"/>
    </w:rPr>
  </w:style>
  <w:style w:type="character" w:styleId="CommentReference">
    <w:name w:val="annotation reference"/>
    <w:basedOn w:val="DefaultParagraphFont"/>
    <w:uiPriority w:val="99"/>
    <w:semiHidden/>
    <w:unhideWhenUsed/>
    <w:rsid w:val="00C0034B"/>
    <w:rPr>
      <w:sz w:val="16"/>
      <w:szCs w:val="16"/>
    </w:rPr>
  </w:style>
  <w:style w:type="paragraph" w:styleId="CommentText">
    <w:name w:val="annotation text"/>
    <w:basedOn w:val="Normal"/>
    <w:link w:val="CommentTextChar"/>
    <w:uiPriority w:val="99"/>
    <w:semiHidden/>
    <w:unhideWhenUsed/>
    <w:rsid w:val="00C0034B"/>
    <w:rPr>
      <w:sz w:val="20"/>
      <w:szCs w:val="20"/>
      <w:lang w:val="lt-LT" w:eastAsia="lt-LT"/>
    </w:rPr>
  </w:style>
  <w:style w:type="character" w:customStyle="1" w:styleId="CommentTextChar">
    <w:name w:val="Comment Text Char"/>
    <w:basedOn w:val="DefaultParagraphFont"/>
    <w:link w:val="CommentText"/>
    <w:uiPriority w:val="99"/>
    <w:semiHidden/>
    <w:rsid w:val="00C0034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0034B"/>
    <w:rPr>
      <w:b/>
      <w:bCs/>
    </w:rPr>
  </w:style>
  <w:style w:type="character" w:customStyle="1" w:styleId="CommentSubjectChar">
    <w:name w:val="Comment Subject Char"/>
    <w:basedOn w:val="CommentTextChar"/>
    <w:link w:val="CommentSubject"/>
    <w:uiPriority w:val="99"/>
    <w:semiHidden/>
    <w:rsid w:val="00C0034B"/>
    <w:rPr>
      <w:rFonts w:ascii="Times New Roman" w:eastAsia="Times New Roman" w:hAnsi="Times New Roman"/>
      <w:b/>
      <w:bCs/>
    </w:rPr>
  </w:style>
  <w:style w:type="paragraph" w:styleId="BalloonText">
    <w:name w:val="Balloon Text"/>
    <w:basedOn w:val="Normal"/>
    <w:link w:val="BalloonTextChar"/>
    <w:uiPriority w:val="99"/>
    <w:semiHidden/>
    <w:unhideWhenUsed/>
    <w:rsid w:val="00C0034B"/>
    <w:rPr>
      <w:rFonts w:ascii="Segoe UI" w:hAnsi="Segoe UI" w:cs="Segoe UI"/>
      <w:sz w:val="18"/>
      <w:szCs w:val="18"/>
      <w:lang w:val="lt-LT" w:eastAsia="lt-LT"/>
    </w:rPr>
  </w:style>
  <w:style w:type="character" w:customStyle="1" w:styleId="BalloonTextChar">
    <w:name w:val="Balloon Text Char"/>
    <w:basedOn w:val="DefaultParagraphFont"/>
    <w:link w:val="BalloonText"/>
    <w:uiPriority w:val="99"/>
    <w:semiHidden/>
    <w:rsid w:val="00C0034B"/>
    <w:rPr>
      <w:rFonts w:ascii="Segoe UI" w:eastAsia="Times New Roman" w:hAnsi="Segoe UI" w:cs="Segoe UI"/>
      <w:sz w:val="18"/>
      <w:szCs w:val="18"/>
    </w:rPr>
  </w:style>
  <w:style w:type="character" w:customStyle="1" w:styleId="italic">
    <w:name w:val="italic"/>
    <w:basedOn w:val="DefaultParagraphFont"/>
    <w:rsid w:val="005B0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572729">
      <w:bodyDiv w:val="1"/>
      <w:marLeft w:val="0"/>
      <w:marRight w:val="0"/>
      <w:marTop w:val="0"/>
      <w:marBottom w:val="0"/>
      <w:divBdr>
        <w:top w:val="none" w:sz="0" w:space="0" w:color="auto"/>
        <w:left w:val="none" w:sz="0" w:space="0" w:color="auto"/>
        <w:bottom w:val="none" w:sz="0" w:space="0" w:color="auto"/>
        <w:right w:val="none" w:sz="0" w:space="0" w:color="auto"/>
      </w:divBdr>
      <w:divsChild>
        <w:div w:id="118307270">
          <w:marLeft w:val="0"/>
          <w:marRight w:val="0"/>
          <w:marTop w:val="0"/>
          <w:marBottom w:val="0"/>
          <w:divBdr>
            <w:top w:val="none" w:sz="0" w:space="0" w:color="auto"/>
            <w:left w:val="none" w:sz="0" w:space="0" w:color="auto"/>
            <w:bottom w:val="none" w:sz="0" w:space="0" w:color="auto"/>
            <w:right w:val="none" w:sz="0" w:space="0" w:color="auto"/>
          </w:divBdr>
          <w:divsChild>
            <w:div w:id="808863786">
              <w:marLeft w:val="0"/>
              <w:marRight w:val="0"/>
              <w:marTop w:val="0"/>
              <w:marBottom w:val="0"/>
              <w:divBdr>
                <w:top w:val="none" w:sz="0" w:space="0" w:color="auto"/>
                <w:left w:val="none" w:sz="0" w:space="0" w:color="auto"/>
                <w:bottom w:val="none" w:sz="0" w:space="0" w:color="auto"/>
                <w:right w:val="none" w:sz="0" w:space="0" w:color="auto"/>
              </w:divBdr>
              <w:divsChild>
                <w:div w:id="1867016733">
                  <w:marLeft w:val="0"/>
                  <w:marRight w:val="0"/>
                  <w:marTop w:val="0"/>
                  <w:marBottom w:val="0"/>
                  <w:divBdr>
                    <w:top w:val="none" w:sz="0" w:space="0" w:color="auto"/>
                    <w:left w:val="none" w:sz="0" w:space="0" w:color="auto"/>
                    <w:bottom w:val="none" w:sz="0" w:space="0" w:color="auto"/>
                    <w:right w:val="none" w:sz="0" w:space="0" w:color="auto"/>
                  </w:divBdr>
                  <w:divsChild>
                    <w:div w:id="257715197">
                      <w:marLeft w:val="0"/>
                      <w:marRight w:val="0"/>
                      <w:marTop w:val="0"/>
                      <w:marBottom w:val="0"/>
                      <w:divBdr>
                        <w:top w:val="none" w:sz="0" w:space="0" w:color="auto"/>
                        <w:left w:val="none" w:sz="0" w:space="0" w:color="auto"/>
                        <w:bottom w:val="none" w:sz="0" w:space="0" w:color="auto"/>
                        <w:right w:val="none" w:sz="0" w:space="0" w:color="auto"/>
                      </w:divBdr>
                    </w:div>
                  </w:divsChild>
                </w:div>
                <w:div w:id="1258907821">
                  <w:marLeft w:val="0"/>
                  <w:marRight w:val="0"/>
                  <w:marTop w:val="0"/>
                  <w:marBottom w:val="0"/>
                  <w:divBdr>
                    <w:top w:val="none" w:sz="0" w:space="0" w:color="auto"/>
                    <w:left w:val="none" w:sz="0" w:space="0" w:color="auto"/>
                    <w:bottom w:val="none" w:sz="0" w:space="0" w:color="auto"/>
                    <w:right w:val="none" w:sz="0" w:space="0" w:color="auto"/>
                  </w:divBdr>
                  <w:divsChild>
                    <w:div w:id="265044338">
                      <w:marLeft w:val="0"/>
                      <w:marRight w:val="0"/>
                      <w:marTop w:val="0"/>
                      <w:marBottom w:val="0"/>
                      <w:divBdr>
                        <w:top w:val="none" w:sz="0" w:space="0" w:color="auto"/>
                        <w:left w:val="none" w:sz="0" w:space="0" w:color="auto"/>
                        <w:bottom w:val="none" w:sz="0" w:space="0" w:color="auto"/>
                        <w:right w:val="none" w:sz="0" w:space="0" w:color="auto"/>
                      </w:divBdr>
                    </w:div>
                  </w:divsChild>
                </w:div>
                <w:div w:id="82802174">
                  <w:marLeft w:val="0"/>
                  <w:marRight w:val="0"/>
                  <w:marTop w:val="0"/>
                  <w:marBottom w:val="0"/>
                  <w:divBdr>
                    <w:top w:val="none" w:sz="0" w:space="0" w:color="auto"/>
                    <w:left w:val="none" w:sz="0" w:space="0" w:color="auto"/>
                    <w:bottom w:val="none" w:sz="0" w:space="0" w:color="auto"/>
                    <w:right w:val="none" w:sz="0" w:space="0" w:color="auto"/>
                  </w:divBdr>
                  <w:divsChild>
                    <w:div w:id="184327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374872">
      <w:bodyDiv w:val="1"/>
      <w:marLeft w:val="0"/>
      <w:marRight w:val="0"/>
      <w:marTop w:val="0"/>
      <w:marBottom w:val="0"/>
      <w:divBdr>
        <w:top w:val="none" w:sz="0" w:space="0" w:color="auto"/>
        <w:left w:val="none" w:sz="0" w:space="0" w:color="auto"/>
        <w:bottom w:val="none" w:sz="0" w:space="0" w:color="auto"/>
        <w:right w:val="none" w:sz="0" w:space="0" w:color="auto"/>
      </w:divBdr>
    </w:div>
    <w:div w:id="242839852">
      <w:bodyDiv w:val="1"/>
      <w:marLeft w:val="0"/>
      <w:marRight w:val="0"/>
      <w:marTop w:val="0"/>
      <w:marBottom w:val="0"/>
      <w:divBdr>
        <w:top w:val="none" w:sz="0" w:space="0" w:color="auto"/>
        <w:left w:val="none" w:sz="0" w:space="0" w:color="auto"/>
        <w:bottom w:val="none" w:sz="0" w:space="0" w:color="auto"/>
        <w:right w:val="none" w:sz="0" w:space="0" w:color="auto"/>
      </w:divBdr>
    </w:div>
    <w:div w:id="416906839">
      <w:bodyDiv w:val="1"/>
      <w:marLeft w:val="0"/>
      <w:marRight w:val="0"/>
      <w:marTop w:val="0"/>
      <w:marBottom w:val="0"/>
      <w:divBdr>
        <w:top w:val="none" w:sz="0" w:space="0" w:color="auto"/>
        <w:left w:val="none" w:sz="0" w:space="0" w:color="auto"/>
        <w:bottom w:val="none" w:sz="0" w:space="0" w:color="auto"/>
        <w:right w:val="none" w:sz="0" w:space="0" w:color="auto"/>
      </w:divBdr>
      <w:divsChild>
        <w:div w:id="1360660151">
          <w:marLeft w:val="0"/>
          <w:marRight w:val="0"/>
          <w:marTop w:val="0"/>
          <w:marBottom w:val="0"/>
          <w:divBdr>
            <w:top w:val="none" w:sz="0" w:space="0" w:color="auto"/>
            <w:left w:val="none" w:sz="0" w:space="0" w:color="auto"/>
            <w:bottom w:val="none" w:sz="0" w:space="0" w:color="auto"/>
            <w:right w:val="none" w:sz="0" w:space="0" w:color="auto"/>
          </w:divBdr>
          <w:divsChild>
            <w:div w:id="1157258709">
              <w:marLeft w:val="0"/>
              <w:marRight w:val="0"/>
              <w:marTop w:val="0"/>
              <w:marBottom w:val="0"/>
              <w:divBdr>
                <w:top w:val="none" w:sz="0" w:space="0" w:color="auto"/>
                <w:left w:val="none" w:sz="0" w:space="0" w:color="auto"/>
                <w:bottom w:val="none" w:sz="0" w:space="0" w:color="auto"/>
                <w:right w:val="none" w:sz="0" w:space="0" w:color="auto"/>
              </w:divBdr>
              <w:divsChild>
                <w:div w:id="2001887594">
                  <w:marLeft w:val="0"/>
                  <w:marRight w:val="0"/>
                  <w:marTop w:val="0"/>
                  <w:marBottom w:val="0"/>
                  <w:divBdr>
                    <w:top w:val="none" w:sz="0" w:space="0" w:color="auto"/>
                    <w:left w:val="none" w:sz="0" w:space="0" w:color="auto"/>
                    <w:bottom w:val="none" w:sz="0" w:space="0" w:color="auto"/>
                    <w:right w:val="none" w:sz="0" w:space="0" w:color="auto"/>
                  </w:divBdr>
                  <w:divsChild>
                    <w:div w:id="1556702388">
                      <w:marLeft w:val="0"/>
                      <w:marRight w:val="0"/>
                      <w:marTop w:val="0"/>
                      <w:marBottom w:val="0"/>
                      <w:divBdr>
                        <w:top w:val="none" w:sz="0" w:space="0" w:color="auto"/>
                        <w:left w:val="none" w:sz="0" w:space="0" w:color="auto"/>
                        <w:bottom w:val="none" w:sz="0" w:space="0" w:color="auto"/>
                        <w:right w:val="none" w:sz="0" w:space="0" w:color="auto"/>
                      </w:divBdr>
                    </w:div>
                  </w:divsChild>
                </w:div>
                <w:div w:id="526137333">
                  <w:marLeft w:val="0"/>
                  <w:marRight w:val="0"/>
                  <w:marTop w:val="0"/>
                  <w:marBottom w:val="0"/>
                  <w:divBdr>
                    <w:top w:val="none" w:sz="0" w:space="0" w:color="auto"/>
                    <w:left w:val="none" w:sz="0" w:space="0" w:color="auto"/>
                    <w:bottom w:val="none" w:sz="0" w:space="0" w:color="auto"/>
                    <w:right w:val="none" w:sz="0" w:space="0" w:color="auto"/>
                  </w:divBdr>
                  <w:divsChild>
                    <w:div w:id="883636939">
                      <w:marLeft w:val="0"/>
                      <w:marRight w:val="0"/>
                      <w:marTop w:val="0"/>
                      <w:marBottom w:val="0"/>
                      <w:divBdr>
                        <w:top w:val="none" w:sz="0" w:space="0" w:color="auto"/>
                        <w:left w:val="none" w:sz="0" w:space="0" w:color="auto"/>
                        <w:bottom w:val="none" w:sz="0" w:space="0" w:color="auto"/>
                        <w:right w:val="none" w:sz="0" w:space="0" w:color="auto"/>
                      </w:divBdr>
                    </w:div>
                  </w:divsChild>
                </w:div>
                <w:div w:id="492306909">
                  <w:marLeft w:val="0"/>
                  <w:marRight w:val="0"/>
                  <w:marTop w:val="0"/>
                  <w:marBottom w:val="0"/>
                  <w:divBdr>
                    <w:top w:val="none" w:sz="0" w:space="0" w:color="auto"/>
                    <w:left w:val="none" w:sz="0" w:space="0" w:color="auto"/>
                    <w:bottom w:val="none" w:sz="0" w:space="0" w:color="auto"/>
                    <w:right w:val="none" w:sz="0" w:space="0" w:color="auto"/>
                  </w:divBdr>
                  <w:divsChild>
                    <w:div w:id="1259949542">
                      <w:marLeft w:val="0"/>
                      <w:marRight w:val="0"/>
                      <w:marTop w:val="0"/>
                      <w:marBottom w:val="0"/>
                      <w:divBdr>
                        <w:top w:val="none" w:sz="0" w:space="0" w:color="auto"/>
                        <w:left w:val="none" w:sz="0" w:space="0" w:color="auto"/>
                        <w:bottom w:val="none" w:sz="0" w:space="0" w:color="auto"/>
                        <w:right w:val="none" w:sz="0" w:space="0" w:color="auto"/>
                      </w:divBdr>
                    </w:div>
                  </w:divsChild>
                </w:div>
                <w:div w:id="1532960452">
                  <w:marLeft w:val="0"/>
                  <w:marRight w:val="0"/>
                  <w:marTop w:val="0"/>
                  <w:marBottom w:val="0"/>
                  <w:divBdr>
                    <w:top w:val="none" w:sz="0" w:space="0" w:color="auto"/>
                    <w:left w:val="none" w:sz="0" w:space="0" w:color="auto"/>
                    <w:bottom w:val="none" w:sz="0" w:space="0" w:color="auto"/>
                    <w:right w:val="none" w:sz="0" w:space="0" w:color="auto"/>
                  </w:divBdr>
                  <w:divsChild>
                    <w:div w:id="1914394449">
                      <w:marLeft w:val="0"/>
                      <w:marRight w:val="0"/>
                      <w:marTop w:val="0"/>
                      <w:marBottom w:val="0"/>
                      <w:divBdr>
                        <w:top w:val="none" w:sz="0" w:space="0" w:color="auto"/>
                        <w:left w:val="none" w:sz="0" w:space="0" w:color="auto"/>
                        <w:bottom w:val="none" w:sz="0" w:space="0" w:color="auto"/>
                        <w:right w:val="none" w:sz="0" w:space="0" w:color="auto"/>
                      </w:divBdr>
                    </w:div>
                  </w:divsChild>
                </w:div>
                <w:div w:id="1027097664">
                  <w:marLeft w:val="0"/>
                  <w:marRight w:val="0"/>
                  <w:marTop w:val="0"/>
                  <w:marBottom w:val="0"/>
                  <w:divBdr>
                    <w:top w:val="none" w:sz="0" w:space="0" w:color="auto"/>
                    <w:left w:val="none" w:sz="0" w:space="0" w:color="auto"/>
                    <w:bottom w:val="none" w:sz="0" w:space="0" w:color="auto"/>
                    <w:right w:val="none" w:sz="0" w:space="0" w:color="auto"/>
                  </w:divBdr>
                  <w:divsChild>
                    <w:div w:id="1760563937">
                      <w:marLeft w:val="0"/>
                      <w:marRight w:val="0"/>
                      <w:marTop w:val="0"/>
                      <w:marBottom w:val="0"/>
                      <w:divBdr>
                        <w:top w:val="none" w:sz="0" w:space="0" w:color="auto"/>
                        <w:left w:val="none" w:sz="0" w:space="0" w:color="auto"/>
                        <w:bottom w:val="none" w:sz="0" w:space="0" w:color="auto"/>
                        <w:right w:val="none" w:sz="0" w:space="0" w:color="auto"/>
                      </w:divBdr>
                    </w:div>
                  </w:divsChild>
                </w:div>
                <w:div w:id="177163005">
                  <w:marLeft w:val="0"/>
                  <w:marRight w:val="0"/>
                  <w:marTop w:val="0"/>
                  <w:marBottom w:val="0"/>
                  <w:divBdr>
                    <w:top w:val="none" w:sz="0" w:space="0" w:color="auto"/>
                    <w:left w:val="none" w:sz="0" w:space="0" w:color="auto"/>
                    <w:bottom w:val="none" w:sz="0" w:space="0" w:color="auto"/>
                    <w:right w:val="none" w:sz="0" w:space="0" w:color="auto"/>
                  </w:divBdr>
                  <w:divsChild>
                    <w:div w:id="1461269114">
                      <w:marLeft w:val="0"/>
                      <w:marRight w:val="0"/>
                      <w:marTop w:val="0"/>
                      <w:marBottom w:val="0"/>
                      <w:divBdr>
                        <w:top w:val="none" w:sz="0" w:space="0" w:color="auto"/>
                        <w:left w:val="none" w:sz="0" w:space="0" w:color="auto"/>
                        <w:bottom w:val="none" w:sz="0" w:space="0" w:color="auto"/>
                        <w:right w:val="none" w:sz="0" w:space="0" w:color="auto"/>
                      </w:divBdr>
                    </w:div>
                  </w:divsChild>
                </w:div>
                <w:div w:id="42025514">
                  <w:marLeft w:val="0"/>
                  <w:marRight w:val="0"/>
                  <w:marTop w:val="0"/>
                  <w:marBottom w:val="0"/>
                  <w:divBdr>
                    <w:top w:val="none" w:sz="0" w:space="0" w:color="auto"/>
                    <w:left w:val="none" w:sz="0" w:space="0" w:color="auto"/>
                    <w:bottom w:val="none" w:sz="0" w:space="0" w:color="auto"/>
                    <w:right w:val="none" w:sz="0" w:space="0" w:color="auto"/>
                  </w:divBdr>
                  <w:divsChild>
                    <w:div w:id="1817643445">
                      <w:marLeft w:val="0"/>
                      <w:marRight w:val="0"/>
                      <w:marTop w:val="0"/>
                      <w:marBottom w:val="0"/>
                      <w:divBdr>
                        <w:top w:val="none" w:sz="0" w:space="0" w:color="auto"/>
                        <w:left w:val="none" w:sz="0" w:space="0" w:color="auto"/>
                        <w:bottom w:val="none" w:sz="0" w:space="0" w:color="auto"/>
                        <w:right w:val="none" w:sz="0" w:space="0" w:color="auto"/>
                      </w:divBdr>
                    </w:div>
                  </w:divsChild>
                </w:div>
                <w:div w:id="1200973933">
                  <w:marLeft w:val="0"/>
                  <w:marRight w:val="0"/>
                  <w:marTop w:val="0"/>
                  <w:marBottom w:val="0"/>
                  <w:divBdr>
                    <w:top w:val="none" w:sz="0" w:space="0" w:color="auto"/>
                    <w:left w:val="none" w:sz="0" w:space="0" w:color="auto"/>
                    <w:bottom w:val="none" w:sz="0" w:space="0" w:color="auto"/>
                    <w:right w:val="none" w:sz="0" w:space="0" w:color="auto"/>
                  </w:divBdr>
                  <w:divsChild>
                    <w:div w:id="184681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128654">
      <w:bodyDiv w:val="1"/>
      <w:marLeft w:val="0"/>
      <w:marRight w:val="0"/>
      <w:marTop w:val="0"/>
      <w:marBottom w:val="0"/>
      <w:divBdr>
        <w:top w:val="none" w:sz="0" w:space="0" w:color="auto"/>
        <w:left w:val="none" w:sz="0" w:space="0" w:color="auto"/>
        <w:bottom w:val="none" w:sz="0" w:space="0" w:color="auto"/>
        <w:right w:val="none" w:sz="0" w:space="0" w:color="auto"/>
      </w:divBdr>
    </w:div>
    <w:div w:id="607856995">
      <w:bodyDiv w:val="1"/>
      <w:marLeft w:val="0"/>
      <w:marRight w:val="0"/>
      <w:marTop w:val="0"/>
      <w:marBottom w:val="0"/>
      <w:divBdr>
        <w:top w:val="none" w:sz="0" w:space="0" w:color="auto"/>
        <w:left w:val="none" w:sz="0" w:space="0" w:color="auto"/>
        <w:bottom w:val="none" w:sz="0" w:space="0" w:color="auto"/>
        <w:right w:val="none" w:sz="0" w:space="0" w:color="auto"/>
      </w:divBdr>
    </w:div>
    <w:div w:id="1012030940">
      <w:bodyDiv w:val="1"/>
      <w:marLeft w:val="0"/>
      <w:marRight w:val="0"/>
      <w:marTop w:val="0"/>
      <w:marBottom w:val="0"/>
      <w:divBdr>
        <w:top w:val="none" w:sz="0" w:space="0" w:color="auto"/>
        <w:left w:val="none" w:sz="0" w:space="0" w:color="auto"/>
        <w:bottom w:val="none" w:sz="0" w:space="0" w:color="auto"/>
        <w:right w:val="none" w:sz="0" w:space="0" w:color="auto"/>
      </w:divBdr>
      <w:divsChild>
        <w:div w:id="1406299679">
          <w:marLeft w:val="0"/>
          <w:marRight w:val="0"/>
          <w:marTop w:val="0"/>
          <w:marBottom w:val="0"/>
          <w:divBdr>
            <w:top w:val="none" w:sz="0" w:space="0" w:color="auto"/>
            <w:left w:val="none" w:sz="0" w:space="0" w:color="auto"/>
            <w:bottom w:val="none" w:sz="0" w:space="0" w:color="auto"/>
            <w:right w:val="none" w:sz="0" w:space="0" w:color="auto"/>
          </w:divBdr>
          <w:divsChild>
            <w:div w:id="867186103">
              <w:marLeft w:val="0"/>
              <w:marRight w:val="0"/>
              <w:marTop w:val="0"/>
              <w:marBottom w:val="0"/>
              <w:divBdr>
                <w:top w:val="none" w:sz="0" w:space="0" w:color="auto"/>
                <w:left w:val="none" w:sz="0" w:space="0" w:color="auto"/>
                <w:bottom w:val="none" w:sz="0" w:space="0" w:color="auto"/>
                <w:right w:val="none" w:sz="0" w:space="0" w:color="auto"/>
              </w:divBdr>
              <w:divsChild>
                <w:div w:id="161285565">
                  <w:marLeft w:val="0"/>
                  <w:marRight w:val="0"/>
                  <w:marTop w:val="0"/>
                  <w:marBottom w:val="0"/>
                  <w:divBdr>
                    <w:top w:val="none" w:sz="0" w:space="0" w:color="auto"/>
                    <w:left w:val="none" w:sz="0" w:space="0" w:color="auto"/>
                    <w:bottom w:val="none" w:sz="0" w:space="0" w:color="auto"/>
                    <w:right w:val="none" w:sz="0" w:space="0" w:color="auto"/>
                  </w:divBdr>
                  <w:divsChild>
                    <w:div w:id="178514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921618">
      <w:bodyDiv w:val="1"/>
      <w:marLeft w:val="0"/>
      <w:marRight w:val="0"/>
      <w:marTop w:val="0"/>
      <w:marBottom w:val="0"/>
      <w:divBdr>
        <w:top w:val="none" w:sz="0" w:space="0" w:color="auto"/>
        <w:left w:val="none" w:sz="0" w:space="0" w:color="auto"/>
        <w:bottom w:val="none" w:sz="0" w:space="0" w:color="auto"/>
        <w:right w:val="none" w:sz="0" w:space="0" w:color="auto"/>
      </w:divBdr>
    </w:div>
    <w:div w:id="1199468851">
      <w:bodyDiv w:val="1"/>
      <w:marLeft w:val="0"/>
      <w:marRight w:val="0"/>
      <w:marTop w:val="0"/>
      <w:marBottom w:val="0"/>
      <w:divBdr>
        <w:top w:val="none" w:sz="0" w:space="0" w:color="auto"/>
        <w:left w:val="none" w:sz="0" w:space="0" w:color="auto"/>
        <w:bottom w:val="none" w:sz="0" w:space="0" w:color="auto"/>
        <w:right w:val="none" w:sz="0" w:space="0" w:color="auto"/>
      </w:divBdr>
    </w:div>
    <w:div w:id="1223100631">
      <w:bodyDiv w:val="1"/>
      <w:marLeft w:val="0"/>
      <w:marRight w:val="0"/>
      <w:marTop w:val="0"/>
      <w:marBottom w:val="0"/>
      <w:divBdr>
        <w:top w:val="none" w:sz="0" w:space="0" w:color="auto"/>
        <w:left w:val="none" w:sz="0" w:space="0" w:color="auto"/>
        <w:bottom w:val="none" w:sz="0" w:space="0" w:color="auto"/>
        <w:right w:val="none" w:sz="0" w:space="0" w:color="auto"/>
      </w:divBdr>
      <w:divsChild>
        <w:div w:id="711878411">
          <w:marLeft w:val="0"/>
          <w:marRight w:val="0"/>
          <w:marTop w:val="0"/>
          <w:marBottom w:val="0"/>
          <w:divBdr>
            <w:top w:val="none" w:sz="0" w:space="0" w:color="auto"/>
            <w:left w:val="none" w:sz="0" w:space="0" w:color="auto"/>
            <w:bottom w:val="none" w:sz="0" w:space="0" w:color="auto"/>
            <w:right w:val="none" w:sz="0" w:space="0" w:color="auto"/>
          </w:divBdr>
          <w:divsChild>
            <w:div w:id="1248688191">
              <w:marLeft w:val="0"/>
              <w:marRight w:val="0"/>
              <w:marTop w:val="0"/>
              <w:marBottom w:val="0"/>
              <w:divBdr>
                <w:top w:val="none" w:sz="0" w:space="0" w:color="auto"/>
                <w:left w:val="none" w:sz="0" w:space="0" w:color="auto"/>
                <w:bottom w:val="none" w:sz="0" w:space="0" w:color="auto"/>
                <w:right w:val="none" w:sz="0" w:space="0" w:color="auto"/>
              </w:divBdr>
              <w:divsChild>
                <w:div w:id="1108157671">
                  <w:marLeft w:val="0"/>
                  <w:marRight w:val="0"/>
                  <w:marTop w:val="0"/>
                  <w:marBottom w:val="0"/>
                  <w:divBdr>
                    <w:top w:val="none" w:sz="0" w:space="0" w:color="auto"/>
                    <w:left w:val="none" w:sz="0" w:space="0" w:color="auto"/>
                    <w:bottom w:val="none" w:sz="0" w:space="0" w:color="auto"/>
                    <w:right w:val="none" w:sz="0" w:space="0" w:color="auto"/>
                  </w:divBdr>
                  <w:divsChild>
                    <w:div w:id="100782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152938">
      <w:bodyDiv w:val="1"/>
      <w:marLeft w:val="0"/>
      <w:marRight w:val="0"/>
      <w:marTop w:val="0"/>
      <w:marBottom w:val="0"/>
      <w:divBdr>
        <w:top w:val="none" w:sz="0" w:space="0" w:color="auto"/>
        <w:left w:val="none" w:sz="0" w:space="0" w:color="auto"/>
        <w:bottom w:val="none" w:sz="0" w:space="0" w:color="auto"/>
        <w:right w:val="none" w:sz="0" w:space="0" w:color="auto"/>
      </w:divBdr>
      <w:divsChild>
        <w:div w:id="264076375">
          <w:marLeft w:val="0"/>
          <w:marRight w:val="0"/>
          <w:marTop w:val="0"/>
          <w:marBottom w:val="0"/>
          <w:divBdr>
            <w:top w:val="none" w:sz="0" w:space="0" w:color="auto"/>
            <w:left w:val="none" w:sz="0" w:space="0" w:color="auto"/>
            <w:bottom w:val="none" w:sz="0" w:space="0" w:color="auto"/>
            <w:right w:val="none" w:sz="0" w:space="0" w:color="auto"/>
          </w:divBdr>
          <w:divsChild>
            <w:div w:id="1970475550">
              <w:marLeft w:val="0"/>
              <w:marRight w:val="0"/>
              <w:marTop w:val="0"/>
              <w:marBottom w:val="0"/>
              <w:divBdr>
                <w:top w:val="none" w:sz="0" w:space="0" w:color="auto"/>
                <w:left w:val="none" w:sz="0" w:space="0" w:color="auto"/>
                <w:bottom w:val="none" w:sz="0" w:space="0" w:color="auto"/>
                <w:right w:val="none" w:sz="0" w:space="0" w:color="auto"/>
              </w:divBdr>
              <w:divsChild>
                <w:div w:id="1737585423">
                  <w:marLeft w:val="0"/>
                  <w:marRight w:val="0"/>
                  <w:marTop w:val="0"/>
                  <w:marBottom w:val="0"/>
                  <w:divBdr>
                    <w:top w:val="none" w:sz="0" w:space="0" w:color="auto"/>
                    <w:left w:val="none" w:sz="0" w:space="0" w:color="auto"/>
                    <w:bottom w:val="none" w:sz="0" w:space="0" w:color="auto"/>
                    <w:right w:val="none" w:sz="0" w:space="0" w:color="auto"/>
                  </w:divBdr>
                  <w:divsChild>
                    <w:div w:id="938608803">
                      <w:marLeft w:val="0"/>
                      <w:marRight w:val="0"/>
                      <w:marTop w:val="0"/>
                      <w:marBottom w:val="0"/>
                      <w:divBdr>
                        <w:top w:val="none" w:sz="0" w:space="0" w:color="auto"/>
                        <w:left w:val="none" w:sz="0" w:space="0" w:color="auto"/>
                        <w:bottom w:val="none" w:sz="0" w:space="0" w:color="auto"/>
                        <w:right w:val="none" w:sz="0" w:space="0" w:color="auto"/>
                      </w:divBdr>
                    </w:div>
                  </w:divsChild>
                </w:div>
                <w:div w:id="1477258907">
                  <w:marLeft w:val="0"/>
                  <w:marRight w:val="0"/>
                  <w:marTop w:val="0"/>
                  <w:marBottom w:val="0"/>
                  <w:divBdr>
                    <w:top w:val="none" w:sz="0" w:space="0" w:color="auto"/>
                    <w:left w:val="none" w:sz="0" w:space="0" w:color="auto"/>
                    <w:bottom w:val="none" w:sz="0" w:space="0" w:color="auto"/>
                    <w:right w:val="none" w:sz="0" w:space="0" w:color="auto"/>
                  </w:divBdr>
                  <w:divsChild>
                    <w:div w:id="73250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220422">
      <w:bodyDiv w:val="1"/>
      <w:marLeft w:val="0"/>
      <w:marRight w:val="0"/>
      <w:marTop w:val="0"/>
      <w:marBottom w:val="0"/>
      <w:divBdr>
        <w:top w:val="none" w:sz="0" w:space="0" w:color="auto"/>
        <w:left w:val="none" w:sz="0" w:space="0" w:color="auto"/>
        <w:bottom w:val="none" w:sz="0" w:space="0" w:color="auto"/>
        <w:right w:val="none" w:sz="0" w:space="0" w:color="auto"/>
      </w:divBdr>
    </w:div>
    <w:div w:id="1416973527">
      <w:bodyDiv w:val="1"/>
      <w:marLeft w:val="0"/>
      <w:marRight w:val="0"/>
      <w:marTop w:val="0"/>
      <w:marBottom w:val="0"/>
      <w:divBdr>
        <w:top w:val="none" w:sz="0" w:space="0" w:color="auto"/>
        <w:left w:val="none" w:sz="0" w:space="0" w:color="auto"/>
        <w:bottom w:val="none" w:sz="0" w:space="0" w:color="auto"/>
        <w:right w:val="none" w:sz="0" w:space="0" w:color="auto"/>
      </w:divBdr>
    </w:div>
    <w:div w:id="1514421320">
      <w:bodyDiv w:val="1"/>
      <w:marLeft w:val="0"/>
      <w:marRight w:val="0"/>
      <w:marTop w:val="0"/>
      <w:marBottom w:val="0"/>
      <w:divBdr>
        <w:top w:val="none" w:sz="0" w:space="0" w:color="auto"/>
        <w:left w:val="none" w:sz="0" w:space="0" w:color="auto"/>
        <w:bottom w:val="none" w:sz="0" w:space="0" w:color="auto"/>
        <w:right w:val="none" w:sz="0" w:space="0" w:color="auto"/>
      </w:divBdr>
      <w:divsChild>
        <w:div w:id="169176154">
          <w:marLeft w:val="0"/>
          <w:marRight w:val="0"/>
          <w:marTop w:val="0"/>
          <w:marBottom w:val="0"/>
          <w:divBdr>
            <w:top w:val="none" w:sz="0" w:space="0" w:color="auto"/>
            <w:left w:val="none" w:sz="0" w:space="0" w:color="auto"/>
            <w:bottom w:val="none" w:sz="0" w:space="0" w:color="auto"/>
            <w:right w:val="none" w:sz="0" w:space="0" w:color="auto"/>
          </w:divBdr>
          <w:divsChild>
            <w:div w:id="2070304157">
              <w:marLeft w:val="0"/>
              <w:marRight w:val="0"/>
              <w:marTop w:val="0"/>
              <w:marBottom w:val="0"/>
              <w:divBdr>
                <w:top w:val="none" w:sz="0" w:space="0" w:color="auto"/>
                <w:left w:val="none" w:sz="0" w:space="0" w:color="auto"/>
                <w:bottom w:val="none" w:sz="0" w:space="0" w:color="auto"/>
                <w:right w:val="none" w:sz="0" w:space="0" w:color="auto"/>
              </w:divBdr>
              <w:divsChild>
                <w:div w:id="688412985">
                  <w:marLeft w:val="0"/>
                  <w:marRight w:val="0"/>
                  <w:marTop w:val="0"/>
                  <w:marBottom w:val="0"/>
                  <w:divBdr>
                    <w:top w:val="none" w:sz="0" w:space="0" w:color="auto"/>
                    <w:left w:val="none" w:sz="0" w:space="0" w:color="auto"/>
                    <w:bottom w:val="none" w:sz="0" w:space="0" w:color="auto"/>
                    <w:right w:val="none" w:sz="0" w:space="0" w:color="auto"/>
                  </w:divBdr>
                  <w:divsChild>
                    <w:div w:id="53662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599672">
      <w:bodyDiv w:val="1"/>
      <w:marLeft w:val="0"/>
      <w:marRight w:val="0"/>
      <w:marTop w:val="0"/>
      <w:marBottom w:val="0"/>
      <w:divBdr>
        <w:top w:val="none" w:sz="0" w:space="0" w:color="auto"/>
        <w:left w:val="none" w:sz="0" w:space="0" w:color="auto"/>
        <w:bottom w:val="none" w:sz="0" w:space="0" w:color="auto"/>
        <w:right w:val="none" w:sz="0" w:space="0" w:color="auto"/>
      </w:divBdr>
    </w:div>
    <w:div w:id="1646158545">
      <w:bodyDiv w:val="1"/>
      <w:marLeft w:val="0"/>
      <w:marRight w:val="0"/>
      <w:marTop w:val="0"/>
      <w:marBottom w:val="0"/>
      <w:divBdr>
        <w:top w:val="none" w:sz="0" w:space="0" w:color="auto"/>
        <w:left w:val="none" w:sz="0" w:space="0" w:color="auto"/>
        <w:bottom w:val="none" w:sz="0" w:space="0" w:color="auto"/>
        <w:right w:val="none" w:sz="0" w:space="0" w:color="auto"/>
      </w:divBdr>
    </w:div>
    <w:div w:id="1754430592">
      <w:bodyDiv w:val="1"/>
      <w:marLeft w:val="0"/>
      <w:marRight w:val="0"/>
      <w:marTop w:val="0"/>
      <w:marBottom w:val="0"/>
      <w:divBdr>
        <w:top w:val="none" w:sz="0" w:space="0" w:color="auto"/>
        <w:left w:val="none" w:sz="0" w:space="0" w:color="auto"/>
        <w:bottom w:val="none" w:sz="0" w:space="0" w:color="auto"/>
        <w:right w:val="none" w:sz="0" w:space="0" w:color="auto"/>
      </w:divBdr>
      <w:divsChild>
        <w:div w:id="319815769">
          <w:marLeft w:val="0"/>
          <w:marRight w:val="0"/>
          <w:marTop w:val="0"/>
          <w:marBottom w:val="0"/>
          <w:divBdr>
            <w:top w:val="none" w:sz="0" w:space="0" w:color="auto"/>
            <w:left w:val="none" w:sz="0" w:space="0" w:color="auto"/>
            <w:bottom w:val="none" w:sz="0" w:space="0" w:color="auto"/>
            <w:right w:val="none" w:sz="0" w:space="0" w:color="auto"/>
          </w:divBdr>
          <w:divsChild>
            <w:div w:id="1914729717">
              <w:marLeft w:val="0"/>
              <w:marRight w:val="0"/>
              <w:marTop w:val="0"/>
              <w:marBottom w:val="0"/>
              <w:divBdr>
                <w:top w:val="none" w:sz="0" w:space="0" w:color="auto"/>
                <w:left w:val="none" w:sz="0" w:space="0" w:color="auto"/>
                <w:bottom w:val="none" w:sz="0" w:space="0" w:color="auto"/>
                <w:right w:val="none" w:sz="0" w:space="0" w:color="auto"/>
              </w:divBdr>
              <w:divsChild>
                <w:div w:id="1449201618">
                  <w:marLeft w:val="0"/>
                  <w:marRight w:val="0"/>
                  <w:marTop w:val="0"/>
                  <w:marBottom w:val="0"/>
                  <w:divBdr>
                    <w:top w:val="none" w:sz="0" w:space="0" w:color="auto"/>
                    <w:left w:val="none" w:sz="0" w:space="0" w:color="auto"/>
                    <w:bottom w:val="none" w:sz="0" w:space="0" w:color="auto"/>
                    <w:right w:val="none" w:sz="0" w:space="0" w:color="auto"/>
                  </w:divBdr>
                  <w:divsChild>
                    <w:div w:id="86973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56407">
      <w:bodyDiv w:val="1"/>
      <w:marLeft w:val="0"/>
      <w:marRight w:val="0"/>
      <w:marTop w:val="0"/>
      <w:marBottom w:val="0"/>
      <w:divBdr>
        <w:top w:val="none" w:sz="0" w:space="0" w:color="auto"/>
        <w:left w:val="none" w:sz="0" w:space="0" w:color="auto"/>
        <w:bottom w:val="none" w:sz="0" w:space="0" w:color="auto"/>
        <w:right w:val="none" w:sz="0" w:space="0" w:color="auto"/>
      </w:divBdr>
    </w:div>
    <w:div w:id="1976369971">
      <w:bodyDiv w:val="1"/>
      <w:marLeft w:val="0"/>
      <w:marRight w:val="0"/>
      <w:marTop w:val="0"/>
      <w:marBottom w:val="0"/>
      <w:divBdr>
        <w:top w:val="none" w:sz="0" w:space="0" w:color="auto"/>
        <w:left w:val="none" w:sz="0" w:space="0" w:color="auto"/>
        <w:bottom w:val="none" w:sz="0" w:space="0" w:color="auto"/>
        <w:right w:val="none" w:sz="0" w:space="0" w:color="auto"/>
      </w:divBdr>
    </w:div>
    <w:div w:id="208502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vytaute.kazlauskaite@tm.lt" TargetMode="External"
                 Type="http://schemas.openxmlformats.org/officeDocument/2006/relationships/hyperlink"/>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5</Pages>
  <Words>1923</Words>
  <Characters>10966</Characters>
  <Application>Microsoft Office Word</Application>
  <DocSecurity>0</DocSecurity>
  <Lines>91</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12864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2021-09-13T10:04:00Z</dcterms:created>
  <dc:creator>Aiste Svinkunaite</dc:creator>
  <cp:lastModifiedBy>.</cp:lastModifiedBy>
  <dcterms:modified xsi:type="dcterms:W3CDTF">2021-10-05T07:28:00Z</dcterms:modified>
  <cp:revision>9</cp:revision>
</cp:coreProperties>
</file>