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48E" w:rsidRPr="00736DD0" w:rsidRDefault="00596B0C" w:rsidP="00665E92">
      <w:pPr>
        <w:jc w:val="center"/>
        <w:rPr>
          <w:b/>
        </w:rPr>
      </w:pPr>
      <w:r w:rsidRPr="00736DD0">
        <w:rPr>
          <w:b/>
        </w:rPr>
        <w:t>LIETUVOS RESPUBLIKOS AKCIZŲ ĮSTATYMO NR. IX-569 1, 2, 3, 4, 6, 7, 8, 9, 10, 14, 15, 16, 17, 18, 19, 21, 22, 27, 28, 33, 44, 46, 61, 64, 66, 72 STRAIPSNIŲ, 3 PRIEDO PAKEITIMO IR ĮSTATYMO PAPILDYMO 8</w:t>
      </w:r>
      <w:r w:rsidRPr="00736DD0">
        <w:rPr>
          <w:b/>
          <w:vertAlign w:val="superscript"/>
        </w:rPr>
        <w:t>1</w:t>
      </w:r>
      <w:r w:rsidRPr="00736DD0">
        <w:rPr>
          <w:b/>
        </w:rPr>
        <w:t xml:space="preserve"> IR 29</w:t>
      </w:r>
      <w:r w:rsidRPr="00736DD0">
        <w:rPr>
          <w:b/>
          <w:vertAlign w:val="superscript"/>
        </w:rPr>
        <w:t>1</w:t>
      </w:r>
      <w:r w:rsidRPr="00736DD0">
        <w:rPr>
          <w:b/>
        </w:rPr>
        <w:t xml:space="preserve"> STRAIPSNIAIS ĮSTATYMO PROJEKTO IR LIETUVOS RESPUBLIKOS PRIDĖTINĖS VERTĖS MOKESČIO ĮSTATYMO NR. IX-751 </w:t>
      </w:r>
      <w:r w:rsidRPr="00736DD0">
        <w:rPr>
          <w:b/>
          <w:bCs/>
        </w:rPr>
        <w:t>4</w:t>
      </w:r>
      <w:r w:rsidRPr="00736DD0">
        <w:rPr>
          <w:b/>
          <w:bCs/>
          <w:vertAlign w:val="superscript"/>
        </w:rPr>
        <w:t>1</w:t>
      </w:r>
      <w:r w:rsidRPr="00736DD0">
        <w:rPr>
          <w:b/>
          <w:bCs/>
        </w:rPr>
        <w:t xml:space="preserve">, 15, 40, </w:t>
      </w:r>
      <w:r w:rsidRPr="00736DD0">
        <w:rPr>
          <w:b/>
        </w:rPr>
        <w:t>47 STRAIPSNIŲ IR 2 PRIEDO PAKEITIMO</w:t>
      </w:r>
      <w:r w:rsidR="00736DD0" w:rsidRPr="00736DD0">
        <w:rPr>
          <w:b/>
        </w:rPr>
        <w:t xml:space="preserve"> </w:t>
      </w:r>
      <w:r w:rsidRPr="00736DD0">
        <w:rPr>
          <w:b/>
        </w:rPr>
        <w:t>ĮSTATYMO PROJEKTO</w:t>
      </w:r>
      <w:r w:rsidRPr="00736DD0">
        <w:t xml:space="preserve"> </w:t>
      </w:r>
      <w:r w:rsidR="00AD448E" w:rsidRPr="00736DD0">
        <w:rPr>
          <w:b/>
        </w:rPr>
        <w:t>DERINIMO PAŽYMA</w:t>
      </w:r>
    </w:p>
    <w:p w:rsidR="00AD448E" w:rsidRDefault="00AD448E" w:rsidP="00665E92">
      <w:pPr>
        <w:jc w:val="center"/>
        <w:rPr>
          <w:b/>
          <w:sz w:val="22"/>
          <w:szCs w:val="22"/>
        </w:rPr>
      </w:pPr>
    </w:p>
    <w:p w:rsidR="00736DD0" w:rsidRPr="00A83560" w:rsidRDefault="00736DD0" w:rsidP="00665E92">
      <w:pPr>
        <w:jc w:val="center"/>
        <w:rPr>
          <w:b/>
          <w:sz w:val="22"/>
          <w:szCs w:val="22"/>
        </w:rPr>
      </w:pPr>
    </w:p>
    <w:tbl>
      <w:tblPr>
        <w:tblW w:w="15027"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576"/>
        <w:gridCol w:w="6121"/>
        <w:gridCol w:w="7330"/>
      </w:tblGrid>
      <w:tr w:rsidR="00AD448E" w:rsidRPr="00A83560" w:rsidTr="00D34B5D">
        <w:trPr>
          <w:trHeight w:val="423"/>
        </w:trPr>
        <w:tc>
          <w:tcPr>
            <w:tcW w:w="1576" w:type="dxa"/>
            <w:tcBorders>
              <w:bottom w:val="single" w:sz="6" w:space="0" w:color="000000"/>
            </w:tcBorders>
            <w:shd w:val="clear" w:color="auto" w:fill="auto"/>
          </w:tcPr>
          <w:p w:rsidR="00AD448E" w:rsidRPr="00A83560" w:rsidRDefault="00AD448E" w:rsidP="00665E92">
            <w:pPr>
              <w:jc w:val="center"/>
              <w:rPr>
                <w:b/>
                <w:sz w:val="22"/>
                <w:szCs w:val="22"/>
              </w:rPr>
            </w:pPr>
            <w:r w:rsidRPr="00A83560">
              <w:rPr>
                <w:b/>
                <w:sz w:val="22"/>
                <w:szCs w:val="22"/>
              </w:rPr>
              <w:t xml:space="preserve">Institucijos pavadinimas, rašto data ir numeris </w:t>
            </w:r>
          </w:p>
        </w:tc>
        <w:tc>
          <w:tcPr>
            <w:tcW w:w="6121" w:type="dxa"/>
            <w:tcBorders>
              <w:bottom w:val="single" w:sz="6" w:space="0" w:color="000000"/>
            </w:tcBorders>
            <w:shd w:val="clear" w:color="auto" w:fill="auto"/>
            <w:vAlign w:val="center"/>
          </w:tcPr>
          <w:p w:rsidR="00AD448E" w:rsidRPr="00A83560" w:rsidRDefault="00AD448E" w:rsidP="00665E92">
            <w:pPr>
              <w:jc w:val="center"/>
              <w:rPr>
                <w:b/>
                <w:iCs/>
                <w:sz w:val="22"/>
                <w:szCs w:val="22"/>
              </w:rPr>
            </w:pPr>
            <w:r w:rsidRPr="00A83560">
              <w:rPr>
                <w:b/>
                <w:iCs/>
                <w:sz w:val="22"/>
                <w:szCs w:val="22"/>
              </w:rPr>
              <w:t xml:space="preserve">Pastabos ir pasiūlymai </w:t>
            </w:r>
          </w:p>
        </w:tc>
        <w:tc>
          <w:tcPr>
            <w:tcW w:w="7330" w:type="dxa"/>
            <w:tcBorders>
              <w:bottom w:val="single" w:sz="6" w:space="0" w:color="000000"/>
            </w:tcBorders>
            <w:shd w:val="clear" w:color="auto" w:fill="auto"/>
            <w:vAlign w:val="center"/>
          </w:tcPr>
          <w:p w:rsidR="00AD448E" w:rsidRPr="00A83560" w:rsidRDefault="00AD448E" w:rsidP="00665E92">
            <w:pPr>
              <w:jc w:val="center"/>
              <w:rPr>
                <w:b/>
                <w:iCs/>
                <w:sz w:val="22"/>
                <w:szCs w:val="22"/>
              </w:rPr>
            </w:pPr>
            <w:r w:rsidRPr="00A83560">
              <w:rPr>
                <w:b/>
                <w:iCs/>
                <w:sz w:val="22"/>
                <w:szCs w:val="22"/>
              </w:rPr>
              <w:t>Žyma apie nepriimtas (nurodyti motyvus) pastabas ir pasiūlymus</w:t>
            </w:r>
          </w:p>
        </w:tc>
      </w:tr>
      <w:tr w:rsidR="0090089C" w:rsidRPr="00A83560" w:rsidTr="00D34B5D">
        <w:trPr>
          <w:trHeight w:val="423"/>
        </w:trPr>
        <w:tc>
          <w:tcPr>
            <w:tcW w:w="1576" w:type="dxa"/>
            <w:shd w:val="clear" w:color="auto" w:fill="auto"/>
          </w:tcPr>
          <w:p w:rsidR="0090089C" w:rsidRPr="003B6742" w:rsidRDefault="0090089C" w:rsidP="00665E92">
            <w:pPr>
              <w:jc w:val="both"/>
              <w:rPr>
                <w:rFonts w:eastAsiaTheme="minorHAnsi"/>
                <w:sz w:val="22"/>
                <w:szCs w:val="22"/>
                <w:lang w:eastAsia="en-US"/>
              </w:rPr>
            </w:pPr>
            <w:r w:rsidRPr="003B6742">
              <w:rPr>
                <w:rFonts w:eastAsiaTheme="minorHAnsi"/>
                <w:sz w:val="22"/>
                <w:szCs w:val="22"/>
                <w:lang w:eastAsia="en-US"/>
              </w:rPr>
              <w:t xml:space="preserve">Teisingumo ministerija, </w:t>
            </w:r>
          </w:p>
          <w:p w:rsidR="0090089C" w:rsidRDefault="0090089C" w:rsidP="00665E92">
            <w:pPr>
              <w:jc w:val="both"/>
              <w:rPr>
                <w:rFonts w:eastAsiaTheme="minorHAnsi"/>
                <w:sz w:val="22"/>
                <w:szCs w:val="22"/>
                <w:lang w:eastAsia="en-US"/>
              </w:rPr>
            </w:pPr>
            <w:r w:rsidRPr="003B6742">
              <w:rPr>
                <w:rFonts w:eastAsiaTheme="minorHAnsi"/>
                <w:sz w:val="22"/>
                <w:szCs w:val="22"/>
                <w:lang w:eastAsia="en-US"/>
              </w:rPr>
              <w:t>2021-07-09</w:t>
            </w:r>
          </w:p>
          <w:p w:rsidR="0090089C" w:rsidRPr="003B6742" w:rsidRDefault="0090089C" w:rsidP="00665E92">
            <w:pPr>
              <w:jc w:val="both"/>
              <w:rPr>
                <w:rFonts w:eastAsiaTheme="minorHAnsi"/>
                <w:sz w:val="22"/>
                <w:szCs w:val="22"/>
                <w:lang w:eastAsia="en-US"/>
              </w:rPr>
            </w:pPr>
            <w:r w:rsidRPr="00A83560">
              <w:rPr>
                <w:rFonts w:eastAsiaTheme="minorHAnsi"/>
                <w:sz w:val="22"/>
                <w:szCs w:val="22"/>
                <w:lang w:eastAsia="en-US"/>
              </w:rPr>
              <w:t>Nr.</w:t>
            </w:r>
            <w:r>
              <w:rPr>
                <w:rFonts w:eastAsiaTheme="minorHAnsi"/>
                <w:sz w:val="22"/>
                <w:szCs w:val="22"/>
                <w:lang w:eastAsia="en-US"/>
              </w:rPr>
              <w:t xml:space="preserve"> </w:t>
            </w:r>
            <w:r w:rsidRPr="003B6742">
              <w:rPr>
                <w:rFonts w:eastAsiaTheme="minorHAnsi"/>
                <w:sz w:val="22"/>
                <w:szCs w:val="22"/>
                <w:lang w:eastAsia="en-US"/>
              </w:rPr>
              <w:t>21-27180</w:t>
            </w:r>
          </w:p>
        </w:tc>
        <w:tc>
          <w:tcPr>
            <w:tcW w:w="6121" w:type="dxa"/>
            <w:shd w:val="clear" w:color="auto" w:fill="auto"/>
          </w:tcPr>
          <w:p w:rsidR="0090089C" w:rsidRDefault="0090089C" w:rsidP="00665E92">
            <w:pPr>
              <w:tabs>
                <w:tab w:val="left" w:pos="426"/>
                <w:tab w:val="left" w:pos="1017"/>
              </w:tabs>
              <w:suppressAutoHyphens/>
              <w:jc w:val="both"/>
              <w:rPr>
                <w:rFonts w:eastAsiaTheme="minorHAnsi"/>
                <w:bCs/>
                <w:color w:val="000000"/>
                <w:sz w:val="22"/>
                <w:szCs w:val="22"/>
                <w:lang w:eastAsia="en-US"/>
              </w:rPr>
            </w:pPr>
            <w:r w:rsidRPr="00A927DB">
              <w:rPr>
                <w:rFonts w:eastAsiaTheme="minorHAnsi"/>
                <w:bCs/>
                <w:color w:val="000000"/>
                <w:sz w:val="22"/>
                <w:szCs w:val="22"/>
                <w:lang w:eastAsia="en-US"/>
              </w:rPr>
              <w:t>Dėl Akcizų įstatymo projekto 6 straipsnyje keičiamų Akcizų įstatymo 7 straipsnio 4 dalies ir 7 straipsnyje keičiamų Akcizų įstatymo 8 straipsnio 4 dalies nuostatų siūlytina aiškinamajame rašte papildomai pagrįsti, kokia tvarka po siūlomų pakeitimų būtų vykdoma apskaita (ar siekiama nustatyti laisvą/laisvos formos apskaitos tvarkymą?). Šiame kontekste pažymėtina, kad Akcizų įstatymo projekto 5 straipsnyje dėstomoje Akcizų įstatymo 6 straipsnio 2 dalyje (dėl operacijų, atliekamų akcizais apmokestinamų prekių sandėlyje apskaitos), visgi, nustatoma, kad tokią „&lt;...&gt; apskaitos tvarką &lt;...&gt; nustato Vyriausybė ar jos įgaliota institucija</w:t>
            </w:r>
            <w:r w:rsidR="00412EBB" w:rsidRPr="00A927DB">
              <w:rPr>
                <w:rFonts w:eastAsiaTheme="minorHAnsi"/>
                <w:bCs/>
                <w:color w:val="000000"/>
                <w:sz w:val="22"/>
                <w:szCs w:val="22"/>
                <w:lang w:eastAsia="en-US"/>
              </w:rPr>
              <w:t>.“</w:t>
            </w:r>
          </w:p>
        </w:tc>
        <w:tc>
          <w:tcPr>
            <w:tcW w:w="7330" w:type="dxa"/>
            <w:shd w:val="clear" w:color="auto" w:fill="auto"/>
          </w:tcPr>
          <w:p w:rsidR="0090089C" w:rsidRPr="009907F5" w:rsidRDefault="0090089C" w:rsidP="00665E92">
            <w:pPr>
              <w:tabs>
                <w:tab w:val="left" w:pos="426"/>
                <w:tab w:val="left" w:pos="1017"/>
              </w:tabs>
              <w:jc w:val="both"/>
              <w:rPr>
                <w:color w:val="000000"/>
                <w:sz w:val="22"/>
                <w:szCs w:val="22"/>
              </w:rPr>
            </w:pPr>
            <w:r w:rsidRPr="009907F5">
              <w:rPr>
                <w:i/>
                <w:color w:val="000000"/>
                <w:sz w:val="22"/>
                <w:szCs w:val="22"/>
              </w:rPr>
              <w:t>Iš dalies atsižvelgta</w:t>
            </w:r>
            <w:r w:rsidR="00033A43" w:rsidRPr="009907F5">
              <w:rPr>
                <w:i/>
                <w:color w:val="000000"/>
                <w:sz w:val="22"/>
                <w:szCs w:val="22"/>
              </w:rPr>
              <w:t xml:space="preserve"> </w:t>
            </w:r>
            <w:r w:rsidR="00033A43" w:rsidRPr="009907F5">
              <w:rPr>
                <w:color w:val="000000"/>
                <w:sz w:val="22"/>
                <w:szCs w:val="22"/>
              </w:rPr>
              <w:t>(p</w:t>
            </w:r>
            <w:r w:rsidRPr="009907F5">
              <w:rPr>
                <w:color w:val="000000"/>
                <w:sz w:val="22"/>
                <w:szCs w:val="22"/>
              </w:rPr>
              <w:t>atikslintas aiškinamasis raštas</w:t>
            </w:r>
            <w:r w:rsidR="00033A43" w:rsidRPr="009907F5">
              <w:rPr>
                <w:color w:val="000000"/>
                <w:sz w:val="22"/>
                <w:szCs w:val="22"/>
              </w:rPr>
              <w:t>).</w:t>
            </w:r>
          </w:p>
          <w:p w:rsidR="00412EBB" w:rsidRPr="009907F5" w:rsidRDefault="00412EBB" w:rsidP="00665E92">
            <w:pPr>
              <w:pStyle w:val="c01pointnumerotealtn"/>
              <w:spacing w:before="0" w:beforeAutospacing="0" w:after="0"/>
              <w:ind w:left="0" w:firstLine="567"/>
              <w:rPr>
                <w:color w:val="000000"/>
                <w:sz w:val="22"/>
                <w:szCs w:val="22"/>
              </w:rPr>
            </w:pPr>
            <w:r w:rsidRPr="009907F5">
              <w:rPr>
                <w:color w:val="000000"/>
                <w:sz w:val="22"/>
                <w:szCs w:val="22"/>
              </w:rPr>
              <w:t xml:space="preserve">Dėl Akcizų įstatymo projekto 5 straipsnyje dėstomos Akcizų įstatymo 6 straipsnio 2 dalies: </w:t>
            </w:r>
          </w:p>
          <w:p w:rsidR="00033A43" w:rsidRPr="00A83560" w:rsidRDefault="00412EBB" w:rsidP="005A0FCE">
            <w:pPr>
              <w:pStyle w:val="c01pointnumerotealtn"/>
              <w:spacing w:before="0" w:beforeAutospacing="0" w:after="0"/>
              <w:ind w:left="0" w:firstLine="567"/>
              <w:rPr>
                <w:i/>
                <w:iCs/>
                <w:sz w:val="22"/>
                <w:szCs w:val="22"/>
              </w:rPr>
            </w:pPr>
            <w:r w:rsidRPr="009907F5">
              <w:rPr>
                <w:color w:val="000000"/>
                <w:sz w:val="22"/>
                <w:szCs w:val="22"/>
              </w:rPr>
              <w:t>Akcizų įstatymo 7 straipsnio 4 dalies ir 8 straipsnio 4 dalies nuostatos reglamentuoja registruoto gavėjo ir registruoto siuntėjo apskaitos tvarką (p</w:t>
            </w:r>
            <w:r w:rsidRPr="009907F5">
              <w:rPr>
                <w:sz w:val="22"/>
                <w:szCs w:val="22"/>
              </w:rPr>
              <w:t xml:space="preserve">o siūlomų pakeitimų minėtų asmenų akcizais apmokestinamų prekių apskaita bus tvarkoma vadovaujantis </w:t>
            </w:r>
            <w:r w:rsidR="00695479">
              <w:rPr>
                <w:sz w:val="22"/>
                <w:szCs w:val="22"/>
              </w:rPr>
              <w:t>B</w:t>
            </w:r>
            <w:r w:rsidRPr="009907F5">
              <w:rPr>
                <w:sz w:val="22"/>
                <w:szCs w:val="22"/>
              </w:rPr>
              <w:t>uhalterinės apskaitos įstatymo nuostatomis). Tačiau</w:t>
            </w:r>
            <w:r w:rsidRPr="009907F5">
              <w:rPr>
                <w:color w:val="000000"/>
                <w:sz w:val="22"/>
                <w:szCs w:val="22"/>
              </w:rPr>
              <w:t xml:space="preserve"> 6 straipsnio 2 dalis reglamentuoja sandėlio savininko apskaitos tvarką (tik jam ir lieka galioti speciali Vyriausybės nutarimu nustatyta apskaitos tvarka).</w:t>
            </w:r>
            <w:r>
              <w:rPr>
                <w:rFonts w:ascii="Times New Roman;serif" w:hAnsi="Times New Roman;serif"/>
                <w:color w:val="000000"/>
              </w:rPr>
              <w:t xml:space="preserve"> </w:t>
            </w:r>
          </w:p>
        </w:tc>
      </w:tr>
      <w:tr w:rsidR="0090089C" w:rsidRPr="00A83560" w:rsidTr="00D34B5D">
        <w:trPr>
          <w:trHeight w:val="423"/>
        </w:trPr>
        <w:tc>
          <w:tcPr>
            <w:tcW w:w="1576" w:type="dxa"/>
            <w:shd w:val="clear" w:color="auto" w:fill="auto"/>
          </w:tcPr>
          <w:p w:rsidR="00A927DB" w:rsidRPr="003B6742" w:rsidRDefault="00A927DB" w:rsidP="00665E92">
            <w:pPr>
              <w:jc w:val="both"/>
              <w:rPr>
                <w:rFonts w:eastAsiaTheme="minorHAnsi"/>
                <w:sz w:val="22"/>
                <w:szCs w:val="22"/>
                <w:lang w:eastAsia="en-US"/>
              </w:rPr>
            </w:pPr>
            <w:r w:rsidRPr="003B6742">
              <w:rPr>
                <w:rFonts w:eastAsiaTheme="minorHAnsi"/>
                <w:sz w:val="22"/>
                <w:szCs w:val="22"/>
                <w:lang w:eastAsia="en-US"/>
              </w:rPr>
              <w:t xml:space="preserve">Teisingumo ministerija, </w:t>
            </w:r>
          </w:p>
          <w:p w:rsidR="00A927DB" w:rsidRDefault="00A927DB" w:rsidP="00665E92">
            <w:pPr>
              <w:jc w:val="both"/>
              <w:rPr>
                <w:rFonts w:eastAsiaTheme="minorHAnsi"/>
                <w:sz w:val="22"/>
                <w:szCs w:val="22"/>
                <w:lang w:eastAsia="en-US"/>
              </w:rPr>
            </w:pPr>
            <w:r w:rsidRPr="003B6742">
              <w:rPr>
                <w:rFonts w:eastAsiaTheme="minorHAnsi"/>
                <w:sz w:val="22"/>
                <w:szCs w:val="22"/>
                <w:lang w:eastAsia="en-US"/>
              </w:rPr>
              <w:t>2021-07-09</w:t>
            </w:r>
          </w:p>
          <w:p w:rsidR="0090089C" w:rsidRPr="003B6742" w:rsidRDefault="00A927DB" w:rsidP="00665E92">
            <w:pPr>
              <w:jc w:val="both"/>
              <w:rPr>
                <w:rFonts w:eastAsiaTheme="minorHAnsi"/>
                <w:sz w:val="22"/>
                <w:szCs w:val="22"/>
                <w:lang w:eastAsia="en-US"/>
              </w:rPr>
            </w:pPr>
            <w:r w:rsidRPr="00A83560">
              <w:rPr>
                <w:rFonts w:eastAsiaTheme="minorHAnsi"/>
                <w:sz w:val="22"/>
                <w:szCs w:val="22"/>
                <w:lang w:eastAsia="en-US"/>
              </w:rPr>
              <w:t>Nr.</w:t>
            </w:r>
            <w:r>
              <w:rPr>
                <w:rFonts w:eastAsiaTheme="minorHAnsi"/>
                <w:sz w:val="22"/>
                <w:szCs w:val="22"/>
                <w:lang w:eastAsia="en-US"/>
              </w:rPr>
              <w:t xml:space="preserve"> </w:t>
            </w:r>
            <w:r w:rsidRPr="003B6742">
              <w:rPr>
                <w:rFonts w:eastAsiaTheme="minorHAnsi"/>
                <w:sz w:val="22"/>
                <w:szCs w:val="22"/>
                <w:lang w:eastAsia="en-US"/>
              </w:rPr>
              <w:t>21-27180</w:t>
            </w:r>
          </w:p>
        </w:tc>
        <w:tc>
          <w:tcPr>
            <w:tcW w:w="6121" w:type="dxa"/>
            <w:shd w:val="clear" w:color="auto" w:fill="auto"/>
          </w:tcPr>
          <w:p w:rsidR="0016742C" w:rsidRPr="0016742C" w:rsidRDefault="0016742C" w:rsidP="00665E92">
            <w:pPr>
              <w:tabs>
                <w:tab w:val="left" w:pos="426"/>
                <w:tab w:val="left" w:pos="1017"/>
              </w:tabs>
              <w:suppressAutoHyphens/>
              <w:jc w:val="both"/>
              <w:rPr>
                <w:rFonts w:eastAsiaTheme="minorHAnsi"/>
                <w:bCs/>
                <w:color w:val="000000"/>
                <w:sz w:val="22"/>
                <w:szCs w:val="22"/>
                <w:lang w:eastAsia="en-US"/>
              </w:rPr>
            </w:pPr>
            <w:r w:rsidRPr="0016742C">
              <w:rPr>
                <w:rFonts w:eastAsiaTheme="minorHAnsi"/>
                <w:bCs/>
                <w:color w:val="000000"/>
                <w:sz w:val="22"/>
                <w:szCs w:val="22"/>
                <w:lang w:eastAsia="en-US"/>
              </w:rPr>
              <w:t>Akcizų įstatymo projekto 8 straipsnyje dėstomoje Akcizų įstatymo 8</w:t>
            </w:r>
            <w:r w:rsidRPr="0016742C">
              <w:rPr>
                <w:rFonts w:eastAsiaTheme="minorHAnsi"/>
                <w:bCs/>
                <w:color w:val="000000"/>
                <w:sz w:val="22"/>
                <w:szCs w:val="22"/>
                <w:vertAlign w:val="superscript"/>
                <w:lang w:eastAsia="en-US"/>
              </w:rPr>
              <w:t>1</w:t>
            </w:r>
            <w:r w:rsidRPr="0016742C">
              <w:rPr>
                <w:rFonts w:eastAsiaTheme="minorHAnsi"/>
                <w:bCs/>
                <w:color w:val="000000"/>
                <w:sz w:val="22"/>
                <w:szCs w:val="22"/>
                <w:lang w:eastAsia="en-US"/>
              </w:rPr>
              <w:t xml:space="preserve"> straipsnio 5 dalyje vartojama neapibrėžta formuluotė „retkarčiais gauna ar siunčia akcizais apmokestinamų prekių &lt;...&gt;, kurios taikymas ir aiškinimas gali būti apsunkintas, todėl siūlytina įvertinti minėtos formuluotės tobulinimo galimybę.   </w:t>
            </w:r>
          </w:p>
          <w:p w:rsidR="0090089C" w:rsidRDefault="0090089C" w:rsidP="00665E92">
            <w:pPr>
              <w:tabs>
                <w:tab w:val="left" w:pos="426"/>
                <w:tab w:val="left" w:pos="1017"/>
              </w:tabs>
              <w:jc w:val="both"/>
              <w:rPr>
                <w:rFonts w:eastAsiaTheme="minorHAnsi"/>
                <w:bCs/>
                <w:color w:val="000000"/>
                <w:sz w:val="22"/>
                <w:szCs w:val="22"/>
                <w:lang w:eastAsia="en-US"/>
              </w:rPr>
            </w:pPr>
          </w:p>
        </w:tc>
        <w:tc>
          <w:tcPr>
            <w:tcW w:w="7330" w:type="dxa"/>
            <w:shd w:val="clear" w:color="auto" w:fill="auto"/>
          </w:tcPr>
          <w:p w:rsidR="0016742C" w:rsidRPr="007D74D2" w:rsidRDefault="0016742C" w:rsidP="00665E92">
            <w:pPr>
              <w:jc w:val="both"/>
              <w:rPr>
                <w:i/>
                <w:iCs/>
                <w:sz w:val="22"/>
                <w:szCs w:val="22"/>
              </w:rPr>
            </w:pPr>
            <w:r w:rsidRPr="007D74D2">
              <w:rPr>
                <w:i/>
                <w:iCs/>
                <w:sz w:val="22"/>
                <w:szCs w:val="22"/>
              </w:rPr>
              <w:t>Įvertinta.</w:t>
            </w:r>
          </w:p>
          <w:p w:rsidR="0090089C" w:rsidRPr="00A83560" w:rsidRDefault="0016742C" w:rsidP="007F568B">
            <w:pPr>
              <w:tabs>
                <w:tab w:val="left" w:pos="426"/>
                <w:tab w:val="left" w:pos="1017"/>
              </w:tabs>
              <w:jc w:val="both"/>
              <w:rPr>
                <w:i/>
                <w:iCs/>
                <w:sz w:val="22"/>
                <w:szCs w:val="22"/>
              </w:rPr>
            </w:pPr>
            <w:r w:rsidRPr="0016742C">
              <w:rPr>
                <w:iCs/>
                <w:sz w:val="22"/>
                <w:szCs w:val="22"/>
              </w:rPr>
              <w:t>Analogiška formuluotė jau nustatyta Akcizų įstatymo 7 straipsnio 6 dalyje, kurioje kalbama apie registruotus gavėjus, „kurie retkarčiais iš kitų valstybių narių gauna akcizais apmokestinamų prekių“. Praktikoje dėl šios formuluotės taikymo ir aiškinimo sunkumų nekilo. Siūlome palikti šią formuluotę, nes ir Direktyvoje (ES) 2020/262 vartojama formuluotė „retai“ (18 straipsnio 3 dalis, 35 straipsnio 8 dalis).</w:t>
            </w:r>
          </w:p>
        </w:tc>
      </w:tr>
      <w:tr w:rsidR="0090089C" w:rsidRPr="00A83560" w:rsidTr="00D34B5D">
        <w:trPr>
          <w:trHeight w:val="423"/>
        </w:trPr>
        <w:tc>
          <w:tcPr>
            <w:tcW w:w="1576" w:type="dxa"/>
            <w:shd w:val="clear" w:color="auto" w:fill="auto"/>
          </w:tcPr>
          <w:p w:rsidR="00166606" w:rsidRPr="003B6742" w:rsidRDefault="00166606" w:rsidP="00665E92">
            <w:pPr>
              <w:jc w:val="both"/>
              <w:rPr>
                <w:rFonts w:eastAsiaTheme="minorHAnsi"/>
                <w:sz w:val="22"/>
                <w:szCs w:val="22"/>
                <w:lang w:eastAsia="en-US"/>
              </w:rPr>
            </w:pPr>
            <w:r w:rsidRPr="003B6742">
              <w:rPr>
                <w:rFonts w:eastAsiaTheme="minorHAnsi"/>
                <w:sz w:val="22"/>
                <w:szCs w:val="22"/>
                <w:lang w:eastAsia="en-US"/>
              </w:rPr>
              <w:t xml:space="preserve">Teisingumo ministerija, </w:t>
            </w:r>
          </w:p>
          <w:p w:rsidR="00166606" w:rsidRDefault="00166606" w:rsidP="00665E92">
            <w:pPr>
              <w:jc w:val="both"/>
              <w:rPr>
                <w:rFonts w:eastAsiaTheme="minorHAnsi"/>
                <w:sz w:val="22"/>
                <w:szCs w:val="22"/>
                <w:lang w:eastAsia="en-US"/>
              </w:rPr>
            </w:pPr>
            <w:r w:rsidRPr="003B6742">
              <w:rPr>
                <w:rFonts w:eastAsiaTheme="minorHAnsi"/>
                <w:sz w:val="22"/>
                <w:szCs w:val="22"/>
                <w:lang w:eastAsia="en-US"/>
              </w:rPr>
              <w:t>2021-07-09</w:t>
            </w:r>
          </w:p>
          <w:p w:rsidR="0090089C" w:rsidRPr="003B6742" w:rsidRDefault="00166606" w:rsidP="00665E92">
            <w:pPr>
              <w:jc w:val="both"/>
              <w:rPr>
                <w:rFonts w:eastAsiaTheme="minorHAnsi"/>
                <w:sz w:val="22"/>
                <w:szCs w:val="22"/>
                <w:lang w:eastAsia="en-US"/>
              </w:rPr>
            </w:pPr>
            <w:r w:rsidRPr="00A83560">
              <w:rPr>
                <w:rFonts w:eastAsiaTheme="minorHAnsi"/>
                <w:sz w:val="22"/>
                <w:szCs w:val="22"/>
                <w:lang w:eastAsia="en-US"/>
              </w:rPr>
              <w:t>Nr.</w:t>
            </w:r>
            <w:r>
              <w:rPr>
                <w:rFonts w:eastAsiaTheme="minorHAnsi"/>
                <w:sz w:val="22"/>
                <w:szCs w:val="22"/>
                <w:lang w:eastAsia="en-US"/>
              </w:rPr>
              <w:t xml:space="preserve"> </w:t>
            </w:r>
            <w:r w:rsidRPr="003B6742">
              <w:rPr>
                <w:rFonts w:eastAsiaTheme="minorHAnsi"/>
                <w:sz w:val="22"/>
                <w:szCs w:val="22"/>
                <w:lang w:eastAsia="en-US"/>
              </w:rPr>
              <w:t>21-27180</w:t>
            </w:r>
          </w:p>
        </w:tc>
        <w:tc>
          <w:tcPr>
            <w:tcW w:w="6121" w:type="dxa"/>
            <w:shd w:val="clear" w:color="auto" w:fill="auto"/>
          </w:tcPr>
          <w:p w:rsidR="00166606" w:rsidRPr="00166606" w:rsidRDefault="00166606" w:rsidP="00665E92">
            <w:pPr>
              <w:tabs>
                <w:tab w:val="left" w:pos="426"/>
                <w:tab w:val="left" w:pos="1017"/>
              </w:tabs>
              <w:suppressAutoHyphens/>
              <w:jc w:val="both"/>
              <w:rPr>
                <w:color w:val="000000"/>
                <w:sz w:val="22"/>
                <w:szCs w:val="22"/>
              </w:rPr>
            </w:pPr>
            <w:r w:rsidRPr="00166606">
              <w:rPr>
                <w:color w:val="000000"/>
                <w:sz w:val="22"/>
                <w:szCs w:val="22"/>
              </w:rPr>
              <w:t xml:space="preserve">Akcizų įstatymo projekto 13 straipsniu keičiamo Akcizų įstatymo 16 straipsnio 4 dalis perkelia Direktyvos (ES) 2020/262 9 straipsnio 3 dalį, kurioje nurodyta, kad nustatytais atvejais „valstybės narės, kurioje prekės buvo </w:t>
            </w:r>
            <w:r w:rsidRPr="00166606">
              <w:rPr>
                <w:i/>
                <w:color w:val="000000"/>
                <w:sz w:val="22"/>
                <w:szCs w:val="22"/>
              </w:rPr>
              <w:t>išleistos vartoti</w:t>
            </w:r>
            <w:r w:rsidRPr="00166606">
              <w:rPr>
                <w:color w:val="000000"/>
                <w:sz w:val="22"/>
                <w:szCs w:val="22"/>
              </w:rPr>
              <w:t xml:space="preserve"> arba, laikoma, kad buvo išleistos vartoti, kompetentingos institucijos informuoja išsiuntimo valstybės narės kompetentingas institucijas“. </w:t>
            </w:r>
          </w:p>
          <w:p w:rsidR="0090089C" w:rsidRDefault="00166606" w:rsidP="007F568B">
            <w:pPr>
              <w:tabs>
                <w:tab w:val="left" w:pos="426"/>
                <w:tab w:val="left" w:pos="1017"/>
              </w:tabs>
              <w:jc w:val="both"/>
              <w:rPr>
                <w:rFonts w:eastAsiaTheme="minorHAnsi"/>
                <w:bCs/>
                <w:color w:val="000000"/>
                <w:sz w:val="22"/>
                <w:szCs w:val="22"/>
                <w:lang w:eastAsia="en-US"/>
              </w:rPr>
            </w:pPr>
            <w:r w:rsidRPr="00166606">
              <w:rPr>
                <w:color w:val="000000"/>
                <w:sz w:val="22"/>
                <w:szCs w:val="22"/>
              </w:rPr>
              <w:t xml:space="preserve">Pagal Direktyvos (ES) 2020/262 6 straipsnio 3 dalį „išleidimas vartoti“ yra laikomas ne tik importas, bet ir gamyba, laikymas ar saugojimas, priekių išėmimas, įskaitant neteisėtą išėmimą, iš akcizų mokėjimo laikino atidėjimo režimo. Atsižvelgiant į tai, siūlytina patikslinti Akcizų įstatymo projekto 13 straipsniu </w:t>
            </w:r>
            <w:r w:rsidRPr="00166606">
              <w:rPr>
                <w:color w:val="000000"/>
                <w:sz w:val="22"/>
                <w:szCs w:val="22"/>
              </w:rPr>
              <w:lastRenderedPageBreak/>
              <w:t>keičiamo Akcizų įstatymo 16 straipsnio 4 dalį, kad ji apimtų visus „išleidimo vartoti“ atvejus.</w:t>
            </w:r>
          </w:p>
        </w:tc>
        <w:tc>
          <w:tcPr>
            <w:tcW w:w="7330" w:type="dxa"/>
            <w:shd w:val="clear" w:color="auto" w:fill="auto"/>
          </w:tcPr>
          <w:p w:rsidR="005632B8" w:rsidRPr="007D74D2" w:rsidRDefault="005632B8" w:rsidP="00665E92">
            <w:pPr>
              <w:jc w:val="both"/>
              <w:rPr>
                <w:i/>
                <w:iCs/>
                <w:sz w:val="22"/>
                <w:szCs w:val="22"/>
              </w:rPr>
            </w:pPr>
            <w:r w:rsidRPr="007D74D2">
              <w:rPr>
                <w:i/>
                <w:iCs/>
                <w:sz w:val="22"/>
                <w:szCs w:val="22"/>
              </w:rPr>
              <w:lastRenderedPageBreak/>
              <w:t>Įvertinta.</w:t>
            </w:r>
          </w:p>
          <w:p w:rsidR="0090089C" w:rsidRPr="00A83560" w:rsidRDefault="005632B8" w:rsidP="00586BE1">
            <w:pPr>
              <w:tabs>
                <w:tab w:val="left" w:pos="426"/>
                <w:tab w:val="left" w:pos="1017"/>
              </w:tabs>
              <w:jc w:val="both"/>
              <w:rPr>
                <w:i/>
                <w:iCs/>
                <w:sz w:val="22"/>
                <w:szCs w:val="22"/>
              </w:rPr>
            </w:pPr>
            <w:r w:rsidRPr="00166606">
              <w:rPr>
                <w:color w:val="000000"/>
                <w:sz w:val="22"/>
                <w:szCs w:val="22"/>
              </w:rPr>
              <w:t xml:space="preserve">Direktyvos (ES) 2020/262 9 straipsnio 3 dalis taikoma tik </w:t>
            </w:r>
            <w:r w:rsidR="00170731">
              <w:rPr>
                <w:color w:val="000000"/>
                <w:sz w:val="22"/>
                <w:szCs w:val="22"/>
              </w:rPr>
              <w:t xml:space="preserve">šios direktyvos </w:t>
            </w:r>
            <w:r w:rsidRPr="00166606">
              <w:rPr>
                <w:color w:val="000000"/>
                <w:sz w:val="22"/>
                <w:szCs w:val="22"/>
              </w:rPr>
              <w:t xml:space="preserve">9 straipsnio 1 ir 2 dalyse nurodytais atvejais, t. y. apima </w:t>
            </w:r>
            <w:r w:rsidR="00586BE1">
              <w:rPr>
                <w:color w:val="000000"/>
                <w:sz w:val="22"/>
                <w:szCs w:val="22"/>
              </w:rPr>
              <w:t xml:space="preserve">prekių </w:t>
            </w:r>
            <w:r w:rsidRPr="00166606">
              <w:rPr>
                <w:color w:val="000000"/>
                <w:sz w:val="22"/>
                <w:szCs w:val="22"/>
              </w:rPr>
              <w:t>išleidimą vartoti tik pagal Direktyvos (ES) 2020/262 6 straipsnio 3 dalies a punktą („</w:t>
            </w:r>
            <w:r w:rsidRPr="00166606">
              <w:rPr>
                <w:sz w:val="22"/>
                <w:szCs w:val="22"/>
              </w:rPr>
              <w:t xml:space="preserve">akcizais apmokestinamų prekių išėmimas, įskaitant neteisėtą išėmimą, iš akcizų mokėjimo laikino atidėjimo režimo“), tačiau neapima </w:t>
            </w:r>
            <w:r w:rsidR="00B44549">
              <w:rPr>
                <w:sz w:val="22"/>
                <w:szCs w:val="22"/>
              </w:rPr>
              <w:t xml:space="preserve">jų </w:t>
            </w:r>
            <w:r w:rsidRPr="00166606">
              <w:rPr>
                <w:color w:val="000000"/>
                <w:sz w:val="22"/>
                <w:szCs w:val="22"/>
              </w:rPr>
              <w:t xml:space="preserve">gamybos, laikymo ar saugojimo (tai nustatyta kituose Direktyvos (ES) 2020/262 6 straipsnio 3 dalies punktuose). Be to, Direktyvos (ES) 2020/262 9 straipsnio 3 dalies nuostatose kalbama apie </w:t>
            </w:r>
            <w:r w:rsidRPr="00166606">
              <w:rPr>
                <w:i/>
                <w:color w:val="000000"/>
                <w:sz w:val="22"/>
                <w:szCs w:val="22"/>
              </w:rPr>
              <w:t>pažeidimus, padarytus</w:t>
            </w:r>
            <w:r w:rsidRPr="00166606">
              <w:rPr>
                <w:color w:val="000000"/>
                <w:sz w:val="22"/>
                <w:szCs w:val="22"/>
              </w:rPr>
              <w:t xml:space="preserve"> </w:t>
            </w:r>
            <w:r w:rsidRPr="00166606">
              <w:rPr>
                <w:i/>
                <w:color w:val="000000"/>
                <w:sz w:val="22"/>
                <w:szCs w:val="22"/>
              </w:rPr>
              <w:t xml:space="preserve">gabenant </w:t>
            </w:r>
            <w:r w:rsidRPr="00166606">
              <w:rPr>
                <w:color w:val="000000"/>
                <w:sz w:val="22"/>
                <w:szCs w:val="22"/>
              </w:rPr>
              <w:t xml:space="preserve">akcizais apmokestinamas prekes, kurioms pritaikytas </w:t>
            </w:r>
            <w:r w:rsidRPr="00166606">
              <w:rPr>
                <w:sz w:val="22"/>
                <w:szCs w:val="22"/>
              </w:rPr>
              <w:t xml:space="preserve">akcizų mokėjimo laikino atidėjimo režimas, </w:t>
            </w:r>
            <w:r w:rsidRPr="00166606">
              <w:rPr>
                <w:i/>
                <w:sz w:val="22"/>
                <w:szCs w:val="22"/>
              </w:rPr>
              <w:t>ir apie prievolę informuoti išsiuntimo valstybės narės</w:t>
            </w:r>
            <w:r w:rsidRPr="00166606">
              <w:rPr>
                <w:sz w:val="22"/>
                <w:szCs w:val="22"/>
              </w:rPr>
              <w:t xml:space="preserve"> kompetentingas institucija</w:t>
            </w:r>
            <w:r w:rsidR="00C23408">
              <w:rPr>
                <w:sz w:val="22"/>
                <w:szCs w:val="22"/>
              </w:rPr>
              <w:t>s</w:t>
            </w:r>
            <w:r w:rsidRPr="00166606">
              <w:rPr>
                <w:sz w:val="22"/>
                <w:szCs w:val="22"/>
              </w:rPr>
              <w:t xml:space="preserve">, todėl šios nuostatos perkeliamos į Akcizų įstatymą tik gabenimo per Lietuvos Respublikos </w:t>
            </w:r>
            <w:r w:rsidRPr="00166606">
              <w:rPr>
                <w:sz w:val="22"/>
                <w:szCs w:val="22"/>
              </w:rPr>
              <w:lastRenderedPageBreak/>
              <w:t>teritoriją kontekste. Atsižvelg</w:t>
            </w:r>
            <w:r w:rsidR="00C23408">
              <w:rPr>
                <w:sz w:val="22"/>
                <w:szCs w:val="22"/>
              </w:rPr>
              <w:t>dami</w:t>
            </w:r>
            <w:r w:rsidRPr="00166606">
              <w:rPr>
                <w:sz w:val="22"/>
                <w:szCs w:val="22"/>
              </w:rPr>
              <w:t xml:space="preserve"> į tai,</w:t>
            </w:r>
            <w:r w:rsidRPr="00166606">
              <w:rPr>
                <w:color w:val="000000"/>
                <w:sz w:val="22"/>
                <w:szCs w:val="22"/>
              </w:rPr>
              <w:t xml:space="preserve"> manome, kad Akcizų įstatymo projekto 13 straipsniu keičiamo Akcizų įstatymo 16 straipsnio 4 dalies tikslinti nereikia.</w:t>
            </w:r>
          </w:p>
        </w:tc>
      </w:tr>
      <w:tr w:rsidR="007F3D78" w:rsidRPr="00A83560" w:rsidTr="00D34B5D">
        <w:trPr>
          <w:trHeight w:val="423"/>
        </w:trPr>
        <w:tc>
          <w:tcPr>
            <w:tcW w:w="1576" w:type="dxa"/>
            <w:shd w:val="clear" w:color="auto" w:fill="auto"/>
          </w:tcPr>
          <w:p w:rsidR="007F3D78" w:rsidRPr="003B6742" w:rsidRDefault="007F3D78" w:rsidP="00E32A23">
            <w:pPr>
              <w:jc w:val="both"/>
              <w:rPr>
                <w:rFonts w:eastAsiaTheme="minorHAnsi"/>
                <w:sz w:val="22"/>
                <w:szCs w:val="22"/>
                <w:lang w:eastAsia="en-US"/>
              </w:rPr>
            </w:pPr>
            <w:r w:rsidRPr="007F3D78">
              <w:rPr>
                <w:rFonts w:eastAsiaTheme="minorHAnsi"/>
                <w:sz w:val="22"/>
                <w:szCs w:val="22"/>
                <w:lang w:eastAsia="en-US"/>
              </w:rPr>
              <w:lastRenderedPageBreak/>
              <w:t>Ekonomikos ir inovacijų ministerij</w:t>
            </w:r>
            <w:r w:rsidR="00E32A23">
              <w:rPr>
                <w:rFonts w:eastAsiaTheme="minorHAnsi"/>
                <w:sz w:val="22"/>
                <w:szCs w:val="22"/>
                <w:lang w:eastAsia="en-US"/>
              </w:rPr>
              <w:t>a</w:t>
            </w:r>
          </w:p>
        </w:tc>
        <w:tc>
          <w:tcPr>
            <w:tcW w:w="6121" w:type="dxa"/>
            <w:shd w:val="clear" w:color="auto" w:fill="auto"/>
          </w:tcPr>
          <w:p w:rsidR="007F3D78" w:rsidRPr="00166606" w:rsidRDefault="00665E92" w:rsidP="00DB12A0">
            <w:pPr>
              <w:jc w:val="both"/>
              <w:rPr>
                <w:color w:val="000000"/>
                <w:sz w:val="22"/>
                <w:szCs w:val="22"/>
              </w:rPr>
            </w:pPr>
            <w:r w:rsidRPr="00665E92">
              <w:rPr>
                <w:color w:val="000000"/>
                <w:sz w:val="22"/>
                <w:szCs w:val="22"/>
              </w:rPr>
              <w:t>Projektų lydraštyje ir aiškinamajame rašte teigiama, kad užtikrinus tinkamus duomenų mainus tarp akcizų ir muitų informacinių sistemų, supaprastinus akcizais apmokestinamų prekių, kurioms panaikintas akcizų mokėjimo laikino atidėjimo režimas ir kurios komerciniais tikslais gabenamos tarp valstybių narių, gabenimo stebėseną bei vienodai Europos Sąjungos mastu nustačius natūralios netekties normas sumažės administracinė našta. Manome, kad toks teiginys turėtų būti pagrįstas skaičiavimais. Prašome, vadovaujantis Administracinės naštos ūkio subjektams nustatymo metodika, patvirtinta Lietuvos Respublikos Vyriausybės 2012 m. sausio 11 d. nutarimu Nr. 4 „Dėl Administracinės naštos ūkio subjektams nustatymo metodikos patvirtinimo“, įvertinti Akcizų įstatymo projektu sukeliamą administracinės naštos ūkio subjektams pokytį ir užpildytą Administracinės naštos ūkio subjektams apskaičiavimo ataskaitą pateikti Ekonomikos ir inovacijų ministerijai išvadoms gauti.</w:t>
            </w:r>
          </w:p>
        </w:tc>
        <w:tc>
          <w:tcPr>
            <w:tcW w:w="7330" w:type="dxa"/>
            <w:shd w:val="clear" w:color="auto" w:fill="auto"/>
          </w:tcPr>
          <w:p w:rsidR="00801FB7" w:rsidRPr="007D74D2" w:rsidRDefault="00801FB7" w:rsidP="00801FB7">
            <w:pPr>
              <w:jc w:val="both"/>
              <w:rPr>
                <w:i/>
                <w:iCs/>
                <w:sz w:val="22"/>
                <w:szCs w:val="22"/>
              </w:rPr>
            </w:pPr>
            <w:r w:rsidRPr="007D74D2">
              <w:rPr>
                <w:i/>
                <w:iCs/>
                <w:sz w:val="22"/>
                <w:szCs w:val="22"/>
              </w:rPr>
              <w:t>Įvertinta.</w:t>
            </w:r>
          </w:p>
          <w:p w:rsidR="007F3D78" w:rsidRPr="007D74D2" w:rsidRDefault="00E32A23" w:rsidP="00E32A23">
            <w:pPr>
              <w:jc w:val="both"/>
              <w:rPr>
                <w:i/>
                <w:iCs/>
                <w:sz w:val="22"/>
                <w:szCs w:val="22"/>
              </w:rPr>
            </w:pPr>
            <w:r w:rsidRPr="00E32A23">
              <w:rPr>
                <w:sz w:val="22"/>
                <w:szCs w:val="22"/>
              </w:rPr>
              <w:t xml:space="preserve">Valstybinei mokesčių inspekcijai prie Lietuvos Respublikos finansų </w:t>
            </w:r>
            <w:r>
              <w:rPr>
                <w:sz w:val="22"/>
                <w:szCs w:val="22"/>
              </w:rPr>
              <w:t>m</w:t>
            </w:r>
            <w:r w:rsidRPr="00E32A23">
              <w:rPr>
                <w:sz w:val="22"/>
                <w:szCs w:val="22"/>
              </w:rPr>
              <w:t>inisterijos</w:t>
            </w:r>
            <w:r>
              <w:rPr>
                <w:sz w:val="22"/>
                <w:szCs w:val="22"/>
              </w:rPr>
              <w:t xml:space="preserve"> </w:t>
            </w:r>
            <w:r w:rsidR="006879AE">
              <w:rPr>
                <w:sz w:val="22"/>
                <w:szCs w:val="22"/>
              </w:rPr>
              <w:t xml:space="preserve">pavesta </w:t>
            </w:r>
            <w:r w:rsidRPr="00E32A23">
              <w:rPr>
                <w:sz w:val="22"/>
                <w:szCs w:val="22"/>
              </w:rPr>
              <w:t xml:space="preserve">įvertinti Akcizų įstatymo projektu sukeliamą administracinės naštos ūkio subjektams pokytį </w:t>
            </w:r>
            <w:r>
              <w:rPr>
                <w:sz w:val="22"/>
                <w:szCs w:val="22"/>
              </w:rPr>
              <w:t xml:space="preserve">(su </w:t>
            </w:r>
            <w:r w:rsidRPr="007F3D78">
              <w:rPr>
                <w:rFonts w:eastAsiaTheme="minorHAnsi"/>
                <w:sz w:val="22"/>
                <w:szCs w:val="22"/>
                <w:lang w:eastAsia="en-US"/>
              </w:rPr>
              <w:t>Ekonomikos ir inovacijų ministerij</w:t>
            </w:r>
            <w:r>
              <w:rPr>
                <w:rFonts w:eastAsiaTheme="minorHAnsi"/>
                <w:sz w:val="22"/>
                <w:szCs w:val="22"/>
                <w:lang w:eastAsia="en-US"/>
              </w:rPr>
              <w:t>a</w:t>
            </w:r>
            <w:r w:rsidRPr="00E32A23">
              <w:rPr>
                <w:sz w:val="22"/>
                <w:szCs w:val="22"/>
              </w:rPr>
              <w:t xml:space="preserve"> </w:t>
            </w:r>
            <w:r>
              <w:rPr>
                <w:sz w:val="22"/>
                <w:szCs w:val="22"/>
              </w:rPr>
              <w:t>s</w:t>
            </w:r>
            <w:r w:rsidR="00587713" w:rsidRPr="00E32A23">
              <w:rPr>
                <w:sz w:val="22"/>
                <w:szCs w:val="22"/>
              </w:rPr>
              <w:t>uderinta darbo tvarka</w:t>
            </w:r>
            <w:r>
              <w:rPr>
                <w:sz w:val="22"/>
                <w:szCs w:val="22"/>
              </w:rPr>
              <w:t>)</w:t>
            </w:r>
            <w:r w:rsidR="00587713" w:rsidRPr="00E32A23">
              <w:rPr>
                <w:sz w:val="22"/>
                <w:szCs w:val="22"/>
              </w:rPr>
              <w:t>.</w:t>
            </w:r>
          </w:p>
        </w:tc>
      </w:tr>
      <w:tr w:rsidR="00361F92" w:rsidRPr="00A83560" w:rsidTr="00D34B5D">
        <w:trPr>
          <w:trHeight w:val="423"/>
        </w:trPr>
        <w:tc>
          <w:tcPr>
            <w:tcW w:w="1576" w:type="dxa"/>
            <w:shd w:val="clear" w:color="auto" w:fill="auto"/>
          </w:tcPr>
          <w:p w:rsidR="0029652F" w:rsidRPr="00A83560" w:rsidRDefault="0029652F" w:rsidP="00665E92">
            <w:pPr>
              <w:rPr>
                <w:rFonts w:eastAsiaTheme="minorHAnsi"/>
                <w:sz w:val="22"/>
                <w:szCs w:val="22"/>
                <w:lang w:eastAsia="en-US"/>
              </w:rPr>
            </w:pPr>
            <w:r w:rsidRPr="00A83560">
              <w:rPr>
                <w:rFonts w:eastAsiaTheme="minorHAnsi"/>
                <w:sz w:val="22"/>
                <w:szCs w:val="22"/>
                <w:lang w:eastAsia="en-US"/>
              </w:rPr>
              <w:t xml:space="preserve">Lietuvos alkoholinių gėrimų gamintojų ir importuotojų asociacija </w:t>
            </w:r>
            <w:r w:rsidR="003B6516">
              <w:rPr>
                <w:rFonts w:eastAsiaTheme="minorHAnsi"/>
                <w:sz w:val="22"/>
                <w:szCs w:val="22"/>
                <w:lang w:eastAsia="en-US"/>
              </w:rPr>
              <w:t xml:space="preserve">(toliau – </w:t>
            </w:r>
            <w:r w:rsidR="003B6516" w:rsidRPr="00A83560">
              <w:rPr>
                <w:sz w:val="22"/>
                <w:szCs w:val="22"/>
              </w:rPr>
              <w:t>LAGGIA</w:t>
            </w:r>
            <w:r w:rsidR="003B6516">
              <w:rPr>
                <w:sz w:val="22"/>
                <w:szCs w:val="22"/>
              </w:rPr>
              <w:t>)</w:t>
            </w:r>
          </w:p>
          <w:p w:rsidR="00361F92" w:rsidRPr="00A83560" w:rsidRDefault="0029652F" w:rsidP="00665E92">
            <w:pPr>
              <w:jc w:val="both"/>
              <w:rPr>
                <w:sz w:val="22"/>
                <w:szCs w:val="22"/>
              </w:rPr>
            </w:pPr>
            <w:r w:rsidRPr="00A83560">
              <w:rPr>
                <w:rFonts w:eastAsiaTheme="minorHAnsi"/>
                <w:sz w:val="22"/>
                <w:szCs w:val="22"/>
                <w:lang w:eastAsia="en-US"/>
              </w:rPr>
              <w:t>2021-0</w:t>
            </w:r>
            <w:r w:rsidR="00B830DA">
              <w:rPr>
                <w:rFonts w:eastAsiaTheme="minorHAnsi"/>
                <w:sz w:val="22"/>
                <w:szCs w:val="22"/>
                <w:lang w:eastAsia="en-US"/>
              </w:rPr>
              <w:t>7</w:t>
            </w:r>
            <w:r w:rsidRPr="00A83560">
              <w:rPr>
                <w:rFonts w:eastAsiaTheme="minorHAnsi"/>
                <w:sz w:val="22"/>
                <w:szCs w:val="22"/>
                <w:lang w:eastAsia="en-US"/>
              </w:rPr>
              <w:t>-</w:t>
            </w:r>
            <w:r w:rsidR="00B830DA">
              <w:rPr>
                <w:rFonts w:eastAsiaTheme="minorHAnsi"/>
                <w:sz w:val="22"/>
                <w:szCs w:val="22"/>
                <w:lang w:eastAsia="en-US"/>
              </w:rPr>
              <w:t>1</w:t>
            </w:r>
            <w:r w:rsidRPr="00A83560">
              <w:rPr>
                <w:rFonts w:eastAsiaTheme="minorHAnsi"/>
                <w:sz w:val="22"/>
                <w:szCs w:val="22"/>
                <w:lang w:eastAsia="en-US"/>
              </w:rPr>
              <w:t>2</w:t>
            </w:r>
          </w:p>
        </w:tc>
        <w:tc>
          <w:tcPr>
            <w:tcW w:w="6121" w:type="dxa"/>
            <w:shd w:val="clear" w:color="auto" w:fill="auto"/>
          </w:tcPr>
          <w:p w:rsidR="00361F92" w:rsidRPr="00A83560" w:rsidRDefault="009907F5" w:rsidP="00665E92">
            <w:pPr>
              <w:jc w:val="both"/>
              <w:rPr>
                <w:b/>
                <w:iCs/>
                <w:sz w:val="22"/>
                <w:szCs w:val="22"/>
              </w:rPr>
            </w:pPr>
            <w:r>
              <w:t xml:space="preserve"> </w:t>
            </w:r>
            <w:r>
              <w:rPr>
                <w:sz w:val="22"/>
                <w:szCs w:val="22"/>
              </w:rPr>
              <w:t>Aiškinamajame Projektų rašte teigiama, kad: „Siekiant sumažinti mokesčių mokėtojams tenkančią administracinę naštą, siūloma panaikinti Akcizų įstatymo 6 straipsnio 2 dalyje, 7 straipsnio 4 dalyje ir 8 straipsnio 4 dalyje įtvirtintus perteklinius reikalavimus sandėlių savininkams tiesioginio pristatymo vietoje, registruotiems gavėjams ir registruotiems siuntėjams tvarkyti specialią akcizais apmokestinamų prekių apskaitą ir teikti mokesčių administratoriaus nustatyta tvarka parengtas ataskaitas.“, tačiau iš pateiktų Projektų nėra aišku koks tai bus praktinis palengvinimas, kadangi reikalavimas tvarkyti apskaitą išlieka, tik reikalavimus nustatys nebe mokesčių administratorius, kaip būdavo iki šiol, o Vyriausybė savo nutarimu. Itin svarbu, kad nustatant šiuos reikalavimus nesusidarytų situacija, kuomet vietoje palengvinimo būtų sukurtos papildomos taisyklės.</w:t>
            </w:r>
          </w:p>
        </w:tc>
        <w:tc>
          <w:tcPr>
            <w:tcW w:w="7330" w:type="dxa"/>
            <w:shd w:val="clear" w:color="auto" w:fill="auto"/>
          </w:tcPr>
          <w:p w:rsidR="009907F5" w:rsidRPr="007D74D2" w:rsidRDefault="009907F5" w:rsidP="00665E92">
            <w:pPr>
              <w:jc w:val="both"/>
              <w:rPr>
                <w:i/>
                <w:iCs/>
                <w:sz w:val="22"/>
                <w:szCs w:val="22"/>
              </w:rPr>
            </w:pPr>
            <w:r w:rsidRPr="007D74D2">
              <w:rPr>
                <w:i/>
                <w:iCs/>
                <w:sz w:val="22"/>
                <w:szCs w:val="22"/>
              </w:rPr>
              <w:t>Įvertinta.</w:t>
            </w:r>
          </w:p>
          <w:p w:rsidR="00361F92" w:rsidRPr="00F10030" w:rsidRDefault="009907F5" w:rsidP="00C23408">
            <w:pPr>
              <w:jc w:val="both"/>
              <w:rPr>
                <w:iCs/>
                <w:sz w:val="22"/>
                <w:szCs w:val="22"/>
              </w:rPr>
            </w:pPr>
            <w:r>
              <w:rPr>
                <w:sz w:val="22"/>
                <w:szCs w:val="22"/>
              </w:rPr>
              <w:t>P</w:t>
            </w:r>
            <w:r w:rsidRPr="009907F5">
              <w:rPr>
                <w:sz w:val="22"/>
                <w:szCs w:val="22"/>
              </w:rPr>
              <w:t xml:space="preserve">o siūlomų pakeitimų </w:t>
            </w:r>
            <w:r>
              <w:rPr>
                <w:sz w:val="22"/>
                <w:szCs w:val="22"/>
              </w:rPr>
              <w:t>sandėlių savininkų tiesioginio pristatymo vietoje, registruotų gavėjų ir registruotų siuntėjų</w:t>
            </w:r>
            <w:r w:rsidRPr="009907F5">
              <w:rPr>
                <w:sz w:val="22"/>
                <w:szCs w:val="22"/>
              </w:rPr>
              <w:t xml:space="preserve"> akcizais apmokestinamų prekių apskaita bus tvarkoma vadovaujantis </w:t>
            </w:r>
            <w:r w:rsidR="00C23408">
              <w:rPr>
                <w:sz w:val="22"/>
                <w:szCs w:val="22"/>
              </w:rPr>
              <w:t>B</w:t>
            </w:r>
            <w:r w:rsidRPr="009907F5">
              <w:rPr>
                <w:sz w:val="22"/>
                <w:szCs w:val="22"/>
              </w:rPr>
              <w:t xml:space="preserve">uhalterinės apskaitos įstatymo nuostatomis. </w:t>
            </w:r>
          </w:p>
        </w:tc>
      </w:tr>
      <w:tr w:rsidR="00117165" w:rsidRPr="00A83560" w:rsidTr="00D34B5D">
        <w:trPr>
          <w:trHeight w:val="423"/>
        </w:trPr>
        <w:tc>
          <w:tcPr>
            <w:tcW w:w="1576" w:type="dxa"/>
            <w:shd w:val="clear" w:color="auto" w:fill="auto"/>
          </w:tcPr>
          <w:p w:rsidR="00117165" w:rsidRDefault="00117165" w:rsidP="00665E92">
            <w:pPr>
              <w:jc w:val="both"/>
              <w:rPr>
                <w:sz w:val="22"/>
                <w:szCs w:val="22"/>
              </w:rPr>
            </w:pPr>
            <w:r w:rsidRPr="00A83560">
              <w:rPr>
                <w:sz w:val="22"/>
                <w:szCs w:val="22"/>
              </w:rPr>
              <w:t>LAGGIA</w:t>
            </w:r>
          </w:p>
          <w:p w:rsidR="00117165" w:rsidRPr="00A83560" w:rsidRDefault="00117165" w:rsidP="00665E92">
            <w:pPr>
              <w:rPr>
                <w:rFonts w:eastAsiaTheme="minorHAnsi"/>
                <w:sz w:val="22"/>
                <w:szCs w:val="22"/>
                <w:lang w:eastAsia="en-US"/>
              </w:rPr>
            </w:pPr>
          </w:p>
        </w:tc>
        <w:tc>
          <w:tcPr>
            <w:tcW w:w="6121" w:type="dxa"/>
            <w:shd w:val="clear" w:color="auto" w:fill="auto"/>
          </w:tcPr>
          <w:p w:rsidR="00117165" w:rsidRDefault="00117165" w:rsidP="00665E92">
            <w:pPr>
              <w:jc w:val="both"/>
            </w:pPr>
            <w:r>
              <w:rPr>
                <w:sz w:val="22"/>
                <w:szCs w:val="22"/>
              </w:rPr>
              <w:t xml:space="preserve">Akcizų įstatymo projekte atsiranda naujos sąvokos, tokios kaip „Patvirtintas gavėjas“ ir „Patvirtintas siuntėjas“, kas reiškia, kad įvairūs alkoholinių produktų pavyzdžiai, siunčiami į kitas ES šalis turės praeiti papildomas administracines procedūras. Tokiu būdų nėra palengvinama administracinė našta verslui, o sukuriama papildoma administracinė našta. Siūlytume dar kartą svarstant įstatymų projektus įvertinti ar tikrai tokios papildomos procedūros, atsirandančios dėl naujų sąvokų įvedimo yra reikalingos ir sukurs </w:t>
            </w:r>
            <w:r w:rsidR="00AA17FA">
              <w:rPr>
                <w:sz w:val="22"/>
                <w:szCs w:val="22"/>
              </w:rPr>
              <w:lastRenderedPageBreak/>
              <w:t>apčiuopiamą naudą.</w:t>
            </w:r>
          </w:p>
        </w:tc>
        <w:tc>
          <w:tcPr>
            <w:tcW w:w="7330" w:type="dxa"/>
            <w:shd w:val="clear" w:color="auto" w:fill="auto"/>
          </w:tcPr>
          <w:p w:rsidR="00117165" w:rsidRDefault="00117165" w:rsidP="00665E92">
            <w:pPr>
              <w:jc w:val="both"/>
              <w:rPr>
                <w:i/>
                <w:iCs/>
                <w:sz w:val="22"/>
                <w:szCs w:val="22"/>
              </w:rPr>
            </w:pPr>
            <w:r>
              <w:rPr>
                <w:i/>
                <w:iCs/>
                <w:sz w:val="22"/>
                <w:szCs w:val="22"/>
              </w:rPr>
              <w:lastRenderedPageBreak/>
              <w:t>Įvertinta.</w:t>
            </w:r>
          </w:p>
          <w:p w:rsidR="00117165" w:rsidRPr="007D74D2" w:rsidRDefault="005B1868" w:rsidP="00AB0EBB">
            <w:pPr>
              <w:jc w:val="both"/>
              <w:rPr>
                <w:i/>
                <w:iCs/>
                <w:sz w:val="22"/>
                <w:szCs w:val="22"/>
              </w:rPr>
            </w:pPr>
            <w:r w:rsidRPr="00FE03B4">
              <w:rPr>
                <w:sz w:val="22"/>
                <w:szCs w:val="22"/>
              </w:rPr>
              <w:t xml:space="preserve">Akcizų įstatymo sąvokos </w:t>
            </w:r>
            <w:r w:rsidR="00D33179">
              <w:rPr>
                <w:sz w:val="22"/>
                <w:szCs w:val="22"/>
              </w:rPr>
              <w:t>„patvirtintas gavėjas“ ir „p</w:t>
            </w:r>
            <w:r>
              <w:rPr>
                <w:sz w:val="22"/>
                <w:szCs w:val="22"/>
              </w:rPr>
              <w:t xml:space="preserve">atvirtintas siuntėjas“ nustatomos </w:t>
            </w:r>
            <w:r w:rsidRPr="00FE03B4">
              <w:rPr>
                <w:sz w:val="22"/>
                <w:szCs w:val="22"/>
              </w:rPr>
              <w:t xml:space="preserve">siekiant įgyvendinti </w:t>
            </w:r>
            <w:r w:rsidR="00AB0EBB">
              <w:rPr>
                <w:sz w:val="22"/>
                <w:szCs w:val="22"/>
              </w:rPr>
              <w:t>D</w:t>
            </w:r>
            <w:r w:rsidRPr="00FE03B4">
              <w:rPr>
                <w:sz w:val="22"/>
                <w:szCs w:val="22"/>
              </w:rPr>
              <w:t>irektyvos (ES) 2020/262, kuria nustatoma bendroji akcizų tvarka, nuostatas.</w:t>
            </w:r>
          </w:p>
        </w:tc>
      </w:tr>
      <w:tr w:rsidR="00FF1B27" w:rsidRPr="00A83560" w:rsidTr="00D34B5D">
        <w:trPr>
          <w:trHeight w:val="423"/>
        </w:trPr>
        <w:tc>
          <w:tcPr>
            <w:tcW w:w="1576" w:type="dxa"/>
            <w:shd w:val="clear" w:color="auto" w:fill="auto"/>
          </w:tcPr>
          <w:p w:rsidR="00FF1B27" w:rsidRPr="00FF1B27" w:rsidRDefault="00FF1B27" w:rsidP="00FF1B27">
            <w:pPr>
              <w:autoSpaceDE w:val="0"/>
              <w:autoSpaceDN w:val="0"/>
              <w:adjustRightInd w:val="0"/>
              <w:rPr>
                <w:rFonts w:eastAsiaTheme="minorHAnsi"/>
                <w:sz w:val="22"/>
                <w:szCs w:val="22"/>
                <w:lang w:eastAsia="en-US"/>
              </w:rPr>
            </w:pPr>
            <w:r w:rsidRPr="00FF1B27">
              <w:rPr>
                <w:rFonts w:eastAsiaTheme="minorHAnsi"/>
                <w:sz w:val="22"/>
                <w:szCs w:val="22"/>
                <w:lang w:eastAsia="en-US"/>
              </w:rPr>
              <w:lastRenderedPageBreak/>
              <w:t>Lietuvos Respublikos</w:t>
            </w:r>
          </w:p>
          <w:p w:rsidR="00FF1B27" w:rsidRPr="00FF1B27" w:rsidRDefault="00FF1B27" w:rsidP="00FF1B27">
            <w:pPr>
              <w:autoSpaceDE w:val="0"/>
              <w:autoSpaceDN w:val="0"/>
              <w:adjustRightInd w:val="0"/>
              <w:rPr>
                <w:rFonts w:eastAsiaTheme="minorHAnsi"/>
                <w:sz w:val="22"/>
                <w:szCs w:val="22"/>
                <w:lang w:eastAsia="en-US"/>
              </w:rPr>
            </w:pPr>
            <w:r w:rsidRPr="00FF1B27">
              <w:rPr>
                <w:rFonts w:eastAsiaTheme="minorHAnsi"/>
                <w:sz w:val="22"/>
                <w:szCs w:val="22"/>
                <w:lang w:eastAsia="en-US"/>
              </w:rPr>
              <w:t>Vyriausybės</w:t>
            </w:r>
          </w:p>
          <w:p w:rsidR="00FF1B27" w:rsidRPr="00FF1B27" w:rsidRDefault="00FF1B27" w:rsidP="00FF1B27">
            <w:pPr>
              <w:autoSpaceDE w:val="0"/>
              <w:autoSpaceDN w:val="0"/>
              <w:adjustRightInd w:val="0"/>
              <w:rPr>
                <w:rFonts w:eastAsiaTheme="minorHAnsi"/>
                <w:sz w:val="22"/>
                <w:szCs w:val="22"/>
                <w:lang w:eastAsia="en-US"/>
              </w:rPr>
            </w:pPr>
            <w:r w:rsidRPr="00FF1B27">
              <w:rPr>
                <w:rFonts w:eastAsiaTheme="minorHAnsi"/>
                <w:sz w:val="22"/>
                <w:szCs w:val="22"/>
                <w:lang w:eastAsia="en-US"/>
              </w:rPr>
              <w:t>kanceliarijos</w:t>
            </w:r>
          </w:p>
          <w:p w:rsidR="00FF1B27" w:rsidRPr="00FF1B27" w:rsidRDefault="00FF1B27" w:rsidP="00FF1B27">
            <w:pPr>
              <w:autoSpaceDE w:val="0"/>
              <w:autoSpaceDN w:val="0"/>
              <w:adjustRightInd w:val="0"/>
              <w:rPr>
                <w:rFonts w:eastAsiaTheme="minorHAnsi"/>
                <w:sz w:val="22"/>
                <w:szCs w:val="22"/>
                <w:lang w:eastAsia="en-US"/>
              </w:rPr>
            </w:pPr>
            <w:r w:rsidRPr="00FF1B27">
              <w:rPr>
                <w:rFonts w:eastAsiaTheme="minorHAnsi"/>
                <w:sz w:val="22"/>
                <w:szCs w:val="22"/>
                <w:lang w:eastAsia="en-US"/>
              </w:rPr>
              <w:t>Teisės grupė</w:t>
            </w:r>
          </w:p>
          <w:p w:rsidR="00FF1B27" w:rsidRPr="00A83560" w:rsidRDefault="005C2F9E" w:rsidP="00FF1B27">
            <w:pPr>
              <w:jc w:val="both"/>
              <w:rPr>
                <w:sz w:val="22"/>
                <w:szCs w:val="22"/>
              </w:rPr>
            </w:pPr>
            <w:r w:rsidRPr="005C2F9E">
              <w:rPr>
                <w:rFonts w:eastAsiaTheme="minorHAnsi"/>
                <w:sz w:val="22"/>
                <w:szCs w:val="22"/>
                <w:lang w:eastAsia="en-US"/>
              </w:rPr>
              <w:t>(2021 m. rugpjūčio 30 d. išvada Nr. NV-2072)</w:t>
            </w:r>
          </w:p>
        </w:tc>
        <w:tc>
          <w:tcPr>
            <w:tcW w:w="6121" w:type="dxa"/>
            <w:shd w:val="clear" w:color="auto" w:fill="auto"/>
          </w:tcPr>
          <w:p w:rsidR="00AF51FE" w:rsidRPr="00AF51FE" w:rsidRDefault="00AF51FE" w:rsidP="00AF51FE">
            <w:pPr>
              <w:tabs>
                <w:tab w:val="left" w:pos="1134"/>
              </w:tabs>
              <w:jc w:val="both"/>
              <w:rPr>
                <w:sz w:val="22"/>
                <w:szCs w:val="22"/>
              </w:rPr>
            </w:pPr>
            <w:r w:rsidRPr="00AF51FE">
              <w:rPr>
                <w:sz w:val="22"/>
                <w:szCs w:val="22"/>
              </w:rPr>
              <w:t>Atsižvelgiant į Akcizų įstatymo projekte patvirtintam gavėjui nustatytas mokestines prievoles, siūl</w:t>
            </w:r>
            <w:r w:rsidR="00AA17FA">
              <w:rPr>
                <w:sz w:val="22"/>
                <w:szCs w:val="22"/>
              </w:rPr>
              <w:t>oma</w:t>
            </w:r>
            <w:r w:rsidRPr="00AF51FE">
              <w:rPr>
                <w:sz w:val="22"/>
                <w:szCs w:val="22"/>
              </w:rPr>
              <w:t xml:space="preserve"> įvertinti, ar Akcizų įstatymo projekto 8¹ straipsnio nuostatos neturėtų būti papildytos šio subjekto pareiga dėl akcizais apmokestinamų prekių apskaitos tvarkymo. </w:t>
            </w:r>
          </w:p>
          <w:p w:rsidR="00FF1B27" w:rsidRDefault="00FF1B27" w:rsidP="00AF51FE">
            <w:pPr>
              <w:jc w:val="both"/>
              <w:rPr>
                <w:sz w:val="22"/>
                <w:szCs w:val="22"/>
              </w:rPr>
            </w:pPr>
          </w:p>
        </w:tc>
        <w:tc>
          <w:tcPr>
            <w:tcW w:w="7330" w:type="dxa"/>
            <w:shd w:val="clear" w:color="auto" w:fill="auto"/>
          </w:tcPr>
          <w:p w:rsidR="00AA17FA" w:rsidRDefault="00AA17FA" w:rsidP="00AA17FA">
            <w:pPr>
              <w:jc w:val="both"/>
              <w:rPr>
                <w:i/>
                <w:iCs/>
                <w:sz w:val="22"/>
                <w:szCs w:val="22"/>
              </w:rPr>
            </w:pPr>
            <w:r>
              <w:rPr>
                <w:i/>
                <w:iCs/>
                <w:sz w:val="22"/>
                <w:szCs w:val="22"/>
              </w:rPr>
              <w:t>Įvertinta.</w:t>
            </w:r>
          </w:p>
          <w:p w:rsidR="00FF1B27" w:rsidRPr="0022756A" w:rsidRDefault="0022756A" w:rsidP="00AE4EA3">
            <w:pPr>
              <w:widowControl w:val="0"/>
              <w:jc w:val="both"/>
              <w:rPr>
                <w:sz w:val="22"/>
                <w:szCs w:val="22"/>
              </w:rPr>
            </w:pPr>
            <w:r w:rsidRPr="0022756A">
              <w:rPr>
                <w:sz w:val="22"/>
                <w:szCs w:val="22"/>
              </w:rPr>
              <w:t xml:space="preserve">Direktyvoje </w:t>
            </w:r>
            <w:r w:rsidRPr="00166606">
              <w:rPr>
                <w:color w:val="000000"/>
                <w:sz w:val="22"/>
                <w:szCs w:val="22"/>
              </w:rPr>
              <w:t xml:space="preserve">(ES) 2020/262 </w:t>
            </w:r>
            <w:r w:rsidRPr="0022756A">
              <w:rPr>
                <w:sz w:val="22"/>
                <w:szCs w:val="22"/>
              </w:rPr>
              <w:t xml:space="preserve">nėra nuostatų, nustatančių patvirtinto gavėjo pareigą dėl akcizais apmokestinamų prekių apskaitos tvarkymo. Taip pat pažymėtina, kad </w:t>
            </w:r>
            <w:r w:rsidR="001E08CA">
              <w:rPr>
                <w:sz w:val="22"/>
                <w:szCs w:val="22"/>
              </w:rPr>
              <w:t>M</w:t>
            </w:r>
            <w:r w:rsidRPr="0022756A">
              <w:rPr>
                <w:sz w:val="22"/>
                <w:szCs w:val="22"/>
              </w:rPr>
              <w:t>okesčių administravimo įstatymo 40 straipsnyje nustatyta mokesčių mokėtojo pareiga (prievolė) teisės  aktų nusta</w:t>
            </w:r>
            <w:r w:rsidR="00720E8C">
              <w:rPr>
                <w:sz w:val="22"/>
                <w:szCs w:val="22"/>
              </w:rPr>
              <w:t>tyta tvarka tvarkyti apskaitą,</w:t>
            </w:r>
            <w:r w:rsidRPr="0022756A">
              <w:rPr>
                <w:sz w:val="22"/>
                <w:szCs w:val="22"/>
              </w:rPr>
              <w:t xml:space="preserve"> saugoti apskaitos dokumentus ir registrus, taip pat kitus dokumentus; pateikti mokesčių administratoriui visus patikrinimui atlikti reikiamus dokumentus, kompiuteriu tvarkomos apskaitos duomenis bei kitą informaciją.</w:t>
            </w:r>
            <w:r w:rsidR="00AC59EB">
              <w:rPr>
                <w:sz w:val="22"/>
                <w:szCs w:val="22"/>
              </w:rPr>
              <w:t xml:space="preserve"> Todėl m</w:t>
            </w:r>
            <w:r w:rsidR="00AC59EB" w:rsidRPr="00AC59EB">
              <w:rPr>
                <w:sz w:val="22"/>
                <w:szCs w:val="22"/>
              </w:rPr>
              <w:t xml:space="preserve">inėtų asmenų akcizais apmokestinamų prekių apskaita būtų tvarkoma vadovaujantis </w:t>
            </w:r>
            <w:r w:rsidR="001E08CA">
              <w:rPr>
                <w:sz w:val="22"/>
                <w:szCs w:val="22"/>
              </w:rPr>
              <w:t>B</w:t>
            </w:r>
            <w:r w:rsidR="00AC59EB" w:rsidRPr="00AC59EB">
              <w:rPr>
                <w:sz w:val="22"/>
                <w:szCs w:val="22"/>
              </w:rPr>
              <w:t>uhalterinės apskaitos įstatymo nuostatomis.</w:t>
            </w:r>
            <w:r w:rsidR="003E1175">
              <w:rPr>
                <w:sz w:val="22"/>
                <w:szCs w:val="22"/>
              </w:rPr>
              <w:t xml:space="preserve"> Su </w:t>
            </w:r>
            <w:r w:rsidR="003E1175" w:rsidRPr="000A4B61">
              <w:rPr>
                <w:sz w:val="22"/>
                <w:szCs w:val="22"/>
              </w:rPr>
              <w:t>Lietuvos Respublikos Vyriau</w:t>
            </w:r>
            <w:r w:rsidR="003E1175">
              <w:rPr>
                <w:sz w:val="22"/>
                <w:szCs w:val="22"/>
              </w:rPr>
              <w:t>sybės kanceliarijos Teisės grupe suderinta darbo tvarka.</w:t>
            </w:r>
          </w:p>
        </w:tc>
      </w:tr>
      <w:tr w:rsidR="00C86AE2" w:rsidRPr="00A83560" w:rsidTr="00D34B5D">
        <w:trPr>
          <w:trHeight w:val="423"/>
        </w:trPr>
        <w:tc>
          <w:tcPr>
            <w:tcW w:w="1576" w:type="dxa"/>
            <w:shd w:val="clear" w:color="auto" w:fill="auto"/>
          </w:tcPr>
          <w:p w:rsidR="00C86AE2" w:rsidRPr="00FF1B27" w:rsidRDefault="00C86AE2" w:rsidP="00C86AE2">
            <w:pPr>
              <w:autoSpaceDE w:val="0"/>
              <w:autoSpaceDN w:val="0"/>
              <w:adjustRightInd w:val="0"/>
              <w:rPr>
                <w:rFonts w:eastAsiaTheme="minorHAnsi"/>
                <w:sz w:val="22"/>
                <w:szCs w:val="22"/>
                <w:lang w:eastAsia="en-US"/>
              </w:rPr>
            </w:pPr>
            <w:r w:rsidRPr="00FF1B27">
              <w:rPr>
                <w:rFonts w:eastAsiaTheme="minorHAnsi"/>
                <w:sz w:val="22"/>
                <w:szCs w:val="22"/>
                <w:lang w:eastAsia="en-US"/>
              </w:rPr>
              <w:t>Lietuvos Respublikos</w:t>
            </w:r>
          </w:p>
          <w:p w:rsidR="00C86AE2" w:rsidRPr="00FF1B27" w:rsidRDefault="00C86AE2" w:rsidP="00C86AE2">
            <w:pPr>
              <w:autoSpaceDE w:val="0"/>
              <w:autoSpaceDN w:val="0"/>
              <w:adjustRightInd w:val="0"/>
              <w:rPr>
                <w:rFonts w:eastAsiaTheme="minorHAnsi"/>
                <w:sz w:val="22"/>
                <w:szCs w:val="22"/>
                <w:lang w:eastAsia="en-US"/>
              </w:rPr>
            </w:pPr>
            <w:r w:rsidRPr="00FF1B27">
              <w:rPr>
                <w:rFonts w:eastAsiaTheme="minorHAnsi"/>
                <w:sz w:val="22"/>
                <w:szCs w:val="22"/>
                <w:lang w:eastAsia="en-US"/>
              </w:rPr>
              <w:t>Vyriausybės</w:t>
            </w:r>
          </w:p>
          <w:p w:rsidR="00C86AE2" w:rsidRPr="00FF1B27" w:rsidRDefault="00C86AE2" w:rsidP="00C86AE2">
            <w:pPr>
              <w:autoSpaceDE w:val="0"/>
              <w:autoSpaceDN w:val="0"/>
              <w:adjustRightInd w:val="0"/>
              <w:rPr>
                <w:rFonts w:eastAsiaTheme="minorHAnsi"/>
                <w:sz w:val="22"/>
                <w:szCs w:val="22"/>
                <w:lang w:eastAsia="en-US"/>
              </w:rPr>
            </w:pPr>
            <w:r w:rsidRPr="00FF1B27">
              <w:rPr>
                <w:rFonts w:eastAsiaTheme="minorHAnsi"/>
                <w:sz w:val="22"/>
                <w:szCs w:val="22"/>
                <w:lang w:eastAsia="en-US"/>
              </w:rPr>
              <w:t>kanceliarijos</w:t>
            </w:r>
          </w:p>
          <w:p w:rsidR="00C86AE2" w:rsidRPr="00FF1B27" w:rsidRDefault="00C86AE2" w:rsidP="00C86AE2">
            <w:pPr>
              <w:autoSpaceDE w:val="0"/>
              <w:autoSpaceDN w:val="0"/>
              <w:adjustRightInd w:val="0"/>
              <w:rPr>
                <w:rFonts w:eastAsiaTheme="minorHAnsi"/>
                <w:sz w:val="22"/>
                <w:szCs w:val="22"/>
                <w:lang w:eastAsia="en-US"/>
              </w:rPr>
            </w:pPr>
            <w:r w:rsidRPr="00FF1B27">
              <w:rPr>
                <w:rFonts w:eastAsiaTheme="minorHAnsi"/>
                <w:sz w:val="22"/>
                <w:szCs w:val="22"/>
                <w:lang w:eastAsia="en-US"/>
              </w:rPr>
              <w:t>Teisės grupė</w:t>
            </w:r>
          </w:p>
          <w:p w:rsidR="00C86AE2" w:rsidRPr="00FF1B27" w:rsidRDefault="00C86AE2" w:rsidP="00C86AE2">
            <w:pPr>
              <w:autoSpaceDE w:val="0"/>
              <w:autoSpaceDN w:val="0"/>
              <w:adjustRightInd w:val="0"/>
              <w:rPr>
                <w:rFonts w:eastAsiaTheme="minorHAnsi"/>
                <w:sz w:val="22"/>
                <w:szCs w:val="22"/>
                <w:lang w:eastAsia="en-US"/>
              </w:rPr>
            </w:pPr>
            <w:r w:rsidRPr="005C2F9E">
              <w:rPr>
                <w:rFonts w:eastAsiaTheme="minorHAnsi"/>
                <w:sz w:val="22"/>
                <w:szCs w:val="22"/>
                <w:lang w:eastAsia="en-US"/>
              </w:rPr>
              <w:t>(2021 m. rugpjūčio 30 d. išvada Nr. NV-2072)</w:t>
            </w:r>
          </w:p>
        </w:tc>
        <w:tc>
          <w:tcPr>
            <w:tcW w:w="6121" w:type="dxa"/>
            <w:shd w:val="clear" w:color="auto" w:fill="auto"/>
          </w:tcPr>
          <w:p w:rsidR="00C86AE2" w:rsidRPr="00AF51FE" w:rsidRDefault="00C86AE2" w:rsidP="00FD2BC6">
            <w:pPr>
              <w:tabs>
                <w:tab w:val="left" w:pos="1134"/>
              </w:tabs>
              <w:jc w:val="both"/>
              <w:rPr>
                <w:sz w:val="22"/>
                <w:szCs w:val="22"/>
              </w:rPr>
            </w:pPr>
            <w:r w:rsidRPr="00C86AE2">
              <w:rPr>
                <w:sz w:val="22"/>
                <w:szCs w:val="22"/>
              </w:rPr>
              <w:t>Atsižvelgiant į tai, kad solidarioji atsakomybė už akcizų sumokėjimą jau yra nustatyta keičiamo įstatymo 9 straipsnio 14 dalyje, keičiamo įstatymo 16 straipsnio 8 dalyje siūl</w:t>
            </w:r>
            <w:r w:rsidR="00FD2BC6">
              <w:rPr>
                <w:sz w:val="22"/>
                <w:szCs w:val="22"/>
              </w:rPr>
              <w:t>oma</w:t>
            </w:r>
            <w:r w:rsidRPr="00C86AE2">
              <w:rPr>
                <w:sz w:val="22"/>
                <w:szCs w:val="22"/>
              </w:rPr>
              <w:t xml:space="preserve"> šių nuostatų kaip perteklinių atsisakyti.</w:t>
            </w:r>
          </w:p>
        </w:tc>
        <w:tc>
          <w:tcPr>
            <w:tcW w:w="7330" w:type="dxa"/>
            <w:shd w:val="clear" w:color="auto" w:fill="auto"/>
          </w:tcPr>
          <w:p w:rsidR="000771B0" w:rsidRDefault="003E1175" w:rsidP="000771B0">
            <w:pPr>
              <w:jc w:val="both"/>
              <w:rPr>
                <w:i/>
                <w:iCs/>
                <w:sz w:val="22"/>
                <w:szCs w:val="22"/>
              </w:rPr>
            </w:pPr>
            <w:r>
              <w:rPr>
                <w:i/>
                <w:iCs/>
                <w:sz w:val="22"/>
                <w:szCs w:val="22"/>
              </w:rPr>
              <w:t>Įvertinta</w:t>
            </w:r>
            <w:r w:rsidR="00A22508">
              <w:rPr>
                <w:i/>
                <w:iCs/>
                <w:sz w:val="22"/>
                <w:szCs w:val="22"/>
              </w:rPr>
              <w:t>.</w:t>
            </w:r>
          </w:p>
          <w:p w:rsidR="00687FC2" w:rsidRPr="00687FC2" w:rsidRDefault="00A23402" w:rsidP="00687FC2">
            <w:pPr>
              <w:pStyle w:val="Komentarotekstas"/>
              <w:jc w:val="both"/>
              <w:rPr>
                <w:sz w:val="22"/>
                <w:szCs w:val="22"/>
              </w:rPr>
            </w:pPr>
            <w:r>
              <w:rPr>
                <w:sz w:val="22"/>
                <w:szCs w:val="22"/>
              </w:rPr>
              <w:t>Atsižvelgiant į tai</w:t>
            </w:r>
            <w:r w:rsidR="00687FC2" w:rsidRPr="00687FC2">
              <w:rPr>
                <w:sz w:val="22"/>
                <w:szCs w:val="22"/>
              </w:rPr>
              <w:t>, kad praktikoje gali iškilti problemų dėl šių straipsnių santykio</w:t>
            </w:r>
            <w:r>
              <w:rPr>
                <w:sz w:val="22"/>
                <w:szCs w:val="22"/>
              </w:rPr>
              <w:t xml:space="preserve">, </w:t>
            </w:r>
            <w:r w:rsidR="00687FC2" w:rsidRPr="00687FC2">
              <w:rPr>
                <w:sz w:val="22"/>
                <w:szCs w:val="22"/>
              </w:rPr>
              <w:t>siūl</w:t>
            </w:r>
            <w:r>
              <w:rPr>
                <w:sz w:val="22"/>
                <w:szCs w:val="22"/>
              </w:rPr>
              <w:t>oma</w:t>
            </w:r>
            <w:r w:rsidR="00687FC2" w:rsidRPr="00687FC2">
              <w:rPr>
                <w:sz w:val="22"/>
                <w:szCs w:val="22"/>
              </w:rPr>
              <w:t xml:space="preserve"> </w:t>
            </w:r>
            <w:r>
              <w:rPr>
                <w:sz w:val="22"/>
                <w:szCs w:val="22"/>
              </w:rPr>
              <w:t xml:space="preserve">šią </w:t>
            </w:r>
            <w:r w:rsidR="00687FC2" w:rsidRPr="00687FC2">
              <w:rPr>
                <w:sz w:val="22"/>
                <w:szCs w:val="22"/>
              </w:rPr>
              <w:t>nuostatą pakartoti</w:t>
            </w:r>
            <w:r>
              <w:rPr>
                <w:sz w:val="22"/>
                <w:szCs w:val="22"/>
              </w:rPr>
              <w:t xml:space="preserve"> </w:t>
            </w:r>
            <w:r w:rsidRPr="00C86AE2">
              <w:rPr>
                <w:sz w:val="22"/>
                <w:szCs w:val="22"/>
              </w:rPr>
              <w:t>keičiamo įstatymo 16 straipsnio 8 dalyje</w:t>
            </w:r>
            <w:r w:rsidR="00687FC2" w:rsidRPr="00687FC2">
              <w:rPr>
                <w:sz w:val="22"/>
                <w:szCs w:val="22"/>
              </w:rPr>
              <w:t xml:space="preserve">, nes ji turės tiesiogines pasekmes </w:t>
            </w:r>
            <w:r w:rsidR="00754630">
              <w:rPr>
                <w:sz w:val="22"/>
                <w:szCs w:val="22"/>
              </w:rPr>
              <w:t xml:space="preserve">šioje dalyje nurodytiems </w:t>
            </w:r>
            <w:bookmarkStart w:id="0" w:name="_GoBack"/>
            <w:bookmarkEnd w:id="0"/>
            <w:r w:rsidR="00687FC2" w:rsidRPr="00687FC2">
              <w:rPr>
                <w:sz w:val="22"/>
                <w:szCs w:val="22"/>
              </w:rPr>
              <w:t>asmenims</w:t>
            </w:r>
            <w:r>
              <w:rPr>
                <w:sz w:val="22"/>
                <w:szCs w:val="22"/>
              </w:rPr>
              <w:t>.</w:t>
            </w:r>
            <w:r w:rsidR="000A4B61">
              <w:rPr>
                <w:sz w:val="22"/>
                <w:szCs w:val="22"/>
              </w:rPr>
              <w:t xml:space="preserve"> Su </w:t>
            </w:r>
            <w:r w:rsidR="000A4B61" w:rsidRPr="000A4B61">
              <w:rPr>
                <w:sz w:val="22"/>
                <w:szCs w:val="22"/>
              </w:rPr>
              <w:t>Lietuvos Respublikos Vyriau</w:t>
            </w:r>
            <w:r w:rsidR="000A4B61">
              <w:rPr>
                <w:sz w:val="22"/>
                <w:szCs w:val="22"/>
              </w:rPr>
              <w:t>sybės kanceliarijos Teisės grupe suderinta darbo tvarka.</w:t>
            </w:r>
          </w:p>
          <w:p w:rsidR="00C86AE2" w:rsidRDefault="00C86AE2" w:rsidP="00AA17FA">
            <w:pPr>
              <w:jc w:val="both"/>
              <w:rPr>
                <w:i/>
                <w:iCs/>
                <w:sz w:val="22"/>
                <w:szCs w:val="22"/>
              </w:rPr>
            </w:pPr>
          </w:p>
        </w:tc>
      </w:tr>
    </w:tbl>
    <w:p w:rsidR="00D93AC6" w:rsidRDefault="00D93AC6" w:rsidP="00665E92">
      <w:pPr>
        <w:jc w:val="center"/>
        <w:rPr>
          <w:sz w:val="22"/>
          <w:szCs w:val="22"/>
        </w:rPr>
      </w:pPr>
    </w:p>
    <w:p w:rsidR="00D34B5D" w:rsidRPr="00A83560" w:rsidRDefault="00D34B5D" w:rsidP="00665E92">
      <w:pPr>
        <w:jc w:val="center"/>
        <w:rPr>
          <w:sz w:val="22"/>
          <w:szCs w:val="22"/>
        </w:rPr>
      </w:pPr>
      <w:r>
        <w:rPr>
          <w:sz w:val="22"/>
          <w:szCs w:val="22"/>
        </w:rPr>
        <w:t>__________________________</w:t>
      </w:r>
    </w:p>
    <w:p w:rsidR="00D73763" w:rsidRPr="00A83560" w:rsidRDefault="00D73763" w:rsidP="00665E92">
      <w:pPr>
        <w:rPr>
          <w:sz w:val="22"/>
          <w:szCs w:val="22"/>
        </w:rPr>
      </w:pPr>
    </w:p>
    <w:sectPr w:rsidR="00D73763" w:rsidRPr="00A83560" w:rsidSect="00C108DA">
      <w:headerReference w:type="default" r:id="rId9"/>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887" w:rsidRDefault="004F7887" w:rsidP="00743786">
      <w:r>
        <w:separator/>
      </w:r>
    </w:p>
  </w:endnote>
  <w:endnote w:type="continuationSeparator" w:id="0">
    <w:p w:rsidR="004F7887" w:rsidRDefault="004F7887" w:rsidP="0074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887" w:rsidRDefault="004F7887" w:rsidP="00743786">
      <w:r>
        <w:separator/>
      </w:r>
    </w:p>
  </w:footnote>
  <w:footnote w:type="continuationSeparator" w:id="0">
    <w:p w:rsidR="004F7887" w:rsidRDefault="004F7887" w:rsidP="00743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20618"/>
      <w:docPartObj>
        <w:docPartGallery w:val="Page Numbers (Top of Page)"/>
        <w:docPartUnique/>
      </w:docPartObj>
    </w:sdtPr>
    <w:sdtEndPr/>
    <w:sdtContent>
      <w:p w:rsidR="001B1D93" w:rsidRDefault="001B1D93">
        <w:pPr>
          <w:pStyle w:val="Antrats"/>
          <w:jc w:val="center"/>
        </w:pPr>
        <w:r>
          <w:fldChar w:fldCharType="begin"/>
        </w:r>
        <w:r>
          <w:instrText>PAGE   \* MERGEFORMAT</w:instrText>
        </w:r>
        <w:r>
          <w:fldChar w:fldCharType="separate"/>
        </w:r>
        <w:r w:rsidR="00754630">
          <w:rPr>
            <w:noProof/>
          </w:rPr>
          <w:t>3</w:t>
        </w:r>
        <w:r>
          <w:fldChar w:fldCharType="end"/>
        </w:r>
      </w:p>
    </w:sdtContent>
  </w:sdt>
  <w:p w:rsidR="001B1D93" w:rsidRDefault="001B1D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C6050"/>
    <w:multiLevelType w:val="hybridMultilevel"/>
    <w:tmpl w:val="5806760C"/>
    <w:lvl w:ilvl="0" w:tplc="91F035C0">
      <w:start w:val="2021"/>
      <w:numFmt w:val="bullet"/>
      <w:lvlText w:val="-"/>
      <w:lvlJc w:val="left"/>
      <w:pPr>
        <w:ind w:left="720" w:hanging="360"/>
      </w:pPr>
      <w:rPr>
        <w:rFonts w:ascii="TimesNewRomanPSMT" w:eastAsiaTheme="minorHAnsi" w:hAnsi="TimesNewRomanPSMT" w:cs="TimesNewRomanPS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ADF6F2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57441D35"/>
    <w:multiLevelType w:val="multilevel"/>
    <w:tmpl w:val="3E4C3F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8E"/>
    <w:rsid w:val="00002E79"/>
    <w:rsid w:val="00010E71"/>
    <w:rsid w:val="00032B97"/>
    <w:rsid w:val="00033A43"/>
    <w:rsid w:val="000423B1"/>
    <w:rsid w:val="000425EB"/>
    <w:rsid w:val="00046FEF"/>
    <w:rsid w:val="000521F1"/>
    <w:rsid w:val="000733C5"/>
    <w:rsid w:val="000771B0"/>
    <w:rsid w:val="00081A9E"/>
    <w:rsid w:val="00087602"/>
    <w:rsid w:val="00087F00"/>
    <w:rsid w:val="00094D5D"/>
    <w:rsid w:val="000A1431"/>
    <w:rsid w:val="000A4B61"/>
    <w:rsid w:val="000B5878"/>
    <w:rsid w:val="000C5266"/>
    <w:rsid w:val="000C7B95"/>
    <w:rsid w:val="000E087B"/>
    <w:rsid w:val="000E7636"/>
    <w:rsid w:val="000F6E78"/>
    <w:rsid w:val="00112E3D"/>
    <w:rsid w:val="001158A6"/>
    <w:rsid w:val="001163F8"/>
    <w:rsid w:val="00117165"/>
    <w:rsid w:val="0012044F"/>
    <w:rsid w:val="00120494"/>
    <w:rsid w:val="00137940"/>
    <w:rsid w:val="00144C5B"/>
    <w:rsid w:val="00154720"/>
    <w:rsid w:val="00164B5E"/>
    <w:rsid w:val="00166606"/>
    <w:rsid w:val="0016742C"/>
    <w:rsid w:val="00170731"/>
    <w:rsid w:val="00176A42"/>
    <w:rsid w:val="00177DD4"/>
    <w:rsid w:val="00182EE9"/>
    <w:rsid w:val="00183E6D"/>
    <w:rsid w:val="00187A54"/>
    <w:rsid w:val="0019047E"/>
    <w:rsid w:val="00196639"/>
    <w:rsid w:val="001B1D93"/>
    <w:rsid w:val="001B72DD"/>
    <w:rsid w:val="001C530C"/>
    <w:rsid w:val="001D0A59"/>
    <w:rsid w:val="001D44ED"/>
    <w:rsid w:val="001D4A42"/>
    <w:rsid w:val="001E08CA"/>
    <w:rsid w:val="001E2C48"/>
    <w:rsid w:val="001E4A18"/>
    <w:rsid w:val="001F18BB"/>
    <w:rsid w:val="001F4FB6"/>
    <w:rsid w:val="0020082C"/>
    <w:rsid w:val="00201D78"/>
    <w:rsid w:val="00205241"/>
    <w:rsid w:val="002109AE"/>
    <w:rsid w:val="0021534C"/>
    <w:rsid w:val="002238D7"/>
    <w:rsid w:val="00224956"/>
    <w:rsid w:val="0022756A"/>
    <w:rsid w:val="00227917"/>
    <w:rsid w:val="002503D1"/>
    <w:rsid w:val="00263629"/>
    <w:rsid w:val="00263BE3"/>
    <w:rsid w:val="00270F48"/>
    <w:rsid w:val="00286B2B"/>
    <w:rsid w:val="00287887"/>
    <w:rsid w:val="002955A2"/>
    <w:rsid w:val="0029652F"/>
    <w:rsid w:val="00297897"/>
    <w:rsid w:val="002A03DC"/>
    <w:rsid w:val="002A1FED"/>
    <w:rsid w:val="002A7A5F"/>
    <w:rsid w:val="002B5E11"/>
    <w:rsid w:val="002E115B"/>
    <w:rsid w:val="002F0BE6"/>
    <w:rsid w:val="002F1D5A"/>
    <w:rsid w:val="002F5A57"/>
    <w:rsid w:val="003024C6"/>
    <w:rsid w:val="00312DD9"/>
    <w:rsid w:val="00315CE1"/>
    <w:rsid w:val="00316F05"/>
    <w:rsid w:val="003431B2"/>
    <w:rsid w:val="00361F92"/>
    <w:rsid w:val="00371317"/>
    <w:rsid w:val="00392509"/>
    <w:rsid w:val="003942BB"/>
    <w:rsid w:val="003B6516"/>
    <w:rsid w:val="003B6742"/>
    <w:rsid w:val="003B7CE8"/>
    <w:rsid w:val="003C0243"/>
    <w:rsid w:val="003C1255"/>
    <w:rsid w:val="003C4B6A"/>
    <w:rsid w:val="003E1175"/>
    <w:rsid w:val="003F37A2"/>
    <w:rsid w:val="003F4213"/>
    <w:rsid w:val="003F538E"/>
    <w:rsid w:val="004023CF"/>
    <w:rsid w:val="0040330D"/>
    <w:rsid w:val="00406043"/>
    <w:rsid w:val="00412EBB"/>
    <w:rsid w:val="004303C4"/>
    <w:rsid w:val="0043281D"/>
    <w:rsid w:val="00435F44"/>
    <w:rsid w:val="00444D94"/>
    <w:rsid w:val="00480612"/>
    <w:rsid w:val="00481557"/>
    <w:rsid w:val="00482D5E"/>
    <w:rsid w:val="0048479B"/>
    <w:rsid w:val="004929ED"/>
    <w:rsid w:val="00493D63"/>
    <w:rsid w:val="004A2428"/>
    <w:rsid w:val="004B49C7"/>
    <w:rsid w:val="004B7AFE"/>
    <w:rsid w:val="004C7AF5"/>
    <w:rsid w:val="004D7C84"/>
    <w:rsid w:val="004E7A68"/>
    <w:rsid w:val="004F1CDA"/>
    <w:rsid w:val="004F7887"/>
    <w:rsid w:val="00502DFE"/>
    <w:rsid w:val="00510735"/>
    <w:rsid w:val="0051475B"/>
    <w:rsid w:val="00516E98"/>
    <w:rsid w:val="00517BB6"/>
    <w:rsid w:val="00522640"/>
    <w:rsid w:val="0055008D"/>
    <w:rsid w:val="00551274"/>
    <w:rsid w:val="00551866"/>
    <w:rsid w:val="00551CDF"/>
    <w:rsid w:val="00561A5E"/>
    <w:rsid w:val="005632B8"/>
    <w:rsid w:val="00575792"/>
    <w:rsid w:val="0058327D"/>
    <w:rsid w:val="00586BE1"/>
    <w:rsid w:val="00587713"/>
    <w:rsid w:val="00593D81"/>
    <w:rsid w:val="00596B0C"/>
    <w:rsid w:val="005A0FCE"/>
    <w:rsid w:val="005A3E1F"/>
    <w:rsid w:val="005B1868"/>
    <w:rsid w:val="005B369D"/>
    <w:rsid w:val="005B7AE6"/>
    <w:rsid w:val="005C13A2"/>
    <w:rsid w:val="005C2F9E"/>
    <w:rsid w:val="005C38AA"/>
    <w:rsid w:val="005C5418"/>
    <w:rsid w:val="005C6CC2"/>
    <w:rsid w:val="005F6ABB"/>
    <w:rsid w:val="0061185C"/>
    <w:rsid w:val="00635D2E"/>
    <w:rsid w:val="00642E5C"/>
    <w:rsid w:val="00645D13"/>
    <w:rsid w:val="00646A26"/>
    <w:rsid w:val="0066284D"/>
    <w:rsid w:val="006647AF"/>
    <w:rsid w:val="00665E92"/>
    <w:rsid w:val="00670953"/>
    <w:rsid w:val="00685EBE"/>
    <w:rsid w:val="00686A24"/>
    <w:rsid w:val="00687215"/>
    <w:rsid w:val="006879AE"/>
    <w:rsid w:val="00687FC2"/>
    <w:rsid w:val="006901E0"/>
    <w:rsid w:val="006948E2"/>
    <w:rsid w:val="00695479"/>
    <w:rsid w:val="006B1BCE"/>
    <w:rsid w:val="006B6278"/>
    <w:rsid w:val="006D5BB9"/>
    <w:rsid w:val="006E4E0F"/>
    <w:rsid w:val="006E62C0"/>
    <w:rsid w:val="006F3CBA"/>
    <w:rsid w:val="007023A1"/>
    <w:rsid w:val="007026AE"/>
    <w:rsid w:val="007062DC"/>
    <w:rsid w:val="00716705"/>
    <w:rsid w:val="007206D5"/>
    <w:rsid w:val="00720E8C"/>
    <w:rsid w:val="00722C18"/>
    <w:rsid w:val="0072795E"/>
    <w:rsid w:val="00733A3C"/>
    <w:rsid w:val="00736DD0"/>
    <w:rsid w:val="00741EB4"/>
    <w:rsid w:val="00743786"/>
    <w:rsid w:val="00744D94"/>
    <w:rsid w:val="00746335"/>
    <w:rsid w:val="00752749"/>
    <w:rsid w:val="00753EC8"/>
    <w:rsid w:val="00754630"/>
    <w:rsid w:val="00767951"/>
    <w:rsid w:val="00782E96"/>
    <w:rsid w:val="0078458C"/>
    <w:rsid w:val="00785F63"/>
    <w:rsid w:val="0078726B"/>
    <w:rsid w:val="00795373"/>
    <w:rsid w:val="007A121F"/>
    <w:rsid w:val="007C5537"/>
    <w:rsid w:val="007D41DA"/>
    <w:rsid w:val="007D459A"/>
    <w:rsid w:val="007D74D2"/>
    <w:rsid w:val="007E1DAA"/>
    <w:rsid w:val="007E3C0C"/>
    <w:rsid w:val="007E638F"/>
    <w:rsid w:val="007F1695"/>
    <w:rsid w:val="007F3A43"/>
    <w:rsid w:val="007F3D78"/>
    <w:rsid w:val="007F568B"/>
    <w:rsid w:val="007F70E9"/>
    <w:rsid w:val="007F74B4"/>
    <w:rsid w:val="00801FB7"/>
    <w:rsid w:val="00810E7A"/>
    <w:rsid w:val="008124CA"/>
    <w:rsid w:val="0082155C"/>
    <w:rsid w:val="0082294B"/>
    <w:rsid w:val="00830F09"/>
    <w:rsid w:val="008410CA"/>
    <w:rsid w:val="00841BB6"/>
    <w:rsid w:val="00851180"/>
    <w:rsid w:val="00860511"/>
    <w:rsid w:val="008662AB"/>
    <w:rsid w:val="00866AED"/>
    <w:rsid w:val="00871347"/>
    <w:rsid w:val="00875912"/>
    <w:rsid w:val="008802A9"/>
    <w:rsid w:val="00885D4F"/>
    <w:rsid w:val="00893119"/>
    <w:rsid w:val="008A5892"/>
    <w:rsid w:val="008C6222"/>
    <w:rsid w:val="0090089C"/>
    <w:rsid w:val="00902E1D"/>
    <w:rsid w:val="009206CF"/>
    <w:rsid w:val="00925B4E"/>
    <w:rsid w:val="00925BAC"/>
    <w:rsid w:val="00932F4D"/>
    <w:rsid w:val="00937BBC"/>
    <w:rsid w:val="0094165D"/>
    <w:rsid w:val="00942585"/>
    <w:rsid w:val="00955B44"/>
    <w:rsid w:val="00967AAE"/>
    <w:rsid w:val="00975573"/>
    <w:rsid w:val="00981AC0"/>
    <w:rsid w:val="009907F5"/>
    <w:rsid w:val="009927EB"/>
    <w:rsid w:val="00992BCA"/>
    <w:rsid w:val="009942B5"/>
    <w:rsid w:val="00995D35"/>
    <w:rsid w:val="009A68AD"/>
    <w:rsid w:val="009C251F"/>
    <w:rsid w:val="009C5F16"/>
    <w:rsid w:val="009C7815"/>
    <w:rsid w:val="009C79BB"/>
    <w:rsid w:val="009D11CD"/>
    <w:rsid w:val="009E64E9"/>
    <w:rsid w:val="009F75D2"/>
    <w:rsid w:val="00A22508"/>
    <w:rsid w:val="00A22B0C"/>
    <w:rsid w:val="00A23402"/>
    <w:rsid w:val="00A33F62"/>
    <w:rsid w:val="00A3595E"/>
    <w:rsid w:val="00A4392A"/>
    <w:rsid w:val="00A46229"/>
    <w:rsid w:val="00A536F3"/>
    <w:rsid w:val="00A55BCA"/>
    <w:rsid w:val="00A56B61"/>
    <w:rsid w:val="00A7639E"/>
    <w:rsid w:val="00A83560"/>
    <w:rsid w:val="00A927DB"/>
    <w:rsid w:val="00AA17FA"/>
    <w:rsid w:val="00AA35D9"/>
    <w:rsid w:val="00AA4698"/>
    <w:rsid w:val="00AB0EBB"/>
    <w:rsid w:val="00AC5227"/>
    <w:rsid w:val="00AC59EB"/>
    <w:rsid w:val="00AD0BF3"/>
    <w:rsid w:val="00AD2C0F"/>
    <w:rsid w:val="00AD3E45"/>
    <w:rsid w:val="00AD448E"/>
    <w:rsid w:val="00AD6A91"/>
    <w:rsid w:val="00AE1EF8"/>
    <w:rsid w:val="00AE43A6"/>
    <w:rsid w:val="00AE4EA3"/>
    <w:rsid w:val="00AE65F8"/>
    <w:rsid w:val="00AF51FE"/>
    <w:rsid w:val="00B040D5"/>
    <w:rsid w:val="00B13546"/>
    <w:rsid w:val="00B1373A"/>
    <w:rsid w:val="00B22EDC"/>
    <w:rsid w:val="00B31172"/>
    <w:rsid w:val="00B35183"/>
    <w:rsid w:val="00B35E69"/>
    <w:rsid w:val="00B44549"/>
    <w:rsid w:val="00B45B8E"/>
    <w:rsid w:val="00B654B5"/>
    <w:rsid w:val="00B67FEA"/>
    <w:rsid w:val="00B7527A"/>
    <w:rsid w:val="00B830DA"/>
    <w:rsid w:val="00B83A15"/>
    <w:rsid w:val="00B83DC2"/>
    <w:rsid w:val="00B9053B"/>
    <w:rsid w:val="00B92008"/>
    <w:rsid w:val="00B92E40"/>
    <w:rsid w:val="00B94E49"/>
    <w:rsid w:val="00B96C6A"/>
    <w:rsid w:val="00B97B66"/>
    <w:rsid w:val="00BB7652"/>
    <w:rsid w:val="00BD64FE"/>
    <w:rsid w:val="00BE0BBA"/>
    <w:rsid w:val="00BF57AE"/>
    <w:rsid w:val="00C00B8F"/>
    <w:rsid w:val="00C01E07"/>
    <w:rsid w:val="00C07749"/>
    <w:rsid w:val="00C108DA"/>
    <w:rsid w:val="00C13C25"/>
    <w:rsid w:val="00C23408"/>
    <w:rsid w:val="00C259AF"/>
    <w:rsid w:val="00C32B0E"/>
    <w:rsid w:val="00C33C92"/>
    <w:rsid w:val="00C3466F"/>
    <w:rsid w:val="00C36283"/>
    <w:rsid w:val="00C40F36"/>
    <w:rsid w:val="00C478CA"/>
    <w:rsid w:val="00C5736E"/>
    <w:rsid w:val="00C76501"/>
    <w:rsid w:val="00C82429"/>
    <w:rsid w:val="00C82757"/>
    <w:rsid w:val="00C86AE2"/>
    <w:rsid w:val="00C93A45"/>
    <w:rsid w:val="00CA6F17"/>
    <w:rsid w:val="00CB4475"/>
    <w:rsid w:val="00CB60D2"/>
    <w:rsid w:val="00CC311C"/>
    <w:rsid w:val="00CC7056"/>
    <w:rsid w:val="00CD6A89"/>
    <w:rsid w:val="00CE0791"/>
    <w:rsid w:val="00CE323E"/>
    <w:rsid w:val="00CF0DB7"/>
    <w:rsid w:val="00CF4B57"/>
    <w:rsid w:val="00D01767"/>
    <w:rsid w:val="00D02E37"/>
    <w:rsid w:val="00D0714C"/>
    <w:rsid w:val="00D26894"/>
    <w:rsid w:val="00D33179"/>
    <w:rsid w:val="00D34B5D"/>
    <w:rsid w:val="00D405B4"/>
    <w:rsid w:val="00D65F1A"/>
    <w:rsid w:val="00D6688D"/>
    <w:rsid w:val="00D73763"/>
    <w:rsid w:val="00D74668"/>
    <w:rsid w:val="00D93AC6"/>
    <w:rsid w:val="00D93D21"/>
    <w:rsid w:val="00D94557"/>
    <w:rsid w:val="00DA09D5"/>
    <w:rsid w:val="00DA329E"/>
    <w:rsid w:val="00DB12A0"/>
    <w:rsid w:val="00DC0614"/>
    <w:rsid w:val="00DC5CF9"/>
    <w:rsid w:val="00DC7282"/>
    <w:rsid w:val="00DD07B1"/>
    <w:rsid w:val="00DD35EC"/>
    <w:rsid w:val="00DD39AB"/>
    <w:rsid w:val="00DD6CF3"/>
    <w:rsid w:val="00DD6E7D"/>
    <w:rsid w:val="00DF1EE2"/>
    <w:rsid w:val="00DF6DF9"/>
    <w:rsid w:val="00DF7FAF"/>
    <w:rsid w:val="00E02596"/>
    <w:rsid w:val="00E24DF6"/>
    <w:rsid w:val="00E30F44"/>
    <w:rsid w:val="00E32A23"/>
    <w:rsid w:val="00E32C24"/>
    <w:rsid w:val="00E51DEE"/>
    <w:rsid w:val="00E614B1"/>
    <w:rsid w:val="00E63757"/>
    <w:rsid w:val="00E67B85"/>
    <w:rsid w:val="00E75758"/>
    <w:rsid w:val="00E81585"/>
    <w:rsid w:val="00E92505"/>
    <w:rsid w:val="00E96D94"/>
    <w:rsid w:val="00EA06AE"/>
    <w:rsid w:val="00EA6B5A"/>
    <w:rsid w:val="00EA75E3"/>
    <w:rsid w:val="00EB2065"/>
    <w:rsid w:val="00EC00A7"/>
    <w:rsid w:val="00ED575F"/>
    <w:rsid w:val="00EE20AF"/>
    <w:rsid w:val="00EE79CC"/>
    <w:rsid w:val="00EF23ED"/>
    <w:rsid w:val="00EF75E7"/>
    <w:rsid w:val="00EF7EB4"/>
    <w:rsid w:val="00F034ED"/>
    <w:rsid w:val="00F05161"/>
    <w:rsid w:val="00F10030"/>
    <w:rsid w:val="00F34362"/>
    <w:rsid w:val="00F401F7"/>
    <w:rsid w:val="00F62B31"/>
    <w:rsid w:val="00F77BAC"/>
    <w:rsid w:val="00F814C1"/>
    <w:rsid w:val="00F81584"/>
    <w:rsid w:val="00F81A3A"/>
    <w:rsid w:val="00F86B16"/>
    <w:rsid w:val="00F90107"/>
    <w:rsid w:val="00F90257"/>
    <w:rsid w:val="00F90A1E"/>
    <w:rsid w:val="00F926F7"/>
    <w:rsid w:val="00F945A9"/>
    <w:rsid w:val="00FA00F7"/>
    <w:rsid w:val="00FA77ED"/>
    <w:rsid w:val="00FC0F27"/>
    <w:rsid w:val="00FD2BC6"/>
    <w:rsid w:val="00FE03B4"/>
    <w:rsid w:val="00FE19C7"/>
    <w:rsid w:val="00FE7B77"/>
    <w:rsid w:val="00FF156F"/>
    <w:rsid w:val="00FF1B27"/>
    <w:rsid w:val="00FF7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448E"/>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743786"/>
    <w:rPr>
      <w:rFonts w:eastAsia="Times New Roman" w:cs="Times New Roman"/>
      <w:sz w:val="20"/>
      <w:szCs w:val="20"/>
    </w:rPr>
  </w:style>
  <w:style w:type="character" w:styleId="Puslapioinaosnuoroda">
    <w:name w:val="footnote reference"/>
    <w:basedOn w:val="Numatytasispastraiposriftas"/>
    <w:uiPriority w:val="99"/>
    <w:semiHidden/>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uiPriority w:val="99"/>
    <w:rsid w:val="00480612"/>
    <w:rPr>
      <w:sz w:val="20"/>
      <w:szCs w:val="20"/>
    </w:rPr>
  </w:style>
  <w:style w:type="character" w:customStyle="1" w:styleId="KomentarotekstasDiagrama">
    <w:name w:val="Komentaro tekstas Diagrama"/>
    <w:basedOn w:val="Numatytasispastraiposriftas"/>
    <w:link w:val="Komentarotekstas"/>
    <w:uiPriority w:val="99"/>
    <w:rsid w:val="00480612"/>
    <w:rPr>
      <w:rFonts w:eastAsia="Times New Roman" w:cs="Times New Roman"/>
      <w:sz w:val="20"/>
      <w:szCs w:val="20"/>
      <w:lang w:eastAsia="lt-LT"/>
    </w:rPr>
  </w:style>
  <w:style w:type="character" w:styleId="Komentaronuoroda">
    <w:name w:val="annotation reference"/>
    <w:basedOn w:val="Numatytasispastraiposriftas"/>
    <w:uiPriority w:val="99"/>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 w:type="paragraph" w:customStyle="1" w:styleId="c01pointnumerotealtn">
    <w:name w:val="c01pointnumerotealtn"/>
    <w:basedOn w:val="prastasis"/>
    <w:rsid w:val="0090089C"/>
    <w:pPr>
      <w:spacing w:before="100" w:beforeAutospacing="1" w:after="240"/>
      <w:ind w:left="567" w:hanging="539"/>
      <w:jc w:val="both"/>
    </w:pPr>
  </w:style>
  <w:style w:type="paragraph" w:styleId="HTMLiankstoformatuotas">
    <w:name w:val="HTML Preformatted"/>
    <w:basedOn w:val="prastasis"/>
    <w:link w:val="HTMLiankstoformatuotasDiagrama"/>
    <w:unhideWhenUsed/>
    <w:rsid w:val="0022756A"/>
    <w:rPr>
      <w:rFonts w:ascii="Consolas" w:hAnsi="Consolas" w:cs="Consolas"/>
      <w:sz w:val="20"/>
      <w:szCs w:val="20"/>
      <w:lang w:eastAsia="en-US"/>
    </w:rPr>
  </w:style>
  <w:style w:type="character" w:customStyle="1" w:styleId="HTMLiankstoformatuotasDiagrama">
    <w:name w:val="HTML iš anksto formatuotas Diagrama"/>
    <w:basedOn w:val="Numatytasispastraiposriftas"/>
    <w:link w:val="HTMLiankstoformatuotas"/>
    <w:rsid w:val="0022756A"/>
    <w:rPr>
      <w:rFonts w:ascii="Consolas" w:eastAsia="Times New Roman"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448E"/>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unhideWhenUsed/>
    <w:rsid w:val="00AD448E"/>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D448E"/>
    <w:rPr>
      <w:rFonts w:ascii="Consolas" w:eastAsia="Calibri" w:hAnsi="Consolas" w:cs="Times New Roman"/>
      <w:sz w:val="21"/>
      <w:szCs w:val="21"/>
    </w:rPr>
  </w:style>
  <w:style w:type="paragraph" w:customStyle="1" w:styleId="statymopavad">
    <w:name w:val="Įstatymo pavad."/>
    <w:basedOn w:val="prastasis"/>
    <w:rsid w:val="00AD448E"/>
    <w:pPr>
      <w:spacing w:line="360" w:lineRule="auto"/>
      <w:ind w:firstLine="720"/>
      <w:jc w:val="center"/>
    </w:pPr>
    <w:rPr>
      <w:rFonts w:ascii="TimesLT" w:hAnsi="TimesLT"/>
      <w:caps/>
      <w:szCs w:val="20"/>
      <w:lang w:eastAsia="en-US"/>
    </w:rPr>
  </w:style>
  <w:style w:type="paragraph" w:styleId="Antrats">
    <w:name w:val="header"/>
    <w:basedOn w:val="prastasis"/>
    <w:link w:val="AntratsDiagrama"/>
    <w:uiPriority w:val="99"/>
    <w:unhideWhenUsed/>
    <w:rsid w:val="00AD448E"/>
    <w:pPr>
      <w:tabs>
        <w:tab w:val="center" w:pos="4819"/>
        <w:tab w:val="right" w:pos="9638"/>
      </w:tabs>
    </w:pPr>
  </w:style>
  <w:style w:type="character" w:customStyle="1" w:styleId="AntratsDiagrama">
    <w:name w:val="Antraštės Diagrama"/>
    <w:basedOn w:val="Numatytasispastraiposriftas"/>
    <w:link w:val="Antrats"/>
    <w:uiPriority w:val="99"/>
    <w:rsid w:val="00AD448E"/>
    <w:rPr>
      <w:rFonts w:eastAsia="Times New Roman" w:cs="Times New Roman"/>
      <w:szCs w:val="24"/>
      <w:lang w:eastAsia="lt-LT"/>
    </w:rPr>
  </w:style>
  <w:style w:type="paragraph" w:customStyle="1" w:styleId="Default">
    <w:name w:val="Default"/>
    <w:rsid w:val="00517BB6"/>
    <w:pPr>
      <w:autoSpaceDE w:val="0"/>
      <w:autoSpaceDN w:val="0"/>
      <w:adjustRightInd w:val="0"/>
      <w:spacing w:after="0" w:line="240" w:lineRule="auto"/>
    </w:pPr>
    <w:rPr>
      <w:rFonts w:ascii="Arial" w:hAnsi="Arial" w:cs="Arial"/>
      <w:color w:val="000000"/>
      <w:szCs w:val="24"/>
    </w:rPr>
  </w:style>
  <w:style w:type="paragraph" w:styleId="Sraopastraipa">
    <w:name w:val="List Paragraph"/>
    <w:basedOn w:val="prastasis"/>
    <w:uiPriority w:val="34"/>
    <w:qFormat/>
    <w:rsid w:val="000425EB"/>
    <w:pPr>
      <w:ind w:left="720"/>
      <w:contextualSpacing/>
    </w:pPr>
  </w:style>
  <w:style w:type="paragraph" w:styleId="Debesliotekstas">
    <w:name w:val="Balloon Text"/>
    <w:basedOn w:val="prastasis"/>
    <w:link w:val="DebesliotekstasDiagrama"/>
    <w:uiPriority w:val="99"/>
    <w:semiHidden/>
    <w:unhideWhenUsed/>
    <w:rsid w:val="00A56B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6B61"/>
    <w:rPr>
      <w:rFonts w:ascii="Tahoma" w:eastAsia="Times New Roman" w:hAnsi="Tahoma" w:cs="Tahoma"/>
      <w:sz w:val="16"/>
      <w:szCs w:val="16"/>
      <w:lang w:eastAsia="lt-LT"/>
    </w:rPr>
  </w:style>
  <w:style w:type="paragraph" w:styleId="Puslapioinaostekstas">
    <w:name w:val="footnote text"/>
    <w:basedOn w:val="prastasis"/>
    <w:link w:val="PuslapioinaostekstasDiagrama"/>
    <w:uiPriority w:val="99"/>
    <w:semiHidden/>
    <w:unhideWhenUsed/>
    <w:rsid w:val="00743786"/>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743786"/>
    <w:rPr>
      <w:rFonts w:eastAsia="Times New Roman" w:cs="Times New Roman"/>
      <w:sz w:val="20"/>
      <w:szCs w:val="20"/>
    </w:rPr>
  </w:style>
  <w:style w:type="character" w:styleId="Puslapioinaosnuoroda">
    <w:name w:val="footnote reference"/>
    <w:basedOn w:val="Numatytasispastraiposriftas"/>
    <w:uiPriority w:val="99"/>
    <w:semiHidden/>
    <w:unhideWhenUsed/>
    <w:rsid w:val="00743786"/>
    <w:rPr>
      <w:vertAlign w:val="superscript"/>
    </w:rPr>
  </w:style>
  <w:style w:type="paragraph" w:customStyle="1" w:styleId="tactin">
    <w:name w:val="tactin"/>
    <w:basedOn w:val="prastasis"/>
    <w:rsid w:val="00743786"/>
    <w:pPr>
      <w:spacing w:after="150"/>
    </w:pPr>
  </w:style>
  <w:style w:type="character" w:styleId="Hipersaitas">
    <w:name w:val="Hyperlink"/>
    <w:uiPriority w:val="99"/>
    <w:rsid w:val="003F4213"/>
    <w:rPr>
      <w:color w:val="auto"/>
      <w:u w:val="none"/>
    </w:rPr>
  </w:style>
  <w:style w:type="character" w:customStyle="1" w:styleId="BodyText1">
    <w:name w:val="Body Text1"/>
    <w:basedOn w:val="Numatytasispastraiposriftas"/>
    <w:uiPriority w:val="99"/>
    <w:rsid w:val="00182EE9"/>
    <w:rPr>
      <w:rFonts w:ascii="Times New Roman" w:hAnsi="Times New Roman" w:cs="Times New Roman"/>
      <w:sz w:val="23"/>
      <w:szCs w:val="23"/>
      <w:shd w:val="clear" w:color="auto" w:fill="FFFFFF"/>
    </w:rPr>
  </w:style>
  <w:style w:type="character" w:customStyle="1" w:styleId="5yl5">
    <w:name w:val="_5yl5"/>
    <w:basedOn w:val="Numatytasispastraiposriftas"/>
    <w:rsid w:val="005C13A2"/>
  </w:style>
  <w:style w:type="character" w:customStyle="1" w:styleId="algo-summary">
    <w:name w:val="algo-summary"/>
    <w:basedOn w:val="Numatytasispastraiposriftas"/>
    <w:rsid w:val="0048479B"/>
  </w:style>
  <w:style w:type="paragraph" w:styleId="Komentarotekstas">
    <w:name w:val="annotation text"/>
    <w:basedOn w:val="prastasis"/>
    <w:link w:val="KomentarotekstasDiagrama"/>
    <w:uiPriority w:val="99"/>
    <w:rsid w:val="00480612"/>
    <w:rPr>
      <w:sz w:val="20"/>
      <w:szCs w:val="20"/>
    </w:rPr>
  </w:style>
  <w:style w:type="character" w:customStyle="1" w:styleId="KomentarotekstasDiagrama">
    <w:name w:val="Komentaro tekstas Diagrama"/>
    <w:basedOn w:val="Numatytasispastraiposriftas"/>
    <w:link w:val="Komentarotekstas"/>
    <w:uiPriority w:val="99"/>
    <w:rsid w:val="00480612"/>
    <w:rPr>
      <w:rFonts w:eastAsia="Times New Roman" w:cs="Times New Roman"/>
      <w:sz w:val="20"/>
      <w:szCs w:val="20"/>
      <w:lang w:eastAsia="lt-LT"/>
    </w:rPr>
  </w:style>
  <w:style w:type="character" w:styleId="Komentaronuoroda">
    <w:name w:val="annotation reference"/>
    <w:basedOn w:val="Numatytasispastraiposriftas"/>
    <w:uiPriority w:val="99"/>
    <w:unhideWhenUsed/>
    <w:rsid w:val="00444D94"/>
    <w:rPr>
      <w:sz w:val="16"/>
      <w:szCs w:val="16"/>
    </w:rPr>
  </w:style>
  <w:style w:type="paragraph" w:styleId="Komentarotema">
    <w:name w:val="annotation subject"/>
    <w:basedOn w:val="Komentarotekstas"/>
    <w:next w:val="Komentarotekstas"/>
    <w:link w:val="KomentarotemaDiagrama"/>
    <w:uiPriority w:val="99"/>
    <w:semiHidden/>
    <w:unhideWhenUsed/>
    <w:rsid w:val="00444D94"/>
    <w:rPr>
      <w:b/>
      <w:bCs/>
    </w:rPr>
  </w:style>
  <w:style w:type="character" w:customStyle="1" w:styleId="KomentarotemaDiagrama">
    <w:name w:val="Komentaro tema Diagrama"/>
    <w:basedOn w:val="KomentarotekstasDiagrama"/>
    <w:link w:val="Komentarotema"/>
    <w:uiPriority w:val="99"/>
    <w:semiHidden/>
    <w:rsid w:val="00444D94"/>
    <w:rPr>
      <w:rFonts w:eastAsia="Times New Roman" w:cs="Times New Roman"/>
      <w:b/>
      <w:bCs/>
      <w:sz w:val="20"/>
      <w:szCs w:val="20"/>
      <w:lang w:eastAsia="lt-LT"/>
    </w:rPr>
  </w:style>
  <w:style w:type="paragraph" w:customStyle="1" w:styleId="c01pointnumerotealtn">
    <w:name w:val="c01pointnumerotealtn"/>
    <w:basedOn w:val="prastasis"/>
    <w:rsid w:val="0090089C"/>
    <w:pPr>
      <w:spacing w:before="100" w:beforeAutospacing="1" w:after="240"/>
      <w:ind w:left="567" w:hanging="539"/>
      <w:jc w:val="both"/>
    </w:pPr>
  </w:style>
  <w:style w:type="paragraph" w:styleId="HTMLiankstoformatuotas">
    <w:name w:val="HTML Preformatted"/>
    <w:basedOn w:val="prastasis"/>
    <w:link w:val="HTMLiankstoformatuotasDiagrama"/>
    <w:unhideWhenUsed/>
    <w:rsid w:val="0022756A"/>
    <w:rPr>
      <w:rFonts w:ascii="Consolas" w:hAnsi="Consolas" w:cs="Consolas"/>
      <w:sz w:val="20"/>
      <w:szCs w:val="20"/>
      <w:lang w:eastAsia="en-US"/>
    </w:rPr>
  </w:style>
  <w:style w:type="character" w:customStyle="1" w:styleId="HTMLiankstoformatuotasDiagrama">
    <w:name w:val="HTML iš anksto formatuotas Diagrama"/>
    <w:basedOn w:val="Numatytasispastraiposriftas"/>
    <w:link w:val="HTMLiankstoformatuotas"/>
    <w:rsid w:val="0022756A"/>
    <w:rPr>
      <w:rFonts w:ascii="Consolas" w:eastAsia="Times New Roman"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F3388-C6A4-4119-A6CC-77F8736B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6040</Words>
  <Characters>3444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40</cp:revision>
  <dcterms:created xsi:type="dcterms:W3CDTF">2021-09-10T11:34:00Z</dcterms:created>
  <dcterms:modified xsi:type="dcterms:W3CDTF">2021-09-17T12:34:00Z</dcterms:modified>
</cp:coreProperties>
</file>