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8" w:rsidRPr="00D21439" w:rsidRDefault="00BC2B98" w:rsidP="00BC2B98">
      <w:pPr>
        <w:jc w:val="both"/>
        <w:rPr>
          <w:b/>
          <w:bCs/>
        </w:rPr>
      </w:pPr>
      <w:r w:rsidRPr="00D21439">
        <w:rPr>
          <w:b/>
          <w:bCs/>
        </w:rPr>
        <w:t>TEISĖS AKT</w:t>
      </w:r>
      <w:r w:rsidR="00765784" w:rsidRPr="00D21439">
        <w:rPr>
          <w:b/>
          <w:bCs/>
        </w:rPr>
        <w:t>O</w:t>
      </w:r>
      <w:r w:rsidRPr="00D21439">
        <w:rPr>
          <w:b/>
          <w:bCs/>
        </w:rPr>
        <w:t xml:space="preserve"> PROJEKT</w:t>
      </w:r>
      <w:r w:rsidR="00765784" w:rsidRPr="00D21439">
        <w:rPr>
          <w:b/>
          <w:bCs/>
        </w:rPr>
        <w:t>O</w:t>
      </w:r>
      <w:r w:rsidRPr="00D21439">
        <w:rPr>
          <w:b/>
          <w:bCs/>
        </w:rPr>
        <w:t xml:space="preserve"> ANTIKORUPCINIO VERTINIMO PAŽYMA</w:t>
      </w:r>
    </w:p>
    <w:p w:rsidR="00BC2B98" w:rsidRPr="00D21439" w:rsidRDefault="00BC2B98" w:rsidP="00BC2B98">
      <w:pPr>
        <w:jc w:val="both"/>
        <w:rPr>
          <w:sz w:val="22"/>
          <w:szCs w:val="22"/>
        </w:rPr>
      </w:pPr>
    </w:p>
    <w:p w:rsidR="00BC2B98" w:rsidRPr="00D21439" w:rsidRDefault="00BC2B98" w:rsidP="000A7A10">
      <w:pPr>
        <w:jc w:val="both"/>
        <w:rPr>
          <w:b/>
          <w:sz w:val="22"/>
          <w:szCs w:val="22"/>
        </w:rPr>
      </w:pPr>
      <w:r w:rsidRPr="00D21439">
        <w:rPr>
          <w:b/>
          <w:sz w:val="22"/>
          <w:szCs w:val="22"/>
        </w:rPr>
        <w:t>Teisės akto projekto pavadinimas:</w:t>
      </w:r>
    </w:p>
    <w:p w:rsidR="00BC2B98" w:rsidRPr="00D21439" w:rsidRDefault="00BC2B98" w:rsidP="005C3EDE">
      <w:pPr>
        <w:jc w:val="both"/>
        <w:rPr>
          <w:sz w:val="22"/>
          <w:szCs w:val="22"/>
        </w:rPr>
      </w:pPr>
      <w:r w:rsidRPr="00D21439">
        <w:rPr>
          <w:sz w:val="22"/>
          <w:szCs w:val="22"/>
        </w:rPr>
        <w:t>Lietuvos Respublikos Vyriausybės nutarim</w:t>
      </w:r>
      <w:r w:rsidR="00765784" w:rsidRPr="00D21439">
        <w:rPr>
          <w:sz w:val="22"/>
          <w:szCs w:val="22"/>
        </w:rPr>
        <w:t>o</w:t>
      </w:r>
      <w:r w:rsidRPr="00D21439">
        <w:rPr>
          <w:sz w:val="22"/>
          <w:szCs w:val="22"/>
        </w:rPr>
        <w:t xml:space="preserve"> </w:t>
      </w:r>
      <w:r w:rsidR="00F662CF" w:rsidRPr="00D21439">
        <w:rPr>
          <w:sz w:val="22"/>
          <w:szCs w:val="22"/>
        </w:rPr>
        <w:t>„</w:t>
      </w:r>
      <w:r w:rsidR="005C3EDE" w:rsidRPr="00D21439">
        <w:rPr>
          <w:sz w:val="22"/>
          <w:szCs w:val="22"/>
        </w:rPr>
        <w:t xml:space="preserve">Dėl </w:t>
      </w:r>
      <w:r w:rsidR="00101A72">
        <w:rPr>
          <w:sz w:val="22"/>
          <w:szCs w:val="22"/>
        </w:rPr>
        <w:t>valstybės</w:t>
      </w:r>
      <w:r w:rsidR="005C3EDE" w:rsidRPr="00D21439">
        <w:rPr>
          <w:sz w:val="22"/>
          <w:szCs w:val="22"/>
        </w:rPr>
        <w:t xml:space="preserve"> investicijų administravimo</w:t>
      </w:r>
      <w:r w:rsidR="00F662CF" w:rsidRPr="00D21439">
        <w:rPr>
          <w:sz w:val="22"/>
          <w:szCs w:val="22"/>
        </w:rPr>
        <w:t xml:space="preserve">“ projektas </w:t>
      </w:r>
      <w:r w:rsidRPr="00D21439">
        <w:rPr>
          <w:sz w:val="22"/>
          <w:szCs w:val="22"/>
        </w:rPr>
        <w:t>(toliau – Nutarimo projektas).</w:t>
      </w:r>
    </w:p>
    <w:p w:rsidR="00BC2B98" w:rsidRPr="00D21439" w:rsidRDefault="00BC2B98" w:rsidP="000A7A10">
      <w:pPr>
        <w:jc w:val="both"/>
        <w:rPr>
          <w:sz w:val="22"/>
          <w:szCs w:val="22"/>
        </w:rPr>
      </w:pPr>
      <w:r w:rsidRPr="00D21439">
        <w:rPr>
          <w:b/>
          <w:sz w:val="22"/>
          <w:szCs w:val="22"/>
        </w:rPr>
        <w:t>Teisės akto projekto tiesioginis rengėjas</w:t>
      </w:r>
      <w:r w:rsidRPr="00D21439">
        <w:rPr>
          <w:sz w:val="22"/>
          <w:szCs w:val="22"/>
        </w:rPr>
        <w:t xml:space="preserve">: Lietuvos Respublikos finansų ministerijos </w:t>
      </w:r>
      <w:r w:rsidR="00FA23FE" w:rsidRPr="00D21439">
        <w:rPr>
          <w:sz w:val="22"/>
          <w:szCs w:val="22"/>
        </w:rPr>
        <w:t xml:space="preserve">Investicijų </w:t>
      </w:r>
      <w:r w:rsidRPr="00D21439">
        <w:rPr>
          <w:sz w:val="22"/>
          <w:szCs w:val="22"/>
        </w:rPr>
        <w:t xml:space="preserve">departamento </w:t>
      </w:r>
      <w:r w:rsidR="00F662CF" w:rsidRPr="00D21439">
        <w:rPr>
          <w:sz w:val="22"/>
          <w:szCs w:val="22"/>
        </w:rPr>
        <w:t>Valdymo ir kontrolės sistemų priežiūros s</w:t>
      </w:r>
      <w:r w:rsidRPr="00D21439">
        <w:rPr>
          <w:sz w:val="22"/>
          <w:szCs w:val="22"/>
        </w:rPr>
        <w:t xml:space="preserve">kyriaus </w:t>
      </w:r>
      <w:r w:rsidR="005C3EDE" w:rsidRPr="00D21439">
        <w:rPr>
          <w:sz w:val="22"/>
          <w:szCs w:val="22"/>
        </w:rPr>
        <w:t>vyriausioji specialistė</w:t>
      </w:r>
      <w:r w:rsidR="00F662CF" w:rsidRPr="00D21439">
        <w:rPr>
          <w:sz w:val="22"/>
          <w:szCs w:val="22"/>
        </w:rPr>
        <w:t xml:space="preserve"> </w:t>
      </w:r>
      <w:r w:rsidR="00707291" w:rsidRPr="00D21439">
        <w:rPr>
          <w:sz w:val="22"/>
          <w:szCs w:val="22"/>
        </w:rPr>
        <w:t xml:space="preserve">Laura </w:t>
      </w:r>
      <w:proofErr w:type="spellStart"/>
      <w:r w:rsidR="00707291" w:rsidRPr="00D21439">
        <w:rPr>
          <w:sz w:val="22"/>
          <w:szCs w:val="22"/>
        </w:rPr>
        <w:t>Sabulienė</w:t>
      </w:r>
      <w:proofErr w:type="spellEnd"/>
      <w:r w:rsidR="00F662CF" w:rsidRPr="00D21439">
        <w:rPr>
          <w:sz w:val="22"/>
          <w:szCs w:val="22"/>
        </w:rPr>
        <w:t>.</w:t>
      </w:r>
    </w:p>
    <w:p w:rsidR="00BC2B98" w:rsidRPr="00D21439" w:rsidRDefault="00BC2B98" w:rsidP="000A7A10">
      <w:pPr>
        <w:jc w:val="both"/>
        <w:rPr>
          <w:sz w:val="22"/>
          <w:szCs w:val="22"/>
        </w:rPr>
      </w:pPr>
      <w:r w:rsidRPr="00D21439">
        <w:rPr>
          <w:b/>
          <w:sz w:val="22"/>
          <w:szCs w:val="22"/>
        </w:rPr>
        <w:t>Antikorupciniu požiūriu rizikingos teisės akto projekto nuostatos</w:t>
      </w:r>
      <w:r w:rsidRPr="00D21439">
        <w:rPr>
          <w:sz w:val="22"/>
          <w:szCs w:val="22"/>
        </w:rPr>
        <w:t>: nenustatyta</w:t>
      </w:r>
      <w:r w:rsidR="00F662CF" w:rsidRPr="00D21439">
        <w:rPr>
          <w:sz w:val="22"/>
          <w:szCs w:val="22"/>
        </w:rPr>
        <w:t>.</w:t>
      </w:r>
    </w:p>
    <w:p w:rsidR="00BC2B98" w:rsidRPr="00D21439" w:rsidRDefault="00BC2B98" w:rsidP="000A7A10">
      <w:pPr>
        <w:jc w:val="both"/>
        <w:rPr>
          <w:b/>
          <w:bCs/>
          <w:sz w:val="22"/>
          <w:szCs w:val="22"/>
        </w:rPr>
      </w:pPr>
      <w:r w:rsidRPr="00D21439">
        <w:rPr>
          <w:b/>
          <w:bCs/>
          <w:sz w:val="22"/>
          <w:szCs w:val="22"/>
        </w:rPr>
        <w:t xml:space="preserve">Antikorupciniu požiūriu rizikingos teisės akto projekto nuostatos, identifikuotos antikorupcinio vertinimo po </w:t>
      </w:r>
      <w:proofErr w:type="spellStart"/>
      <w:r w:rsidRPr="00D21439">
        <w:rPr>
          <w:b/>
          <w:bCs/>
          <w:sz w:val="22"/>
          <w:szCs w:val="22"/>
        </w:rPr>
        <w:t>tarpinstitucinio</w:t>
      </w:r>
      <w:proofErr w:type="spellEnd"/>
      <w:r w:rsidRPr="00D21439">
        <w:rPr>
          <w:b/>
          <w:bCs/>
          <w:sz w:val="22"/>
          <w:szCs w:val="22"/>
        </w:rPr>
        <w:t xml:space="preserve"> derinimo metu:</w:t>
      </w:r>
    </w:p>
    <w:p w:rsidR="00D5128C" w:rsidRPr="00D21439" w:rsidRDefault="00D5128C" w:rsidP="000A7A10">
      <w:pPr>
        <w:jc w:val="both"/>
        <w:rPr>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912"/>
        <w:gridCol w:w="2079"/>
        <w:gridCol w:w="2694"/>
        <w:gridCol w:w="1984"/>
        <w:gridCol w:w="450"/>
        <w:gridCol w:w="2243"/>
        <w:gridCol w:w="2835"/>
        <w:gridCol w:w="426"/>
      </w:tblGrid>
      <w:tr w:rsidR="00BC2B98" w:rsidRPr="00D21439" w:rsidTr="000A7A10">
        <w:trPr>
          <w:gridAfter w:val="1"/>
          <w:wAfter w:w="426" w:type="dxa"/>
          <w:trHeight w:val="23"/>
          <w:tblHeader/>
        </w:trPr>
        <w:tc>
          <w:tcPr>
            <w:tcW w:w="545" w:type="dxa"/>
            <w:vAlign w:val="center"/>
          </w:tcPr>
          <w:p w:rsidR="00BC2B98" w:rsidRPr="00D21439" w:rsidRDefault="00BC2B98" w:rsidP="00D021B7">
            <w:pPr>
              <w:jc w:val="center"/>
              <w:rPr>
                <w:sz w:val="22"/>
                <w:szCs w:val="22"/>
              </w:rPr>
            </w:pPr>
            <w:r w:rsidRPr="00D21439">
              <w:rPr>
                <w:sz w:val="22"/>
                <w:szCs w:val="22"/>
              </w:rPr>
              <w:t>Eil. Nr.</w:t>
            </w:r>
          </w:p>
        </w:tc>
        <w:tc>
          <w:tcPr>
            <w:tcW w:w="3991" w:type="dxa"/>
            <w:gridSpan w:val="2"/>
            <w:vAlign w:val="center"/>
          </w:tcPr>
          <w:p w:rsidR="00BC2B98" w:rsidRPr="00D21439" w:rsidRDefault="00BC2B98" w:rsidP="00DA5E88">
            <w:pPr>
              <w:jc w:val="center"/>
              <w:rPr>
                <w:sz w:val="22"/>
                <w:szCs w:val="22"/>
              </w:rPr>
            </w:pPr>
            <w:r w:rsidRPr="00D21439">
              <w:rPr>
                <w:sz w:val="22"/>
                <w:szCs w:val="22"/>
              </w:rPr>
              <w:t>Kriterijus</w:t>
            </w:r>
          </w:p>
        </w:tc>
        <w:tc>
          <w:tcPr>
            <w:tcW w:w="4678" w:type="dxa"/>
            <w:gridSpan w:val="2"/>
            <w:vAlign w:val="center"/>
          </w:tcPr>
          <w:p w:rsidR="00BC2B98" w:rsidRPr="00D21439" w:rsidRDefault="00BC2B98" w:rsidP="00DA5E88">
            <w:pPr>
              <w:jc w:val="center"/>
              <w:rPr>
                <w:b/>
                <w:bCs/>
                <w:sz w:val="22"/>
                <w:szCs w:val="22"/>
              </w:rPr>
            </w:pPr>
            <w:r w:rsidRPr="00D21439">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gridSpan w:val="2"/>
            <w:vAlign w:val="center"/>
          </w:tcPr>
          <w:p w:rsidR="00BC2B98" w:rsidRPr="00D21439" w:rsidRDefault="00BC2B98" w:rsidP="00DA5E88">
            <w:pPr>
              <w:jc w:val="center"/>
              <w:rPr>
                <w:sz w:val="22"/>
                <w:szCs w:val="22"/>
              </w:rPr>
            </w:pPr>
            <w:r w:rsidRPr="00D21439">
              <w:rPr>
                <w:sz w:val="22"/>
                <w:szCs w:val="22"/>
              </w:rPr>
              <w:t>Teisės akto projekto pakeitimas, mažinantis korupcijos riziką, arba teisės akto projekto tiesioginio rengėjo argumentai, kodėl neatsižvelgta į pastabą</w:t>
            </w:r>
          </w:p>
        </w:tc>
        <w:tc>
          <w:tcPr>
            <w:tcW w:w="2835" w:type="dxa"/>
            <w:vAlign w:val="center"/>
          </w:tcPr>
          <w:p w:rsidR="00BC2B98" w:rsidRPr="00D21439" w:rsidRDefault="00BC2B98" w:rsidP="00DA5E88">
            <w:pPr>
              <w:jc w:val="center"/>
              <w:rPr>
                <w:sz w:val="22"/>
                <w:szCs w:val="22"/>
              </w:rPr>
            </w:pPr>
            <w:r w:rsidRPr="00D21439">
              <w:rPr>
                <w:sz w:val="22"/>
                <w:szCs w:val="22"/>
              </w:rPr>
              <w:t>Išvada dėl teisės akto projekto pakeitimų arba argumentų, kodėl neatsižvelgta į pastabą</w:t>
            </w:r>
          </w:p>
        </w:tc>
      </w:tr>
      <w:tr w:rsidR="00BC2B98" w:rsidRPr="00D21439" w:rsidTr="000A7A10">
        <w:trPr>
          <w:gridAfter w:val="1"/>
          <w:wAfter w:w="426" w:type="dxa"/>
          <w:trHeight w:val="23"/>
        </w:trPr>
        <w:tc>
          <w:tcPr>
            <w:tcW w:w="545" w:type="dxa"/>
          </w:tcPr>
          <w:p w:rsidR="00BC2B98" w:rsidRPr="00D21439" w:rsidRDefault="00BC2B98" w:rsidP="00D021B7">
            <w:pPr>
              <w:jc w:val="center"/>
              <w:rPr>
                <w:i/>
                <w:iCs/>
                <w:sz w:val="22"/>
                <w:szCs w:val="22"/>
              </w:rPr>
            </w:pPr>
          </w:p>
        </w:tc>
        <w:tc>
          <w:tcPr>
            <w:tcW w:w="3991" w:type="dxa"/>
            <w:gridSpan w:val="2"/>
          </w:tcPr>
          <w:p w:rsidR="00BC2B98" w:rsidRPr="00D21439" w:rsidRDefault="00BC2B98" w:rsidP="00D021B7">
            <w:pPr>
              <w:jc w:val="center"/>
              <w:rPr>
                <w:i/>
                <w:iCs/>
                <w:sz w:val="22"/>
                <w:szCs w:val="22"/>
              </w:rPr>
            </w:pPr>
          </w:p>
        </w:tc>
        <w:tc>
          <w:tcPr>
            <w:tcW w:w="4678" w:type="dxa"/>
            <w:gridSpan w:val="2"/>
            <w:vAlign w:val="center"/>
          </w:tcPr>
          <w:p w:rsidR="00BC2B98" w:rsidRPr="00D21439" w:rsidRDefault="00BC2B98" w:rsidP="00D021B7">
            <w:pPr>
              <w:jc w:val="center"/>
              <w:rPr>
                <w:i/>
                <w:iCs/>
                <w:sz w:val="22"/>
                <w:szCs w:val="22"/>
              </w:rPr>
            </w:pPr>
            <w:r w:rsidRPr="00D21439">
              <w:rPr>
                <w:i/>
                <w:iCs/>
                <w:sz w:val="22"/>
                <w:szCs w:val="22"/>
              </w:rPr>
              <w:t>pildo teisės akto projekto vertintojas</w:t>
            </w:r>
          </w:p>
        </w:tc>
        <w:tc>
          <w:tcPr>
            <w:tcW w:w="2693" w:type="dxa"/>
            <w:gridSpan w:val="2"/>
            <w:vAlign w:val="center"/>
          </w:tcPr>
          <w:p w:rsidR="00BC2B98" w:rsidRPr="00D21439" w:rsidRDefault="00BC2B98" w:rsidP="00D021B7">
            <w:pPr>
              <w:jc w:val="center"/>
              <w:rPr>
                <w:i/>
                <w:iCs/>
                <w:sz w:val="22"/>
                <w:szCs w:val="22"/>
              </w:rPr>
            </w:pPr>
            <w:r w:rsidRPr="00D21439">
              <w:rPr>
                <w:i/>
                <w:iCs/>
                <w:sz w:val="22"/>
                <w:szCs w:val="22"/>
              </w:rPr>
              <w:t>pildo teisės akto projekto tiesioginis rengėjas</w:t>
            </w:r>
          </w:p>
        </w:tc>
        <w:tc>
          <w:tcPr>
            <w:tcW w:w="2835" w:type="dxa"/>
            <w:vAlign w:val="center"/>
          </w:tcPr>
          <w:p w:rsidR="00BC2B98" w:rsidRPr="00D21439" w:rsidRDefault="00BC2B98" w:rsidP="00D021B7">
            <w:pPr>
              <w:jc w:val="center"/>
              <w:rPr>
                <w:i/>
                <w:iCs/>
                <w:sz w:val="22"/>
                <w:szCs w:val="22"/>
              </w:rPr>
            </w:pPr>
            <w:r w:rsidRPr="00D21439">
              <w:rPr>
                <w:i/>
                <w:iCs/>
                <w:sz w:val="22"/>
                <w:szCs w:val="22"/>
              </w:rPr>
              <w:t>pildo teisės akto projekto vertintojas</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w:t>
            </w:r>
          </w:p>
        </w:tc>
        <w:tc>
          <w:tcPr>
            <w:tcW w:w="3991" w:type="dxa"/>
            <w:gridSpan w:val="2"/>
          </w:tcPr>
          <w:p w:rsidR="00BC2B98" w:rsidRPr="00D21439" w:rsidRDefault="00BC2B98" w:rsidP="00D021B7">
            <w:pPr>
              <w:jc w:val="both"/>
              <w:rPr>
                <w:sz w:val="22"/>
                <w:szCs w:val="22"/>
              </w:rPr>
            </w:pPr>
            <w:r w:rsidRPr="00D21439">
              <w:rPr>
                <w:sz w:val="22"/>
                <w:szCs w:val="22"/>
              </w:rPr>
              <w:t>Teisės akto projektas nesudaro išskirtinių ar nevienodų sąlygų subjektams, su kuriais susijęs teisės akto įgyvendinimas</w:t>
            </w:r>
          </w:p>
        </w:tc>
        <w:tc>
          <w:tcPr>
            <w:tcW w:w="4678" w:type="dxa"/>
            <w:gridSpan w:val="2"/>
          </w:tcPr>
          <w:p w:rsidR="00BC2B98" w:rsidRPr="00D21439" w:rsidRDefault="00562677" w:rsidP="00A80EBB">
            <w:pPr>
              <w:pStyle w:val="Komentarotekstas"/>
              <w:tabs>
                <w:tab w:val="left" w:pos="513"/>
              </w:tabs>
              <w:jc w:val="both"/>
              <w:rPr>
                <w:sz w:val="22"/>
                <w:szCs w:val="22"/>
                <w:lang w:val="lt-LT"/>
              </w:rPr>
            </w:pPr>
            <w:r w:rsidRPr="00D21439">
              <w:rPr>
                <w:sz w:val="22"/>
                <w:szCs w:val="22"/>
                <w:lang w:val="lt-LT"/>
              </w:rPr>
              <w:t>Nutarimo</w:t>
            </w:r>
            <w:r w:rsidR="00BC2B98" w:rsidRPr="00D21439">
              <w:rPr>
                <w:sz w:val="22"/>
                <w:szCs w:val="22"/>
                <w:lang w:val="lt-LT"/>
              </w:rPr>
              <w:t xml:space="preserve"> projektas nesudaro išskirtinių ar nevienodų sąlygų subjektams, su kuriais susijęs teisės aktų įgyvendinimas.</w:t>
            </w:r>
          </w:p>
          <w:p w:rsidR="00707291" w:rsidRPr="00D21439" w:rsidRDefault="00B87A6F" w:rsidP="00A80EBB">
            <w:pPr>
              <w:tabs>
                <w:tab w:val="left" w:pos="513"/>
              </w:tabs>
              <w:autoSpaceDE w:val="0"/>
              <w:autoSpaceDN w:val="0"/>
              <w:adjustRightInd w:val="0"/>
              <w:jc w:val="both"/>
              <w:rPr>
                <w:sz w:val="22"/>
                <w:szCs w:val="22"/>
                <w:lang w:eastAsia="x-none"/>
              </w:rPr>
            </w:pPr>
            <w:r>
              <w:rPr>
                <w:sz w:val="22"/>
                <w:szCs w:val="22"/>
                <w:lang w:eastAsia="x-none"/>
              </w:rPr>
              <w:t>N</w:t>
            </w:r>
            <w:r w:rsidR="00707291" w:rsidRPr="00D21439">
              <w:rPr>
                <w:sz w:val="22"/>
                <w:szCs w:val="22"/>
                <w:lang w:eastAsia="x-none"/>
              </w:rPr>
              <w:t>utarim</w:t>
            </w:r>
            <w:r>
              <w:rPr>
                <w:sz w:val="22"/>
                <w:szCs w:val="22"/>
                <w:lang w:eastAsia="x-none"/>
              </w:rPr>
              <w:t>o projektas</w:t>
            </w:r>
            <w:r w:rsidR="00707291" w:rsidRPr="00D21439">
              <w:rPr>
                <w:sz w:val="22"/>
                <w:szCs w:val="22"/>
                <w:lang w:eastAsia="x-none"/>
              </w:rPr>
              <w:t xml:space="preserve"> parengtas, siekiant sklandaus valstybės biudžeto, Europos Sąjungos (toliau – ES) ir kitų tarptautinių investicijų, skirtų </w:t>
            </w:r>
            <w:r w:rsidRPr="008A4BFF">
              <w:rPr>
                <w:sz w:val="22"/>
                <w:szCs w:val="22"/>
              </w:rPr>
              <w:t>2021–2030 metų</w:t>
            </w:r>
            <w:r w:rsidRPr="002912C7">
              <w:t xml:space="preserve"> </w:t>
            </w:r>
            <w:r w:rsidR="00707291" w:rsidRPr="00D21439">
              <w:rPr>
                <w:sz w:val="22"/>
                <w:szCs w:val="22"/>
                <w:lang w:eastAsia="x-none"/>
              </w:rPr>
              <w:t xml:space="preserve">nacionalinio pažangos plano tikslams įgyvendinti, panaudojimo. </w:t>
            </w:r>
            <w:r>
              <w:rPr>
                <w:sz w:val="22"/>
                <w:szCs w:val="22"/>
                <w:lang w:eastAsia="x-none"/>
              </w:rPr>
              <w:t>N</w:t>
            </w:r>
            <w:r w:rsidR="00707291" w:rsidRPr="00D21439">
              <w:rPr>
                <w:sz w:val="22"/>
                <w:szCs w:val="22"/>
                <w:lang w:eastAsia="x-none"/>
              </w:rPr>
              <w:t>utarim</w:t>
            </w:r>
            <w:r>
              <w:rPr>
                <w:sz w:val="22"/>
                <w:szCs w:val="22"/>
                <w:lang w:eastAsia="x-none"/>
              </w:rPr>
              <w:t>o projekte</w:t>
            </w:r>
            <w:r w:rsidR="00707291" w:rsidRPr="00D21439">
              <w:rPr>
                <w:sz w:val="22"/>
                <w:szCs w:val="22"/>
                <w:lang w:eastAsia="x-none"/>
              </w:rPr>
              <w:t xml:space="preserve"> numatoma </w:t>
            </w:r>
            <w:r>
              <w:rPr>
                <w:sz w:val="22"/>
                <w:szCs w:val="22"/>
                <w:lang w:eastAsia="x-none"/>
              </w:rPr>
              <w:t xml:space="preserve">paskirti </w:t>
            </w:r>
            <w:r w:rsidR="00707291" w:rsidRPr="00D21439">
              <w:rPr>
                <w:sz w:val="22"/>
                <w:szCs w:val="22"/>
                <w:lang w:eastAsia="x-none"/>
              </w:rPr>
              <w:t>skirtingų finansavimo šaltinių valdymo ir kontrolės sistemos (toliau – VKS) dalyvius. VKS dalyviai nustatom</w:t>
            </w:r>
            <w:r w:rsidR="000D1A2C">
              <w:rPr>
                <w:sz w:val="22"/>
                <w:szCs w:val="22"/>
                <w:lang w:eastAsia="x-none"/>
              </w:rPr>
              <w:t>i</w:t>
            </w:r>
            <w:r w:rsidR="00707291" w:rsidRPr="00D21439">
              <w:rPr>
                <w:sz w:val="22"/>
                <w:szCs w:val="22"/>
                <w:lang w:eastAsia="x-none"/>
              </w:rPr>
              <w:t xml:space="preserve"> atsižvelgiant į šių finansavimo šaltinių administravimą reglamentuojančių ES teisės aktų ir kitų </w:t>
            </w:r>
            <w:bookmarkStart w:id="0" w:name="_GoBack"/>
            <w:r w:rsidR="00707291" w:rsidRPr="00D21439">
              <w:rPr>
                <w:sz w:val="22"/>
                <w:szCs w:val="22"/>
                <w:lang w:eastAsia="x-none"/>
              </w:rPr>
              <w:t>tarpt</w:t>
            </w:r>
            <w:bookmarkEnd w:id="0"/>
            <w:r w:rsidR="00707291" w:rsidRPr="00D21439">
              <w:rPr>
                <w:sz w:val="22"/>
                <w:szCs w:val="22"/>
                <w:lang w:eastAsia="x-none"/>
              </w:rPr>
              <w:t xml:space="preserve">autinių dokumentų reikalavimus. </w:t>
            </w:r>
          </w:p>
          <w:p w:rsidR="00707291" w:rsidRPr="00D21439" w:rsidRDefault="00B87A6F" w:rsidP="00A80EBB">
            <w:pPr>
              <w:tabs>
                <w:tab w:val="left" w:pos="513"/>
              </w:tabs>
              <w:autoSpaceDE w:val="0"/>
              <w:autoSpaceDN w:val="0"/>
              <w:adjustRightInd w:val="0"/>
              <w:jc w:val="both"/>
              <w:rPr>
                <w:sz w:val="22"/>
                <w:szCs w:val="22"/>
                <w:lang w:eastAsia="x-none"/>
              </w:rPr>
            </w:pPr>
            <w:r>
              <w:rPr>
                <w:sz w:val="22"/>
                <w:szCs w:val="22"/>
                <w:lang w:eastAsia="x-none"/>
              </w:rPr>
              <w:t>N</w:t>
            </w:r>
            <w:r w:rsidR="00707291" w:rsidRPr="00D21439">
              <w:rPr>
                <w:sz w:val="22"/>
                <w:szCs w:val="22"/>
                <w:lang w:eastAsia="x-none"/>
              </w:rPr>
              <w:t>utarim</w:t>
            </w:r>
            <w:r>
              <w:rPr>
                <w:sz w:val="22"/>
                <w:szCs w:val="22"/>
                <w:lang w:eastAsia="x-none"/>
              </w:rPr>
              <w:t>o projektu</w:t>
            </w:r>
            <w:r w:rsidR="00707291" w:rsidRPr="00D21439">
              <w:rPr>
                <w:sz w:val="22"/>
                <w:szCs w:val="22"/>
                <w:lang w:eastAsia="x-none"/>
              </w:rPr>
              <w:t xml:space="preserve">: </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 xml:space="preserve">2021–2027 metų Europos Sąjungos fondų investicijų programos (toliau – Investicijų programa) vadovaujančiąja institucija ir audito institucija paskiriama Finansų ministerija, o </w:t>
            </w:r>
            <w:r w:rsidRPr="00D21439">
              <w:rPr>
                <w:sz w:val="22"/>
                <w:szCs w:val="22"/>
                <w:lang w:eastAsia="x-none"/>
              </w:rPr>
              <w:lastRenderedPageBreak/>
              <w:t xml:space="preserve">Investicijų programos tarpinėmis institucijomis paskiriamos </w:t>
            </w:r>
            <w:r w:rsidR="00B87A6F">
              <w:rPr>
                <w:sz w:val="22"/>
                <w:szCs w:val="22"/>
                <w:lang w:eastAsia="x-none"/>
              </w:rPr>
              <w:t>V</w:t>
            </w:r>
            <w:r w:rsidRPr="00D21439">
              <w:rPr>
                <w:sz w:val="22"/>
                <w:szCs w:val="22"/>
                <w:lang w:eastAsia="x-none"/>
              </w:rPr>
              <w:t>idaus reikalų ministerija ir viešoji įstaiga Centrinė projektų valdymo agentūra (toliau – CPVA). Finansų ministerijai, kaip Investicijų programos vadovaujančiajai institucijai, pavedama ne vėliau kaip per 30 dienų nuo Investicijų programos patvirtinimo dienos patvirtinti Investicijų programos tarpinėms institucijo</w:t>
            </w:r>
            <w:r w:rsidR="00B87A6F">
              <w:rPr>
                <w:sz w:val="22"/>
                <w:szCs w:val="22"/>
                <w:lang w:eastAsia="x-none"/>
              </w:rPr>
              <w:t>m</w:t>
            </w:r>
            <w:r w:rsidRPr="00D21439">
              <w:rPr>
                <w:sz w:val="22"/>
                <w:szCs w:val="22"/>
                <w:lang w:eastAsia="x-none"/>
              </w:rPr>
              <w:t xml:space="preserve">s jos, kaip vadovaujančiosios institucijos, atsakomybe </w:t>
            </w:r>
            <w:r w:rsidR="00B87A6F">
              <w:rPr>
                <w:sz w:val="22"/>
                <w:szCs w:val="22"/>
                <w:lang w:eastAsia="x-none"/>
              </w:rPr>
              <w:t xml:space="preserve">priskiriamų </w:t>
            </w:r>
            <w:r w:rsidRPr="00D21439">
              <w:rPr>
                <w:sz w:val="22"/>
                <w:szCs w:val="22"/>
                <w:lang w:eastAsia="x-none"/>
              </w:rPr>
              <w:t xml:space="preserve">funkcijų </w:t>
            </w:r>
            <w:r w:rsidR="008A4BFF">
              <w:rPr>
                <w:sz w:val="22"/>
                <w:szCs w:val="22"/>
                <w:lang w:eastAsia="x-none"/>
              </w:rPr>
              <w:t>aprašą.</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2021–2027 m</w:t>
            </w:r>
            <w:r w:rsidR="008970D3">
              <w:rPr>
                <w:sz w:val="22"/>
                <w:szCs w:val="22"/>
                <w:lang w:eastAsia="x-none"/>
              </w:rPr>
              <w:t>etų</w:t>
            </w:r>
            <w:r w:rsidRPr="00D21439">
              <w:rPr>
                <w:sz w:val="22"/>
                <w:szCs w:val="22"/>
                <w:lang w:eastAsia="x-none"/>
              </w:rPr>
              <w:t xml:space="preserve"> materialinio nepritekliaus mažinimo programos Lietuvoje (toliau – Nepritekliaus mažinimo programa) vadovaujančiąja institucija ir audito institucija paskiriama Socialinės apsaugos ir darbo ministerija, Nepritekliaus mažinimo programos tarpine institucija paskiriama viešoji įstaiga Europos socialinio fondo agentūra</w:t>
            </w:r>
            <w:r w:rsidR="00BB1CD8" w:rsidRPr="00D21439">
              <w:rPr>
                <w:sz w:val="22"/>
                <w:szCs w:val="22"/>
                <w:lang w:eastAsia="x-none"/>
              </w:rPr>
              <w:t xml:space="preserve"> (toliau –ESFA)</w:t>
            </w:r>
            <w:r w:rsidRPr="00D21439">
              <w:rPr>
                <w:sz w:val="22"/>
                <w:szCs w:val="22"/>
                <w:lang w:eastAsia="x-none"/>
              </w:rPr>
              <w:t>. Socialinės apsaugos ir darbo ministerijai, kaip Nepritekliaus mažinimo programos vadovaujančiajai institucijai, pavedama ne vėliau kaip per 30 dienų nuo Nepritekliaus mažinimo programos patvirtinimo dienos patvirtinti Nepritekliaus mažinimo programos tarpinės institucijos funkcijų aprašą</w:t>
            </w:r>
            <w:r w:rsidR="008970D3">
              <w:rPr>
                <w:sz w:val="22"/>
                <w:szCs w:val="22"/>
                <w:lang w:eastAsia="x-none"/>
              </w:rPr>
              <w:t>.</w:t>
            </w:r>
          </w:p>
          <w:p w:rsidR="00707291"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Lietuvos žemės ūkio ir kaimo plėtros 2021–2027 m</w:t>
            </w:r>
            <w:r w:rsidR="008970D3">
              <w:rPr>
                <w:sz w:val="22"/>
                <w:szCs w:val="22"/>
                <w:lang w:eastAsia="x-none"/>
              </w:rPr>
              <w:t>etų</w:t>
            </w:r>
            <w:r w:rsidRPr="00D21439">
              <w:rPr>
                <w:sz w:val="22"/>
                <w:szCs w:val="22"/>
                <w:lang w:eastAsia="x-none"/>
              </w:rPr>
              <w:t xml:space="preserve"> strateginio plano (toliau – ŽŪKPP) vadovaujančiąja institucija ir audito institucija paskiriama Žemės ūkio ministerija, ŽŪKPP įgyvendinančiąja institucija paskiriama Nacionalinė mokėjimo agentūra</w:t>
            </w:r>
            <w:r w:rsidR="00BB1CD8" w:rsidRPr="00D21439">
              <w:rPr>
                <w:sz w:val="22"/>
                <w:szCs w:val="22"/>
                <w:lang w:eastAsia="x-none"/>
              </w:rPr>
              <w:t xml:space="preserve"> </w:t>
            </w:r>
            <w:r w:rsidR="000D1A2C">
              <w:rPr>
                <w:sz w:val="22"/>
                <w:szCs w:val="22"/>
                <w:lang w:eastAsia="x-none"/>
              </w:rPr>
              <w:t xml:space="preserve">prie Žemės ūkio ministerijos </w:t>
            </w:r>
            <w:r w:rsidR="00BB1CD8" w:rsidRPr="00D21439">
              <w:rPr>
                <w:sz w:val="22"/>
                <w:szCs w:val="22"/>
                <w:lang w:eastAsia="x-none"/>
              </w:rPr>
              <w:t>(toliau – NMA)</w:t>
            </w:r>
            <w:r w:rsidRPr="00D21439">
              <w:rPr>
                <w:sz w:val="22"/>
                <w:szCs w:val="22"/>
                <w:lang w:eastAsia="x-none"/>
              </w:rPr>
              <w:t>. Žemės ūkio ministerijai, kaip ŽŪKPP vadovaujančiajai institucijai, pavedama ne vėliau kaip per 30 dienų nuo ŽŪKPP patvirtinimo dienos patvirtinti ŽŪKPP įgyvendinančiosios institucijos funkcijų aprašą</w:t>
            </w:r>
            <w:r w:rsidR="008970D3">
              <w:rPr>
                <w:sz w:val="22"/>
                <w:szCs w:val="22"/>
                <w:lang w:eastAsia="x-none"/>
              </w:rPr>
              <w:t>.</w:t>
            </w:r>
          </w:p>
          <w:p w:rsidR="00BC2B98" w:rsidRPr="00D21439" w:rsidRDefault="00707291" w:rsidP="00A80EBB">
            <w:pPr>
              <w:pStyle w:val="Sraopastraipa"/>
              <w:numPr>
                <w:ilvl w:val="0"/>
                <w:numId w:val="3"/>
              </w:numPr>
              <w:tabs>
                <w:tab w:val="left" w:pos="513"/>
              </w:tabs>
              <w:ind w:left="0" w:firstLine="0"/>
              <w:contextualSpacing/>
              <w:jc w:val="both"/>
              <w:rPr>
                <w:sz w:val="22"/>
                <w:szCs w:val="22"/>
                <w:lang w:eastAsia="x-none"/>
              </w:rPr>
            </w:pPr>
            <w:r w:rsidRPr="00D21439">
              <w:rPr>
                <w:sz w:val="22"/>
                <w:szCs w:val="22"/>
                <w:lang w:eastAsia="x-none"/>
              </w:rPr>
              <w:t xml:space="preserve">Lietuvos žuvininkystės sektoriaus 2021–2027 metų veiksmų programos (toliau – Žuvininkystės programa) vadovaujančiąja institucija ir audito institucija paskiriama Žemės ūkio ministerija, Žuvininkystės programos tarpine institucija paskiriama </w:t>
            </w:r>
            <w:r w:rsidR="00BB1CD8" w:rsidRPr="00D21439">
              <w:rPr>
                <w:sz w:val="22"/>
                <w:szCs w:val="22"/>
                <w:lang w:eastAsia="x-none"/>
              </w:rPr>
              <w:t>NMA</w:t>
            </w:r>
            <w:r w:rsidRPr="00D21439">
              <w:rPr>
                <w:sz w:val="22"/>
                <w:szCs w:val="22"/>
                <w:lang w:eastAsia="x-none"/>
              </w:rPr>
              <w:t>. Žemės ūkio ministerijai, kaip Žuvininkystės programos vadovaujančiajai institucijai, pavedama ne vėliau kaip per 30 dienų nuo Žuvininkystės programos patvirtinimo dienos patvirtinti Žuvininkystės programos tarpinės institucijos funkcijų aprašą.</w:t>
            </w:r>
          </w:p>
        </w:tc>
        <w:tc>
          <w:tcPr>
            <w:tcW w:w="2693" w:type="dxa"/>
            <w:gridSpan w:val="2"/>
          </w:tcPr>
          <w:p w:rsidR="00BC2B98" w:rsidRPr="00D21439" w:rsidRDefault="00BC2B98" w:rsidP="00D021B7">
            <w:pPr>
              <w:jc w:val="both"/>
              <w:rPr>
                <w:b/>
                <w:bCs/>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D20B9F">
        <w:trPr>
          <w:gridAfter w:val="1"/>
          <w:wAfter w:w="426" w:type="dxa"/>
          <w:trHeight w:val="902"/>
        </w:trPr>
        <w:tc>
          <w:tcPr>
            <w:tcW w:w="545" w:type="dxa"/>
          </w:tcPr>
          <w:p w:rsidR="00BC2B98" w:rsidRPr="00D21439" w:rsidRDefault="00BC2B98" w:rsidP="00D94D16">
            <w:pPr>
              <w:keepNext/>
              <w:jc w:val="center"/>
              <w:rPr>
                <w:sz w:val="22"/>
                <w:szCs w:val="22"/>
              </w:rPr>
            </w:pPr>
            <w:r w:rsidRPr="00D21439">
              <w:rPr>
                <w:sz w:val="22"/>
                <w:szCs w:val="22"/>
              </w:rPr>
              <w:lastRenderedPageBreak/>
              <w:t>2.</w:t>
            </w:r>
          </w:p>
        </w:tc>
        <w:tc>
          <w:tcPr>
            <w:tcW w:w="3991" w:type="dxa"/>
            <w:gridSpan w:val="2"/>
          </w:tcPr>
          <w:p w:rsidR="00BC2B98" w:rsidRPr="00D21439" w:rsidRDefault="00BC2B98" w:rsidP="00D021B7">
            <w:pPr>
              <w:keepNext/>
              <w:jc w:val="both"/>
              <w:rPr>
                <w:sz w:val="22"/>
                <w:szCs w:val="22"/>
              </w:rPr>
            </w:pPr>
            <w:r w:rsidRPr="00D21439">
              <w:rPr>
                <w:sz w:val="22"/>
                <w:szCs w:val="22"/>
              </w:rPr>
              <w:t>Teisės akto projekte nėra spragų ar nuostatų, leisiančių dviprasmiškai aiškinti ir taikyti teisės aktą</w:t>
            </w:r>
          </w:p>
        </w:tc>
        <w:tc>
          <w:tcPr>
            <w:tcW w:w="4678" w:type="dxa"/>
            <w:gridSpan w:val="2"/>
          </w:tcPr>
          <w:p w:rsidR="00BC2B98" w:rsidRPr="00D21439" w:rsidRDefault="00912685" w:rsidP="00AF1EF6">
            <w:pPr>
              <w:tabs>
                <w:tab w:val="left" w:pos="10206"/>
              </w:tabs>
              <w:jc w:val="both"/>
              <w:rPr>
                <w:bCs/>
                <w:sz w:val="22"/>
                <w:szCs w:val="22"/>
              </w:rPr>
            </w:pPr>
            <w:r w:rsidRPr="00D21439">
              <w:rPr>
                <w:bCs/>
                <w:sz w:val="22"/>
                <w:szCs w:val="22"/>
              </w:rPr>
              <w:t>Nutarimo p</w:t>
            </w:r>
            <w:r w:rsidR="00BC2B98" w:rsidRPr="00D21439">
              <w:rPr>
                <w:bCs/>
                <w:sz w:val="22"/>
                <w:szCs w:val="22"/>
              </w:rPr>
              <w:t>rojekte nėra nuostatų ar spragų, kurios leistų dviprasmiškai aiškinti ir taikyti teisės aktą.</w:t>
            </w:r>
          </w:p>
          <w:p w:rsidR="00BC2B98" w:rsidRPr="00D21439" w:rsidRDefault="00A4465C" w:rsidP="00DB74FE">
            <w:pPr>
              <w:tabs>
                <w:tab w:val="left" w:pos="10206"/>
              </w:tabs>
              <w:jc w:val="both"/>
              <w:rPr>
                <w:bCs/>
                <w:sz w:val="22"/>
                <w:szCs w:val="22"/>
              </w:rPr>
            </w:pPr>
            <w:r w:rsidRPr="00D21439">
              <w:rPr>
                <w:bCs/>
                <w:sz w:val="22"/>
                <w:szCs w:val="22"/>
              </w:rPr>
              <w:t>Nutarimo projekte paskiriamos konkrečios įstaigos</w:t>
            </w:r>
            <w:r w:rsidR="000D1A2C">
              <w:rPr>
                <w:bCs/>
                <w:sz w:val="22"/>
                <w:szCs w:val="22"/>
              </w:rPr>
              <w:t xml:space="preserve"> ir institucijos</w:t>
            </w:r>
            <w:r w:rsidR="00DB74FE" w:rsidRPr="00D21439">
              <w:rPr>
                <w:bCs/>
                <w:sz w:val="22"/>
                <w:szCs w:val="22"/>
              </w:rPr>
              <w:t xml:space="preserve"> atitinkamoms programoms administruoti.</w:t>
            </w:r>
          </w:p>
        </w:tc>
        <w:tc>
          <w:tcPr>
            <w:tcW w:w="2693" w:type="dxa"/>
            <w:gridSpan w:val="2"/>
          </w:tcPr>
          <w:p w:rsidR="00BC2B98" w:rsidRPr="00D21439" w:rsidRDefault="00BC2B98" w:rsidP="00D021B7">
            <w:pPr>
              <w:keepNext/>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keepNext/>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3.</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678" w:type="dxa"/>
            <w:gridSpan w:val="2"/>
          </w:tcPr>
          <w:p w:rsidR="003938A2" w:rsidRPr="00D21439" w:rsidRDefault="003138AC" w:rsidP="0046300C">
            <w:pPr>
              <w:jc w:val="both"/>
              <w:rPr>
                <w:sz w:val="22"/>
                <w:szCs w:val="22"/>
              </w:rPr>
            </w:pPr>
            <w:r w:rsidRPr="00D21439">
              <w:rPr>
                <w:bCs/>
                <w:sz w:val="22"/>
                <w:szCs w:val="22"/>
              </w:rPr>
              <w:t>Nutarim</w:t>
            </w:r>
            <w:r w:rsidR="000D1A2C">
              <w:rPr>
                <w:bCs/>
                <w:sz w:val="22"/>
                <w:szCs w:val="22"/>
              </w:rPr>
              <w:t>o projekte</w:t>
            </w:r>
            <w:r w:rsidRPr="00D21439">
              <w:rPr>
                <w:bCs/>
                <w:sz w:val="22"/>
                <w:szCs w:val="22"/>
              </w:rPr>
              <w:t xml:space="preserve"> paskiriamos vadovaujančiosios institucijos: Investicijų programos </w:t>
            </w:r>
            <w:r w:rsidR="000414E8" w:rsidRPr="00D21439">
              <w:rPr>
                <w:bCs/>
                <w:sz w:val="22"/>
                <w:szCs w:val="22"/>
              </w:rPr>
              <w:t>–</w:t>
            </w:r>
            <w:r w:rsidRPr="00D21439">
              <w:rPr>
                <w:bCs/>
                <w:sz w:val="22"/>
                <w:szCs w:val="22"/>
              </w:rPr>
              <w:t xml:space="preserve"> Fi</w:t>
            </w:r>
            <w:r w:rsidR="000414E8" w:rsidRPr="00D21439">
              <w:rPr>
                <w:bCs/>
                <w:sz w:val="22"/>
                <w:szCs w:val="22"/>
              </w:rPr>
              <w:t>nansų ministerija</w:t>
            </w:r>
            <w:r w:rsidRPr="00D21439">
              <w:rPr>
                <w:bCs/>
                <w:sz w:val="22"/>
                <w:szCs w:val="22"/>
              </w:rPr>
              <w:t xml:space="preserve">, </w:t>
            </w:r>
            <w:r w:rsidR="000414E8" w:rsidRPr="00D21439">
              <w:rPr>
                <w:bCs/>
                <w:sz w:val="22"/>
                <w:szCs w:val="22"/>
              </w:rPr>
              <w:t xml:space="preserve">Nepritekliaus mažinimo programos </w:t>
            </w:r>
            <w:r w:rsidR="005C5E7E" w:rsidRPr="00D21439">
              <w:rPr>
                <w:bCs/>
                <w:sz w:val="22"/>
                <w:szCs w:val="22"/>
              </w:rPr>
              <w:t xml:space="preserve">– </w:t>
            </w:r>
            <w:r w:rsidRPr="00D21439">
              <w:rPr>
                <w:bCs/>
                <w:sz w:val="22"/>
                <w:szCs w:val="22"/>
              </w:rPr>
              <w:t>Socialinė</w:t>
            </w:r>
            <w:r w:rsidR="000414E8" w:rsidRPr="00D21439">
              <w:rPr>
                <w:bCs/>
                <w:sz w:val="22"/>
                <w:szCs w:val="22"/>
              </w:rPr>
              <w:t>s apsaugos ir darbo ministerija</w:t>
            </w:r>
            <w:r w:rsidRPr="00D21439">
              <w:rPr>
                <w:bCs/>
                <w:sz w:val="22"/>
                <w:szCs w:val="22"/>
              </w:rPr>
              <w:t xml:space="preserve">, </w:t>
            </w:r>
            <w:r w:rsidR="000414E8" w:rsidRPr="00D21439">
              <w:rPr>
                <w:bCs/>
                <w:sz w:val="22"/>
                <w:szCs w:val="22"/>
              </w:rPr>
              <w:t xml:space="preserve">Žuvininkystės programos – </w:t>
            </w:r>
            <w:r w:rsidRPr="00D21439">
              <w:rPr>
                <w:bCs/>
                <w:sz w:val="22"/>
                <w:szCs w:val="22"/>
              </w:rPr>
              <w:t>Ž</w:t>
            </w:r>
            <w:r w:rsidR="000414E8" w:rsidRPr="00D21439">
              <w:rPr>
                <w:bCs/>
                <w:sz w:val="22"/>
                <w:szCs w:val="22"/>
              </w:rPr>
              <w:t>emės ūkio ministerija</w:t>
            </w:r>
            <w:r w:rsidR="00DB74FE" w:rsidRPr="00D21439">
              <w:rPr>
                <w:bCs/>
                <w:sz w:val="22"/>
                <w:szCs w:val="22"/>
              </w:rPr>
              <w:t xml:space="preserve">, kurioms pavedama dalį jų atsakomybei priskirtų </w:t>
            </w:r>
            <w:r w:rsidR="0046300C" w:rsidRPr="00D21439">
              <w:rPr>
                <w:sz w:val="22"/>
                <w:szCs w:val="22"/>
              </w:rPr>
              <w:t>funkcijų pavesti</w:t>
            </w:r>
            <w:r w:rsidR="00133EBD" w:rsidRPr="00D21439">
              <w:rPr>
                <w:sz w:val="22"/>
                <w:szCs w:val="22"/>
              </w:rPr>
              <w:t xml:space="preserve"> </w:t>
            </w:r>
            <w:r w:rsidR="000414E8" w:rsidRPr="00D21439">
              <w:rPr>
                <w:sz w:val="22"/>
                <w:szCs w:val="22"/>
              </w:rPr>
              <w:t>tarpin</w:t>
            </w:r>
            <w:r w:rsidR="0046300C" w:rsidRPr="00D21439">
              <w:rPr>
                <w:sz w:val="22"/>
                <w:szCs w:val="22"/>
              </w:rPr>
              <w:t>ėms</w:t>
            </w:r>
            <w:r w:rsidR="00BE3258" w:rsidRPr="00D21439">
              <w:rPr>
                <w:sz w:val="22"/>
                <w:szCs w:val="22"/>
              </w:rPr>
              <w:t xml:space="preserve"> institucij</w:t>
            </w:r>
            <w:r w:rsidR="0046300C" w:rsidRPr="00D21439">
              <w:rPr>
                <w:sz w:val="22"/>
                <w:szCs w:val="22"/>
              </w:rPr>
              <w:t xml:space="preserve">oms. Šių funkcijų atlikimą užtikrina vadovaujančioji </w:t>
            </w:r>
            <w:r w:rsidR="00766B0B" w:rsidRPr="00D21439">
              <w:rPr>
                <w:sz w:val="22"/>
                <w:szCs w:val="22"/>
              </w:rPr>
              <w:t>institucija.</w:t>
            </w:r>
          </w:p>
          <w:p w:rsidR="00766B0B" w:rsidRPr="00D21439" w:rsidRDefault="00766B0B" w:rsidP="008970D3">
            <w:pPr>
              <w:jc w:val="both"/>
              <w:rPr>
                <w:sz w:val="22"/>
                <w:szCs w:val="22"/>
              </w:rPr>
            </w:pPr>
            <w:r w:rsidRPr="00D21439">
              <w:rPr>
                <w:sz w:val="22"/>
                <w:szCs w:val="22"/>
              </w:rPr>
              <w:t>Nutarim</w:t>
            </w:r>
            <w:r w:rsidR="008970D3">
              <w:rPr>
                <w:sz w:val="22"/>
                <w:szCs w:val="22"/>
              </w:rPr>
              <w:t>o projekte</w:t>
            </w:r>
            <w:r w:rsidRPr="00D21439">
              <w:rPr>
                <w:sz w:val="22"/>
                <w:szCs w:val="22"/>
              </w:rPr>
              <w:t xml:space="preserve"> taip pat paskiriama </w:t>
            </w:r>
            <w:r w:rsidRPr="00D21439">
              <w:rPr>
                <w:bCs/>
                <w:sz w:val="22"/>
                <w:szCs w:val="22"/>
              </w:rPr>
              <w:t>ŽŪKPP įgyvendinančioji institucija – N</w:t>
            </w:r>
            <w:r w:rsidR="005C5E7E">
              <w:rPr>
                <w:bCs/>
                <w:sz w:val="22"/>
                <w:szCs w:val="22"/>
              </w:rPr>
              <w:t>MA</w:t>
            </w:r>
            <w:r w:rsidR="00333209" w:rsidRPr="00D21439">
              <w:rPr>
                <w:bCs/>
                <w:sz w:val="22"/>
                <w:szCs w:val="22"/>
              </w:rPr>
              <w:t>, kurios</w:t>
            </w:r>
            <w:r w:rsidR="00D34B42" w:rsidRPr="00D21439">
              <w:rPr>
                <w:bCs/>
                <w:sz w:val="22"/>
                <w:szCs w:val="22"/>
              </w:rPr>
              <w:t xml:space="preserve"> atliekamų funkcijų aprašą </w:t>
            </w:r>
            <w:r w:rsidR="00333209" w:rsidRPr="00D21439">
              <w:rPr>
                <w:bCs/>
                <w:sz w:val="22"/>
                <w:szCs w:val="22"/>
              </w:rPr>
              <w:t>tvirtina Žemės ūkio ministerija (ŽŪKPP vadovaujančioji institucija)</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459"/>
        </w:trPr>
        <w:tc>
          <w:tcPr>
            <w:tcW w:w="545" w:type="dxa"/>
          </w:tcPr>
          <w:p w:rsidR="00BC2B98" w:rsidRPr="00D21439" w:rsidRDefault="00BC2B98" w:rsidP="00D94D16">
            <w:pPr>
              <w:tabs>
                <w:tab w:val="center" w:pos="246"/>
              </w:tabs>
              <w:jc w:val="center"/>
              <w:rPr>
                <w:sz w:val="22"/>
                <w:szCs w:val="22"/>
              </w:rPr>
            </w:pPr>
            <w:r w:rsidRPr="00D21439">
              <w:rPr>
                <w:sz w:val="22"/>
                <w:szCs w:val="22"/>
              </w:rPr>
              <w:t>4.</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nustatyti subjekto įgaliojimai (teisės) atitinka subjekto atliekamas funkcijas (pareigas)</w:t>
            </w:r>
          </w:p>
        </w:tc>
        <w:tc>
          <w:tcPr>
            <w:tcW w:w="4678" w:type="dxa"/>
            <w:gridSpan w:val="2"/>
          </w:tcPr>
          <w:p w:rsidR="005A5A02" w:rsidRPr="00D21439" w:rsidRDefault="00711316" w:rsidP="00711316">
            <w:pPr>
              <w:jc w:val="both"/>
              <w:rPr>
                <w:sz w:val="22"/>
                <w:szCs w:val="22"/>
              </w:rPr>
            </w:pPr>
            <w:r w:rsidRPr="00D21439">
              <w:rPr>
                <w:bCs/>
                <w:sz w:val="22"/>
                <w:szCs w:val="22"/>
              </w:rPr>
              <w:t xml:space="preserve">Nutarimo projekte </w:t>
            </w:r>
            <w:r w:rsidRPr="00D21439">
              <w:rPr>
                <w:sz w:val="22"/>
                <w:szCs w:val="22"/>
              </w:rPr>
              <w:t>nustatyti subjekto įgaliojimai (teisės) atitinka subjekto atliekamas funkcijas (pareigas)</w:t>
            </w:r>
            <w:r w:rsidR="005A5A02" w:rsidRPr="00D21439">
              <w:rPr>
                <w:sz w:val="22"/>
                <w:szCs w:val="22"/>
              </w:rPr>
              <w:t>.</w:t>
            </w:r>
          </w:p>
          <w:p w:rsidR="005A5A02" w:rsidRPr="00D21439" w:rsidRDefault="005A5A02" w:rsidP="00711316">
            <w:pPr>
              <w:jc w:val="both"/>
              <w:rPr>
                <w:sz w:val="22"/>
                <w:szCs w:val="22"/>
              </w:rPr>
            </w:pPr>
            <w:r w:rsidRPr="00D21439">
              <w:rPr>
                <w:bCs/>
                <w:sz w:val="22"/>
                <w:szCs w:val="22"/>
              </w:rPr>
              <w:t>Nutarimo projekte paskiriamos konkrečios įstaigos atitinkamoms programoms administruoti:</w:t>
            </w:r>
          </w:p>
          <w:p w:rsidR="0024050A" w:rsidRPr="00D21439" w:rsidRDefault="005A5A02" w:rsidP="0024050A">
            <w:pPr>
              <w:jc w:val="both"/>
              <w:rPr>
                <w:bCs/>
                <w:sz w:val="22"/>
                <w:szCs w:val="22"/>
              </w:rPr>
            </w:pPr>
            <w:r w:rsidRPr="00D21439">
              <w:rPr>
                <w:sz w:val="22"/>
                <w:szCs w:val="22"/>
              </w:rPr>
              <w:t xml:space="preserve">1. </w:t>
            </w:r>
            <w:r w:rsidR="00B749E9" w:rsidRPr="00D21439">
              <w:rPr>
                <w:bCs/>
                <w:sz w:val="22"/>
                <w:szCs w:val="22"/>
              </w:rPr>
              <w:t>v</w:t>
            </w:r>
            <w:r w:rsidR="00486457" w:rsidRPr="00D21439">
              <w:rPr>
                <w:bCs/>
                <w:sz w:val="22"/>
                <w:szCs w:val="22"/>
              </w:rPr>
              <w:t>adovaujančio</w:t>
            </w:r>
            <w:r w:rsidR="00E55D84" w:rsidRPr="00D21439">
              <w:rPr>
                <w:bCs/>
                <w:sz w:val="22"/>
                <w:szCs w:val="22"/>
              </w:rPr>
              <w:t xml:space="preserve">s </w:t>
            </w:r>
            <w:r w:rsidR="00486457" w:rsidRPr="00D21439">
              <w:rPr>
                <w:bCs/>
                <w:sz w:val="22"/>
                <w:szCs w:val="22"/>
              </w:rPr>
              <w:t>ir audito institucijo</w:t>
            </w:r>
            <w:r w:rsidR="00E55D84" w:rsidRPr="00D21439">
              <w:rPr>
                <w:bCs/>
                <w:sz w:val="22"/>
                <w:szCs w:val="22"/>
              </w:rPr>
              <w:t xml:space="preserve">s </w:t>
            </w:r>
            <w:r w:rsidR="008970D3">
              <w:rPr>
                <w:bCs/>
                <w:sz w:val="22"/>
                <w:szCs w:val="22"/>
              </w:rPr>
              <w:t>–</w:t>
            </w:r>
            <w:r w:rsidR="00486457" w:rsidRPr="00D21439">
              <w:rPr>
                <w:bCs/>
                <w:sz w:val="22"/>
                <w:szCs w:val="22"/>
              </w:rPr>
              <w:t xml:space="preserve"> Finansų ministerija (</w:t>
            </w:r>
            <w:r w:rsidR="00E55D84" w:rsidRPr="00D21439">
              <w:rPr>
                <w:bCs/>
                <w:sz w:val="22"/>
                <w:szCs w:val="22"/>
              </w:rPr>
              <w:t xml:space="preserve">Investicijų </w:t>
            </w:r>
            <w:r w:rsidR="00486457" w:rsidRPr="00D21439">
              <w:rPr>
                <w:bCs/>
                <w:sz w:val="22"/>
                <w:szCs w:val="22"/>
              </w:rPr>
              <w:t>programos)</w:t>
            </w:r>
            <w:r w:rsidR="00CC3677" w:rsidRPr="00D21439">
              <w:rPr>
                <w:bCs/>
                <w:sz w:val="22"/>
                <w:szCs w:val="22"/>
              </w:rPr>
              <w:t>, Socialinė</w:t>
            </w:r>
            <w:r w:rsidR="0024050A" w:rsidRPr="00D21439">
              <w:rPr>
                <w:bCs/>
                <w:sz w:val="22"/>
                <w:szCs w:val="22"/>
              </w:rPr>
              <w:t>s apsaugos ir darbo ministerija</w:t>
            </w:r>
            <w:r w:rsidR="00CC3677" w:rsidRPr="00D21439">
              <w:rPr>
                <w:bCs/>
                <w:sz w:val="22"/>
                <w:szCs w:val="22"/>
              </w:rPr>
              <w:t xml:space="preserve"> </w:t>
            </w:r>
            <w:r w:rsidR="0024050A" w:rsidRPr="00D21439">
              <w:rPr>
                <w:bCs/>
                <w:sz w:val="22"/>
                <w:szCs w:val="22"/>
              </w:rPr>
              <w:t xml:space="preserve">(Nepritekliaus mažinimo programos), Žemės ūkio ministerija (ŽŪKPP ir </w:t>
            </w:r>
            <w:r w:rsidR="00CC3677" w:rsidRPr="00D21439">
              <w:rPr>
                <w:bCs/>
                <w:sz w:val="22"/>
                <w:szCs w:val="22"/>
              </w:rPr>
              <w:t>Žuvininkystės programos)</w:t>
            </w:r>
            <w:r w:rsidR="0024050A" w:rsidRPr="00D21439">
              <w:rPr>
                <w:bCs/>
                <w:sz w:val="22"/>
                <w:szCs w:val="22"/>
              </w:rPr>
              <w:t>;</w:t>
            </w:r>
          </w:p>
          <w:p w:rsidR="00E55D84" w:rsidRPr="00D21439" w:rsidRDefault="0024050A" w:rsidP="004E5DFB">
            <w:pPr>
              <w:jc w:val="both"/>
              <w:rPr>
                <w:bCs/>
                <w:sz w:val="22"/>
                <w:szCs w:val="22"/>
              </w:rPr>
            </w:pPr>
            <w:r w:rsidRPr="00D21439">
              <w:rPr>
                <w:bCs/>
                <w:sz w:val="22"/>
                <w:szCs w:val="22"/>
                <w:lang w:val="en-US"/>
              </w:rPr>
              <w:t>2.</w:t>
            </w:r>
            <w:r w:rsidR="005C5E7E">
              <w:rPr>
                <w:bCs/>
                <w:sz w:val="22"/>
                <w:szCs w:val="22"/>
              </w:rPr>
              <w:t xml:space="preserve"> </w:t>
            </w:r>
            <w:r w:rsidR="004E5DFB" w:rsidRPr="00D21439">
              <w:rPr>
                <w:bCs/>
                <w:sz w:val="22"/>
                <w:szCs w:val="22"/>
              </w:rPr>
              <w:t>tarpinės institucijo</w:t>
            </w:r>
            <w:r w:rsidR="00CC3677" w:rsidRPr="00D21439">
              <w:rPr>
                <w:bCs/>
                <w:sz w:val="22"/>
                <w:szCs w:val="22"/>
              </w:rPr>
              <w:t xml:space="preserve">s </w:t>
            </w:r>
            <w:r w:rsidR="004E5DFB" w:rsidRPr="00D21439">
              <w:rPr>
                <w:bCs/>
                <w:sz w:val="22"/>
                <w:szCs w:val="22"/>
              </w:rPr>
              <w:t>– CPVA (Investicijų programos), ESFA (Nepritekliaus mažinimo programos), NMA (Žuvininkystės programos)</w:t>
            </w:r>
            <w:r w:rsidR="008970D3">
              <w:rPr>
                <w:bCs/>
                <w:sz w:val="22"/>
                <w:szCs w:val="22"/>
              </w:rPr>
              <w:t>;</w:t>
            </w:r>
          </w:p>
          <w:p w:rsidR="004E5DFB" w:rsidRPr="00D21439" w:rsidRDefault="004E5DFB" w:rsidP="000D1A2C">
            <w:pPr>
              <w:jc w:val="both"/>
              <w:rPr>
                <w:bCs/>
                <w:sz w:val="22"/>
                <w:szCs w:val="22"/>
              </w:rPr>
            </w:pPr>
            <w:r w:rsidRPr="00D21439">
              <w:rPr>
                <w:bCs/>
                <w:sz w:val="22"/>
                <w:szCs w:val="22"/>
              </w:rPr>
              <w:t xml:space="preserve">3. </w:t>
            </w:r>
            <w:r w:rsidR="000D1A2C">
              <w:rPr>
                <w:bCs/>
                <w:sz w:val="22"/>
                <w:szCs w:val="22"/>
              </w:rPr>
              <w:t>įgyvendinančioji</w:t>
            </w:r>
            <w:r w:rsidR="000D1A2C" w:rsidRPr="00D21439">
              <w:rPr>
                <w:bCs/>
                <w:sz w:val="22"/>
                <w:szCs w:val="22"/>
              </w:rPr>
              <w:t xml:space="preserve"> </w:t>
            </w:r>
            <w:r w:rsidRPr="00D21439">
              <w:rPr>
                <w:bCs/>
                <w:sz w:val="22"/>
                <w:szCs w:val="22"/>
              </w:rPr>
              <w:t>institucija – NMA (ŽŪKPP).</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5.</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nustatytas baigtinis sprendimo priėmimo kriterijų (atvejų) sąrašas</w:t>
            </w:r>
          </w:p>
        </w:tc>
        <w:tc>
          <w:tcPr>
            <w:tcW w:w="4678" w:type="dxa"/>
            <w:gridSpan w:val="2"/>
          </w:tcPr>
          <w:p w:rsidR="00D5128C" w:rsidRPr="00D21439" w:rsidRDefault="00BC2B98" w:rsidP="001063F0">
            <w:pPr>
              <w:jc w:val="both"/>
              <w:rPr>
                <w:color w:val="FF0000"/>
                <w:sz w:val="22"/>
                <w:szCs w:val="22"/>
              </w:rPr>
            </w:pPr>
            <w:r w:rsidRPr="00D21439">
              <w:rPr>
                <w:bCs/>
                <w:sz w:val="22"/>
                <w:szCs w:val="22"/>
              </w:rPr>
              <w:t>Netaikoma. Nutarimo projekt</w:t>
            </w:r>
            <w:r w:rsidR="001063F0" w:rsidRPr="00D21439">
              <w:rPr>
                <w:bCs/>
                <w:sz w:val="22"/>
                <w:szCs w:val="22"/>
              </w:rPr>
              <w:t>e nenustatomi su šiuo klausimu susiję reikalavimai.</w:t>
            </w:r>
          </w:p>
        </w:tc>
        <w:tc>
          <w:tcPr>
            <w:tcW w:w="2693" w:type="dxa"/>
            <w:gridSpan w:val="2"/>
          </w:tcPr>
          <w:p w:rsidR="00BC2B98" w:rsidRPr="00D21439" w:rsidRDefault="00BC2B98" w:rsidP="00D021B7">
            <w:pPr>
              <w:pStyle w:val="Sraopastraipa"/>
              <w:widowControl w:val="0"/>
              <w:tabs>
                <w:tab w:val="left" w:pos="1276"/>
                <w:tab w:val="left" w:pos="1418"/>
              </w:tabs>
              <w:ind w:left="0"/>
              <w:contextualSpacing/>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6.</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nustatytas baigtinis sąrašas motyvuotų atvejų, kai priimant sprendimus taikomos išimtys</w:t>
            </w:r>
          </w:p>
        </w:tc>
        <w:tc>
          <w:tcPr>
            <w:tcW w:w="4678" w:type="dxa"/>
            <w:gridSpan w:val="2"/>
          </w:tcPr>
          <w:p w:rsidR="009C0E4C" w:rsidRPr="00D21439" w:rsidRDefault="001063F0" w:rsidP="00D5128C">
            <w:pPr>
              <w:jc w:val="both"/>
              <w:rPr>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7.</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sprendimų priėmimo, įforminimo tvarka ir priimtų sprendimų viešinimas</w:t>
            </w:r>
          </w:p>
        </w:tc>
        <w:tc>
          <w:tcPr>
            <w:tcW w:w="4678" w:type="dxa"/>
            <w:gridSpan w:val="2"/>
          </w:tcPr>
          <w:p w:rsidR="00D5128C" w:rsidRPr="00D21439" w:rsidRDefault="001063F0" w:rsidP="0057462A">
            <w:pPr>
              <w:jc w:val="both"/>
              <w:rPr>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8.</w:t>
            </w:r>
          </w:p>
        </w:tc>
        <w:tc>
          <w:tcPr>
            <w:tcW w:w="3991" w:type="dxa"/>
            <w:gridSpan w:val="2"/>
          </w:tcPr>
          <w:p w:rsidR="00BC2B98" w:rsidRPr="00D21439" w:rsidRDefault="00BC2B98" w:rsidP="00D021B7">
            <w:pPr>
              <w:jc w:val="both"/>
              <w:rPr>
                <w:sz w:val="22"/>
                <w:szCs w:val="22"/>
              </w:rPr>
            </w:pPr>
            <w:r w:rsidRPr="00D21439">
              <w:rPr>
                <w:sz w:val="22"/>
                <w:szCs w:val="22"/>
              </w:rPr>
              <w:t>Teisės akto projekte nustatyta sprendimų dėl mažareikšmiškumo priėmimo tvarka</w:t>
            </w:r>
          </w:p>
        </w:tc>
        <w:tc>
          <w:tcPr>
            <w:tcW w:w="4678" w:type="dxa"/>
            <w:gridSpan w:val="2"/>
          </w:tcPr>
          <w:p w:rsidR="00D5128C" w:rsidRPr="00D21439" w:rsidRDefault="00596993" w:rsidP="0057462A">
            <w:pPr>
              <w:jc w:val="both"/>
              <w:rPr>
                <w:b/>
                <w:bCs/>
                <w:sz w:val="22"/>
                <w:szCs w:val="22"/>
              </w:rPr>
            </w:pPr>
            <w:r w:rsidRPr="00D21439">
              <w:rPr>
                <w:bCs/>
                <w:sz w:val="22"/>
                <w:szCs w:val="22"/>
              </w:rPr>
              <w:t>Netaikoma. Nutarimo projekte nenustatomi su šiuo klausimu susiję reikalavimai.</w:t>
            </w:r>
          </w:p>
        </w:tc>
        <w:tc>
          <w:tcPr>
            <w:tcW w:w="2693" w:type="dxa"/>
            <w:gridSpan w:val="2"/>
          </w:tcPr>
          <w:p w:rsidR="00BC2B98" w:rsidRPr="00D21439" w:rsidRDefault="00BC2B98" w:rsidP="00D021B7">
            <w:pPr>
              <w:jc w:val="both"/>
              <w:rPr>
                <w:b/>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9.</w:t>
            </w:r>
          </w:p>
        </w:tc>
        <w:tc>
          <w:tcPr>
            <w:tcW w:w="3991" w:type="dxa"/>
            <w:gridSpan w:val="2"/>
          </w:tcPr>
          <w:p w:rsidR="00BC2B98" w:rsidRPr="00D21439" w:rsidRDefault="00BC2B98" w:rsidP="00D021B7">
            <w:pPr>
              <w:jc w:val="both"/>
              <w:rPr>
                <w:sz w:val="22"/>
                <w:szCs w:val="22"/>
              </w:rPr>
            </w:pPr>
            <w:r w:rsidRPr="00D21439">
              <w:rPr>
                <w:sz w:val="22"/>
                <w:szCs w:val="22"/>
              </w:rPr>
              <w:t>Jeigu pagal numatomą reguliavimą sprendimus priima kolegialus subjektas, teisės akto projekte nustatyta kolegialaus sprendimus priimančio subjekto:</w:t>
            </w:r>
          </w:p>
          <w:p w:rsidR="00BC2B98" w:rsidRPr="00D21439" w:rsidRDefault="00BC2B98" w:rsidP="00D021B7">
            <w:pPr>
              <w:pStyle w:val="Sraopastraipa"/>
              <w:ind w:left="33"/>
              <w:jc w:val="both"/>
              <w:rPr>
                <w:sz w:val="22"/>
                <w:szCs w:val="22"/>
              </w:rPr>
            </w:pPr>
            <w:r w:rsidRPr="00D21439">
              <w:rPr>
                <w:sz w:val="22"/>
                <w:szCs w:val="22"/>
              </w:rPr>
              <w:t>9.1. konkretus narių skaičius, užtikrinantis kolegialaus sprendimus priimančio subjekto veiklos objektyvumą;</w:t>
            </w:r>
          </w:p>
          <w:p w:rsidR="00BC2B98" w:rsidRPr="00D21439" w:rsidRDefault="00BC2B98" w:rsidP="00D021B7">
            <w:pPr>
              <w:pStyle w:val="Sraopastraipa"/>
              <w:ind w:left="33"/>
              <w:jc w:val="both"/>
              <w:rPr>
                <w:sz w:val="22"/>
                <w:szCs w:val="22"/>
              </w:rPr>
            </w:pPr>
            <w:r w:rsidRPr="00D21439">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BC2B98" w:rsidRPr="00D21439" w:rsidRDefault="00BC2B98" w:rsidP="00D021B7">
            <w:pPr>
              <w:jc w:val="both"/>
              <w:rPr>
                <w:sz w:val="22"/>
                <w:szCs w:val="22"/>
              </w:rPr>
            </w:pPr>
            <w:r w:rsidRPr="00D21439">
              <w:rPr>
                <w:sz w:val="22"/>
                <w:szCs w:val="22"/>
              </w:rPr>
              <w:t>9.3</w:t>
            </w:r>
            <w:r w:rsidRPr="00D21439">
              <w:rPr>
                <w:spacing w:val="-4"/>
                <w:sz w:val="22"/>
                <w:szCs w:val="22"/>
              </w:rPr>
              <w:t>. narių skyrimo mechanizmas;</w:t>
            </w:r>
          </w:p>
          <w:p w:rsidR="00BC2B98" w:rsidRPr="00D21439" w:rsidRDefault="00BC2B98" w:rsidP="00D021B7">
            <w:pPr>
              <w:jc w:val="both"/>
              <w:rPr>
                <w:sz w:val="22"/>
                <w:szCs w:val="22"/>
              </w:rPr>
            </w:pPr>
            <w:r w:rsidRPr="00D21439">
              <w:rPr>
                <w:sz w:val="22"/>
                <w:szCs w:val="22"/>
              </w:rPr>
              <w:t>9.4. narių rotacija ir kadencijų skaičius ir trukmė;</w:t>
            </w:r>
          </w:p>
          <w:p w:rsidR="00BC2B98" w:rsidRPr="00D21439" w:rsidRDefault="00BC2B98" w:rsidP="00D021B7">
            <w:pPr>
              <w:pStyle w:val="Sraopastraipa"/>
              <w:ind w:left="0"/>
              <w:jc w:val="both"/>
              <w:rPr>
                <w:sz w:val="22"/>
                <w:szCs w:val="22"/>
              </w:rPr>
            </w:pPr>
            <w:r w:rsidRPr="00D21439">
              <w:rPr>
                <w:sz w:val="22"/>
                <w:szCs w:val="22"/>
              </w:rPr>
              <w:t xml:space="preserve">9.5. veiklos pobūdis laiko </w:t>
            </w:r>
            <w:proofErr w:type="gramStart"/>
            <w:r w:rsidRPr="00D21439">
              <w:rPr>
                <w:sz w:val="22"/>
                <w:szCs w:val="22"/>
              </w:rPr>
              <w:t>atžvilgiu</w:t>
            </w:r>
            <w:proofErr w:type="gramEnd"/>
            <w:r w:rsidRPr="00D21439">
              <w:rPr>
                <w:sz w:val="22"/>
                <w:szCs w:val="22"/>
              </w:rPr>
              <w:t>;</w:t>
            </w:r>
          </w:p>
          <w:p w:rsidR="00784943" w:rsidRPr="00D21439" w:rsidRDefault="00BC2B98" w:rsidP="0057462A">
            <w:pPr>
              <w:jc w:val="both"/>
              <w:rPr>
                <w:sz w:val="22"/>
                <w:szCs w:val="22"/>
              </w:rPr>
            </w:pPr>
            <w:r w:rsidRPr="00D21439">
              <w:rPr>
                <w:sz w:val="22"/>
                <w:szCs w:val="22"/>
              </w:rPr>
              <w:t>9.6. individuali narių atsakomybė</w:t>
            </w:r>
          </w:p>
        </w:tc>
        <w:tc>
          <w:tcPr>
            <w:tcW w:w="4678" w:type="dxa"/>
            <w:gridSpan w:val="2"/>
          </w:tcPr>
          <w:p w:rsidR="00BC2B98" w:rsidRPr="00D21439" w:rsidRDefault="003F2C93" w:rsidP="003F2C93">
            <w:pPr>
              <w:tabs>
                <w:tab w:val="left" w:pos="1027"/>
                <w:tab w:val="left" w:pos="10206"/>
              </w:tabs>
              <w:jc w:val="both"/>
              <w:rPr>
                <w:i/>
                <w:iCs/>
                <w:sz w:val="22"/>
                <w:szCs w:val="22"/>
              </w:rPr>
            </w:pPr>
            <w:r w:rsidRPr="00D21439">
              <w:rPr>
                <w:bCs/>
                <w:sz w:val="22"/>
                <w:szCs w:val="22"/>
              </w:rPr>
              <w:t>Netaikoma</w:t>
            </w:r>
            <w:r w:rsidR="008970D3">
              <w:rPr>
                <w:bCs/>
                <w:sz w:val="22"/>
                <w:szCs w:val="22"/>
              </w:rPr>
              <w:t>.</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10.</w:t>
            </w:r>
          </w:p>
        </w:tc>
        <w:tc>
          <w:tcPr>
            <w:tcW w:w="3991" w:type="dxa"/>
            <w:gridSpan w:val="2"/>
          </w:tcPr>
          <w:p w:rsidR="00BC2B98" w:rsidRPr="00D21439" w:rsidRDefault="00BC2B98" w:rsidP="00D021B7">
            <w:pPr>
              <w:jc w:val="both"/>
              <w:rPr>
                <w:sz w:val="22"/>
                <w:szCs w:val="22"/>
              </w:rPr>
            </w:pPr>
            <w:r w:rsidRPr="00D21439">
              <w:rPr>
                <w:sz w:val="22"/>
                <w:szCs w:val="22"/>
              </w:rPr>
              <w:t xml:space="preserve">Teisės akto projekto nuostatoms įgyvendinti numatytos administracinės procedūros yra </w:t>
            </w:r>
            <w:r w:rsidRPr="00D21439">
              <w:rPr>
                <w:color w:val="000000"/>
                <w:sz w:val="22"/>
                <w:szCs w:val="22"/>
                <w:shd w:val="clear" w:color="auto" w:fill="FFFFFF"/>
              </w:rPr>
              <w:t>būtinos</w:t>
            </w:r>
            <w:r w:rsidRPr="00D21439">
              <w:rPr>
                <w:sz w:val="22"/>
                <w:szCs w:val="22"/>
                <w:shd w:val="clear" w:color="auto" w:fill="FFFFFF"/>
              </w:rPr>
              <w:t>,</w:t>
            </w:r>
            <w:r w:rsidRPr="00D21439">
              <w:rPr>
                <w:sz w:val="22"/>
                <w:szCs w:val="22"/>
              </w:rPr>
              <w:t xml:space="preserve"> nustatyta išsami jų taikymo tvarka </w:t>
            </w:r>
          </w:p>
        </w:tc>
        <w:tc>
          <w:tcPr>
            <w:tcW w:w="4678" w:type="dxa"/>
            <w:gridSpan w:val="2"/>
          </w:tcPr>
          <w:p w:rsidR="004E19FD" w:rsidRPr="00D21439" w:rsidRDefault="004E19FD" w:rsidP="00D021B7">
            <w:pPr>
              <w:jc w:val="both"/>
              <w:rPr>
                <w:bCs/>
                <w:sz w:val="22"/>
                <w:szCs w:val="22"/>
              </w:rPr>
            </w:pPr>
            <w:r w:rsidRPr="00D21439">
              <w:rPr>
                <w:sz w:val="22"/>
                <w:szCs w:val="22"/>
              </w:rPr>
              <w:t xml:space="preserve">Netaikoma. </w:t>
            </w:r>
            <w:r w:rsidR="00EC7249" w:rsidRPr="00D21439">
              <w:rPr>
                <w:bCs/>
                <w:sz w:val="22"/>
                <w:szCs w:val="22"/>
              </w:rPr>
              <w:t>Nutarimo projekte nenustatomi su šiuo klausimu susiję reikalavimai.</w:t>
            </w:r>
          </w:p>
          <w:p w:rsidR="00D5128C" w:rsidRPr="00D21439" w:rsidRDefault="00D5128C" w:rsidP="00D5128C">
            <w:pPr>
              <w:jc w:val="both"/>
              <w:rPr>
                <w:sz w:val="22"/>
                <w:szCs w:val="22"/>
              </w:rPr>
            </w:pP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keepNext/>
              <w:jc w:val="center"/>
              <w:rPr>
                <w:sz w:val="22"/>
                <w:szCs w:val="22"/>
              </w:rPr>
            </w:pPr>
            <w:r w:rsidRPr="00D21439">
              <w:rPr>
                <w:sz w:val="22"/>
                <w:szCs w:val="22"/>
              </w:rPr>
              <w:t>11.</w:t>
            </w:r>
          </w:p>
        </w:tc>
        <w:tc>
          <w:tcPr>
            <w:tcW w:w="3991" w:type="dxa"/>
            <w:gridSpan w:val="2"/>
          </w:tcPr>
          <w:p w:rsidR="00D20B9F" w:rsidRPr="00D21439" w:rsidRDefault="00BC2B98" w:rsidP="0057462A">
            <w:pPr>
              <w:keepNext/>
              <w:jc w:val="both"/>
              <w:rPr>
                <w:sz w:val="22"/>
                <w:szCs w:val="22"/>
              </w:rPr>
            </w:pPr>
            <w:r w:rsidRPr="00D21439">
              <w:rPr>
                <w:sz w:val="22"/>
                <w:szCs w:val="22"/>
              </w:rPr>
              <w:t>Teisės akto projekte nustatytas baigtinis sąrašas motyvuotų atvejų, kai administracinė procedūra netaikoma</w:t>
            </w:r>
          </w:p>
        </w:tc>
        <w:tc>
          <w:tcPr>
            <w:tcW w:w="4678" w:type="dxa"/>
            <w:gridSpan w:val="2"/>
          </w:tcPr>
          <w:p w:rsidR="004E19FD" w:rsidRPr="00D21439" w:rsidRDefault="004E19FD" w:rsidP="008610B2">
            <w:pPr>
              <w:jc w:val="both"/>
              <w:rPr>
                <w:bCs/>
                <w:sz w:val="22"/>
                <w:szCs w:val="22"/>
              </w:rPr>
            </w:pPr>
            <w:r w:rsidRPr="00D21439">
              <w:rPr>
                <w:sz w:val="22"/>
                <w:szCs w:val="22"/>
              </w:rPr>
              <w:t xml:space="preserve">Netaikoma. </w:t>
            </w:r>
            <w:r w:rsidR="00EC7249" w:rsidRPr="00D21439">
              <w:rPr>
                <w:bCs/>
                <w:sz w:val="22"/>
                <w:szCs w:val="22"/>
              </w:rPr>
              <w:t>Nutarimo projekte nenustatomi su šiuo klausimu susiję reikalavimai.</w:t>
            </w:r>
          </w:p>
        </w:tc>
        <w:tc>
          <w:tcPr>
            <w:tcW w:w="2693" w:type="dxa"/>
            <w:gridSpan w:val="2"/>
          </w:tcPr>
          <w:p w:rsidR="00BC2B98" w:rsidRPr="00D21439" w:rsidRDefault="00BC2B98" w:rsidP="00D021B7">
            <w:pPr>
              <w:keepNext/>
              <w:jc w:val="both"/>
              <w:rPr>
                <w:sz w:val="22"/>
                <w:szCs w:val="22"/>
              </w:rPr>
            </w:pPr>
          </w:p>
        </w:tc>
        <w:tc>
          <w:tcPr>
            <w:tcW w:w="2835" w:type="dxa"/>
          </w:tcPr>
          <w:p w:rsidR="00BC2B98" w:rsidRPr="00D21439" w:rsidRDefault="00BC2B98" w:rsidP="00D021B7">
            <w:pPr>
              <w:jc w:val="both"/>
              <w:rPr>
                <w:sz w:val="22"/>
                <w:szCs w:val="22"/>
              </w:rPr>
            </w:pPr>
            <w:r w:rsidRPr="00D21439">
              <w:rPr>
                <w:sz w:val="22"/>
                <w:szCs w:val="22"/>
              </w:rPr>
              <w:t>x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12.</w:t>
            </w:r>
          </w:p>
        </w:tc>
        <w:tc>
          <w:tcPr>
            <w:tcW w:w="3991" w:type="dxa"/>
            <w:gridSpan w:val="2"/>
          </w:tcPr>
          <w:p w:rsidR="00D20B9F" w:rsidRPr="00D21439" w:rsidRDefault="00BC2B98" w:rsidP="0057462A">
            <w:pPr>
              <w:jc w:val="both"/>
              <w:rPr>
                <w:sz w:val="22"/>
                <w:szCs w:val="22"/>
              </w:rPr>
            </w:pPr>
            <w:r w:rsidRPr="00D21439">
              <w:rPr>
                <w:sz w:val="22"/>
                <w:szCs w:val="22"/>
              </w:rPr>
              <w:t>Teisės akto projektas nustato jo nuostatoms įgyvendinti numatytų administracinių procedūrų ir sprendimo priėmimo konkrečius terminus</w:t>
            </w:r>
          </w:p>
        </w:tc>
        <w:tc>
          <w:tcPr>
            <w:tcW w:w="4678" w:type="dxa"/>
            <w:gridSpan w:val="2"/>
          </w:tcPr>
          <w:p w:rsidR="009C0E4C" w:rsidRPr="00D21439" w:rsidRDefault="00F07F4E" w:rsidP="00D021B7">
            <w:pPr>
              <w:jc w:val="both"/>
              <w:rPr>
                <w:bCs/>
                <w:sz w:val="22"/>
                <w:szCs w:val="22"/>
              </w:rPr>
            </w:pPr>
            <w:r w:rsidRPr="00D21439">
              <w:rPr>
                <w:sz w:val="22"/>
                <w:szCs w:val="22"/>
              </w:rPr>
              <w:t>Netaikoma</w:t>
            </w:r>
            <w:r w:rsidR="008970D3">
              <w:rPr>
                <w:sz w:val="22"/>
                <w:szCs w:val="22"/>
              </w:rPr>
              <w:t>.</w:t>
            </w:r>
            <w:r w:rsidRPr="00D21439" w:rsidDel="00F07F4E">
              <w:rPr>
                <w:sz w:val="22"/>
                <w:szCs w:val="22"/>
              </w:rPr>
              <w:t xml:space="preserve"> </w:t>
            </w:r>
          </w:p>
          <w:p w:rsidR="00BC2B98" w:rsidRPr="00D21439" w:rsidRDefault="00BC2B98" w:rsidP="00D021B7">
            <w:pPr>
              <w:jc w:val="both"/>
              <w:rPr>
                <w:strike/>
                <w:sz w:val="22"/>
                <w:szCs w:val="22"/>
              </w:rPr>
            </w:pPr>
          </w:p>
        </w:tc>
        <w:tc>
          <w:tcPr>
            <w:tcW w:w="2693" w:type="dxa"/>
            <w:gridSpan w:val="2"/>
          </w:tcPr>
          <w:p w:rsidR="00BC2B98" w:rsidRPr="00D21439" w:rsidRDefault="00BC2B98" w:rsidP="00D021B7">
            <w:pPr>
              <w:jc w:val="both"/>
              <w:rPr>
                <w:color w:val="000000"/>
                <w:sz w:val="22"/>
                <w:szCs w:val="22"/>
              </w:rPr>
            </w:pPr>
          </w:p>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13.</w:t>
            </w:r>
          </w:p>
        </w:tc>
        <w:tc>
          <w:tcPr>
            <w:tcW w:w="3991" w:type="dxa"/>
            <w:gridSpan w:val="2"/>
          </w:tcPr>
          <w:p w:rsidR="00BC2B98" w:rsidRPr="00D21439" w:rsidRDefault="00BC2B98" w:rsidP="00D021B7">
            <w:pPr>
              <w:jc w:val="both"/>
              <w:rPr>
                <w:sz w:val="22"/>
                <w:szCs w:val="22"/>
              </w:rPr>
            </w:pPr>
            <w:r w:rsidRPr="00D21439">
              <w:rPr>
                <w:sz w:val="22"/>
                <w:szCs w:val="22"/>
              </w:rPr>
              <w:t>Teisės akto projektas nustato motyvuotas terminų sustabdymo ir pratęsimo galimybes</w:t>
            </w:r>
          </w:p>
        </w:tc>
        <w:tc>
          <w:tcPr>
            <w:tcW w:w="4678" w:type="dxa"/>
            <w:gridSpan w:val="2"/>
          </w:tcPr>
          <w:p w:rsidR="009C0E4C" w:rsidRPr="00D21439" w:rsidRDefault="00F07F4E" w:rsidP="009C0E4C">
            <w:pPr>
              <w:jc w:val="both"/>
              <w:rPr>
                <w:bCs/>
                <w:sz w:val="22"/>
                <w:szCs w:val="22"/>
              </w:rPr>
            </w:pPr>
            <w:r w:rsidRPr="00D21439">
              <w:rPr>
                <w:sz w:val="22"/>
                <w:szCs w:val="22"/>
              </w:rPr>
              <w:t>Netaikoma</w:t>
            </w:r>
            <w:r w:rsidR="008970D3">
              <w:rPr>
                <w:sz w:val="22"/>
                <w:szCs w:val="22"/>
              </w:rPr>
              <w:t>.</w:t>
            </w:r>
            <w:r w:rsidRPr="00D21439" w:rsidDel="00F07F4E">
              <w:rPr>
                <w:sz w:val="22"/>
                <w:szCs w:val="22"/>
              </w:rPr>
              <w:t xml:space="preserve"> </w:t>
            </w:r>
          </w:p>
          <w:p w:rsidR="00BC2B98" w:rsidRPr="00D21439" w:rsidRDefault="00BC2B98" w:rsidP="00D021B7">
            <w:pPr>
              <w:jc w:val="both"/>
              <w:rPr>
                <w:strike/>
                <w:sz w:val="22"/>
                <w:szCs w:val="22"/>
              </w:rPr>
            </w:pP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14.</w:t>
            </w:r>
          </w:p>
        </w:tc>
        <w:tc>
          <w:tcPr>
            <w:tcW w:w="3991" w:type="dxa"/>
            <w:gridSpan w:val="2"/>
          </w:tcPr>
          <w:p w:rsidR="00D20B9F" w:rsidRPr="00D21439" w:rsidRDefault="00BC2B98" w:rsidP="0057462A">
            <w:pPr>
              <w:jc w:val="both"/>
              <w:rPr>
                <w:sz w:val="22"/>
                <w:szCs w:val="22"/>
              </w:rPr>
            </w:pPr>
            <w:r w:rsidRPr="00D21439">
              <w:rPr>
                <w:sz w:val="22"/>
                <w:szCs w:val="22"/>
              </w:rPr>
              <w:t>Teisės akto projektas nustato administracinių procedūrų viešinimo tvarką</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b/>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15.</w:t>
            </w:r>
          </w:p>
        </w:tc>
        <w:tc>
          <w:tcPr>
            <w:tcW w:w="3991" w:type="dxa"/>
            <w:gridSpan w:val="2"/>
          </w:tcPr>
          <w:p w:rsidR="00D20B9F" w:rsidRPr="00D21439" w:rsidRDefault="00BC2B98" w:rsidP="00FD1FCA">
            <w:pPr>
              <w:jc w:val="both"/>
              <w:rPr>
                <w:sz w:val="22"/>
                <w:szCs w:val="22"/>
              </w:rPr>
            </w:pPr>
            <w:r w:rsidRPr="00D21439">
              <w:rPr>
                <w:sz w:val="22"/>
                <w:szCs w:val="22"/>
              </w:rPr>
              <w:t>Teisės akto projektas nustato kontrolės (priežiūros) procedūrą ir aiškius jos atlikimo kriterijus (atvejus, dažnį, fiksavimą, kontrolės rezultatų viešinimą ir panašiai)</w:t>
            </w:r>
          </w:p>
        </w:tc>
        <w:tc>
          <w:tcPr>
            <w:tcW w:w="4678" w:type="dxa"/>
            <w:gridSpan w:val="2"/>
          </w:tcPr>
          <w:p w:rsidR="00BC2B98" w:rsidRPr="00D21439" w:rsidRDefault="00CE7B33" w:rsidP="00F910B6">
            <w:pPr>
              <w:jc w:val="both"/>
              <w:rPr>
                <w:color w:val="FF0000"/>
                <w:sz w:val="22"/>
                <w:szCs w:val="22"/>
              </w:rPr>
            </w:pPr>
            <w:r w:rsidRPr="00D21439">
              <w:rPr>
                <w:sz w:val="22"/>
                <w:szCs w:val="22"/>
              </w:rPr>
              <w:t xml:space="preserve">Netaikoma. </w:t>
            </w:r>
            <w:r w:rsidR="003D705B" w:rsidRPr="00D21439">
              <w:rPr>
                <w:bCs/>
                <w:sz w:val="22"/>
                <w:szCs w:val="22"/>
              </w:rPr>
              <w:t xml:space="preserve">Nutarimo </w:t>
            </w:r>
            <w:r w:rsidR="00F910B6" w:rsidRPr="00D21439">
              <w:rPr>
                <w:bCs/>
                <w:sz w:val="22"/>
                <w:szCs w:val="22"/>
              </w:rPr>
              <w:t>projektas</w:t>
            </w:r>
            <w:r w:rsidR="003D705B" w:rsidRPr="00D21439">
              <w:rPr>
                <w:bCs/>
                <w:sz w:val="22"/>
                <w:szCs w:val="22"/>
              </w:rPr>
              <w:t xml:space="preserve"> </w:t>
            </w:r>
            <w:r w:rsidR="00F910B6" w:rsidRPr="00D21439">
              <w:rPr>
                <w:bCs/>
                <w:sz w:val="22"/>
                <w:szCs w:val="22"/>
              </w:rPr>
              <w:t xml:space="preserve">nenustato </w:t>
            </w:r>
            <w:r w:rsidR="003D705B" w:rsidRPr="00D21439">
              <w:rPr>
                <w:bCs/>
                <w:sz w:val="22"/>
                <w:szCs w:val="22"/>
              </w:rPr>
              <w:t>kontrolės (priežiūr</w:t>
            </w:r>
            <w:r w:rsidR="00F910B6" w:rsidRPr="00D21439">
              <w:rPr>
                <w:bCs/>
                <w:sz w:val="22"/>
                <w:szCs w:val="22"/>
              </w:rPr>
              <w:t>os</w:t>
            </w:r>
            <w:r w:rsidR="003D705B" w:rsidRPr="00D21439">
              <w:rPr>
                <w:bCs/>
                <w:sz w:val="22"/>
                <w:szCs w:val="22"/>
              </w:rPr>
              <w:t xml:space="preserve">) </w:t>
            </w:r>
            <w:r w:rsidR="00F910B6" w:rsidRPr="00D21439">
              <w:rPr>
                <w:bCs/>
                <w:sz w:val="22"/>
                <w:szCs w:val="22"/>
              </w:rPr>
              <w:t>procedūrų ir jų atlikimo kriterijų.</w:t>
            </w:r>
          </w:p>
        </w:tc>
        <w:tc>
          <w:tcPr>
            <w:tcW w:w="2693" w:type="dxa"/>
            <w:gridSpan w:val="2"/>
          </w:tcPr>
          <w:p w:rsidR="00BC2B98" w:rsidRPr="00D21439" w:rsidRDefault="00BC2B98" w:rsidP="00D021B7">
            <w:pPr>
              <w:jc w:val="both"/>
              <w:rPr>
                <w:sz w:val="22"/>
                <w:szCs w:val="22"/>
              </w:rPr>
            </w:pPr>
          </w:p>
        </w:tc>
        <w:tc>
          <w:tcPr>
            <w:tcW w:w="2835" w:type="dxa"/>
          </w:tcPr>
          <w:p w:rsidR="00D94D16" w:rsidRPr="00D21439" w:rsidRDefault="00912685" w:rsidP="00D94D16">
            <w:pPr>
              <w:rPr>
                <w:sz w:val="22"/>
                <w:szCs w:val="22"/>
              </w:rPr>
            </w:pPr>
            <w:r w:rsidRPr="00D21439">
              <w:rPr>
                <w:sz w:val="22"/>
                <w:szCs w:val="22"/>
              </w:rPr>
              <w:t>x</w:t>
            </w:r>
            <w:r w:rsidR="00D94D16" w:rsidRPr="00D21439">
              <w:rPr>
                <w:sz w:val="22"/>
                <w:szCs w:val="22"/>
              </w:rPr>
              <w:t xml:space="preserve"> tenkina</w:t>
            </w:r>
          </w:p>
          <w:p w:rsidR="00BC2B98" w:rsidRPr="00D21439" w:rsidRDefault="00D94D16" w:rsidP="00D94D16">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16.</w:t>
            </w:r>
          </w:p>
        </w:tc>
        <w:tc>
          <w:tcPr>
            <w:tcW w:w="3991" w:type="dxa"/>
            <w:gridSpan w:val="2"/>
          </w:tcPr>
          <w:p w:rsidR="00D20B9F" w:rsidRPr="00D21439" w:rsidRDefault="00BC2B98" w:rsidP="0057462A">
            <w:pPr>
              <w:jc w:val="both"/>
              <w:rPr>
                <w:sz w:val="22"/>
                <w:szCs w:val="22"/>
              </w:rPr>
            </w:pPr>
            <w:r w:rsidRPr="00D21439">
              <w:rPr>
                <w:sz w:val="22"/>
                <w:szCs w:val="22"/>
              </w:rPr>
              <w:t>Teisės akto projekte nustatytos kontrolės (priežiūros) skaidrumo ir objektyvumo užtikrinimo priemonės</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keepNext/>
              <w:jc w:val="center"/>
              <w:rPr>
                <w:sz w:val="22"/>
                <w:szCs w:val="22"/>
              </w:rPr>
            </w:pPr>
            <w:r w:rsidRPr="00D21439">
              <w:rPr>
                <w:sz w:val="22"/>
                <w:szCs w:val="22"/>
              </w:rPr>
              <w:t>17.</w:t>
            </w:r>
          </w:p>
        </w:tc>
        <w:tc>
          <w:tcPr>
            <w:tcW w:w="3991" w:type="dxa"/>
            <w:gridSpan w:val="2"/>
          </w:tcPr>
          <w:p w:rsidR="00D20B9F" w:rsidRPr="00D21439" w:rsidRDefault="00BC2B98" w:rsidP="0057462A">
            <w:pPr>
              <w:keepNext/>
              <w:jc w:val="both"/>
              <w:rPr>
                <w:sz w:val="22"/>
                <w:szCs w:val="22"/>
              </w:rPr>
            </w:pPr>
            <w:r w:rsidRPr="00D21439">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keepNext/>
              <w:jc w:val="both"/>
              <w:rPr>
                <w:bCs/>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keepNext/>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18.</w:t>
            </w:r>
          </w:p>
        </w:tc>
        <w:tc>
          <w:tcPr>
            <w:tcW w:w="3991" w:type="dxa"/>
            <w:gridSpan w:val="2"/>
          </w:tcPr>
          <w:p w:rsidR="00D20B9F" w:rsidRPr="00D21439" w:rsidRDefault="00BC2B98" w:rsidP="0057462A">
            <w:pPr>
              <w:jc w:val="both"/>
              <w:rPr>
                <w:sz w:val="22"/>
                <w:szCs w:val="22"/>
              </w:rPr>
            </w:pPr>
            <w:r w:rsidRPr="00D21439">
              <w:rPr>
                <w:sz w:val="22"/>
                <w:szCs w:val="22"/>
              </w:rPr>
              <w:t>Teisės aktų projekte numatytas baigtinis sąrašas kriterijų, pagal kuriuos skiriama nuobauda (sankcija) už teisės akto projekte nustatytų nurodymų nevykdymą, ir nustatyta aiški jos skyrimo procedūra</w:t>
            </w:r>
          </w:p>
        </w:tc>
        <w:tc>
          <w:tcPr>
            <w:tcW w:w="4678" w:type="dxa"/>
            <w:gridSpan w:val="2"/>
          </w:tcPr>
          <w:p w:rsidR="00BC2B98" w:rsidRPr="00D21439" w:rsidRDefault="00BC2B98" w:rsidP="00D021B7">
            <w:pPr>
              <w:jc w:val="both"/>
              <w:rPr>
                <w:sz w:val="22"/>
                <w:szCs w:val="22"/>
              </w:rPr>
            </w:pPr>
            <w:r w:rsidRPr="00D21439">
              <w:rPr>
                <w:sz w:val="22"/>
                <w:szCs w:val="22"/>
              </w:rPr>
              <w:t>Netaikoma</w:t>
            </w:r>
            <w:r w:rsidR="008970D3">
              <w:rPr>
                <w:sz w:val="22"/>
                <w:szCs w:val="22"/>
              </w:rPr>
              <w:t>.</w:t>
            </w:r>
            <w:r w:rsidRPr="00D21439">
              <w:rPr>
                <w:sz w:val="22"/>
                <w:szCs w:val="22"/>
              </w:rPr>
              <w:t xml:space="preserve"> </w:t>
            </w:r>
          </w:p>
        </w:tc>
        <w:tc>
          <w:tcPr>
            <w:tcW w:w="2693" w:type="dxa"/>
            <w:gridSpan w:val="2"/>
          </w:tcPr>
          <w:p w:rsidR="00BC2B98" w:rsidRPr="00D21439" w:rsidRDefault="00BC2B98" w:rsidP="00D021B7">
            <w:pPr>
              <w:jc w:val="both"/>
              <w:rPr>
                <w:sz w:val="22"/>
                <w:szCs w:val="22"/>
              </w:rPr>
            </w:pPr>
          </w:p>
        </w:tc>
        <w:tc>
          <w:tcPr>
            <w:tcW w:w="2835" w:type="dxa"/>
          </w:tcPr>
          <w:p w:rsidR="00BC2B98" w:rsidRPr="00D21439" w:rsidRDefault="00912685" w:rsidP="00D021B7">
            <w:pPr>
              <w:rPr>
                <w:sz w:val="22"/>
                <w:szCs w:val="22"/>
              </w:rPr>
            </w:pPr>
            <w:r w:rsidRPr="00D21439">
              <w:rPr>
                <w:sz w:val="22"/>
                <w:szCs w:val="22"/>
              </w:rPr>
              <w:t>x</w:t>
            </w:r>
            <w:r w:rsidR="00BC2B98" w:rsidRPr="00D21439">
              <w:rPr>
                <w:sz w:val="22"/>
                <w:szCs w:val="22"/>
              </w:rPr>
              <w:t xml:space="preserve"> tenkina</w:t>
            </w:r>
          </w:p>
          <w:p w:rsidR="00BC2B98" w:rsidRPr="00D21439" w:rsidRDefault="00BC2B98" w:rsidP="00D021B7">
            <w:pPr>
              <w:jc w:val="both"/>
              <w:rPr>
                <w:sz w:val="22"/>
                <w:szCs w:val="22"/>
              </w:rPr>
            </w:pPr>
            <w:r w:rsidRPr="00D21439">
              <w:rPr>
                <w:sz w:val="22"/>
                <w:szCs w:val="22"/>
              </w:rPr>
              <w:t>□ netenkina</w:t>
            </w:r>
          </w:p>
        </w:tc>
      </w:tr>
      <w:tr w:rsidR="00BC2B98" w:rsidRPr="00D21439" w:rsidTr="000A7A10">
        <w:trPr>
          <w:gridAfter w:val="1"/>
          <w:wAfter w:w="426" w:type="dxa"/>
          <w:trHeight w:val="23"/>
        </w:trPr>
        <w:tc>
          <w:tcPr>
            <w:tcW w:w="545" w:type="dxa"/>
          </w:tcPr>
          <w:p w:rsidR="00BC2B98" w:rsidRPr="00D21439" w:rsidRDefault="00BC2B98" w:rsidP="00D94D16">
            <w:pPr>
              <w:jc w:val="center"/>
              <w:rPr>
                <w:sz w:val="22"/>
                <w:szCs w:val="22"/>
              </w:rPr>
            </w:pPr>
            <w:r w:rsidRPr="00D21439">
              <w:rPr>
                <w:sz w:val="22"/>
                <w:szCs w:val="22"/>
              </w:rPr>
              <w:t>19.</w:t>
            </w:r>
          </w:p>
        </w:tc>
        <w:tc>
          <w:tcPr>
            <w:tcW w:w="3991" w:type="dxa"/>
            <w:gridSpan w:val="2"/>
          </w:tcPr>
          <w:p w:rsidR="00BC2B98" w:rsidRPr="00D21439" w:rsidRDefault="00BC2B98" w:rsidP="00D021B7">
            <w:pPr>
              <w:jc w:val="both"/>
              <w:rPr>
                <w:sz w:val="22"/>
                <w:szCs w:val="22"/>
              </w:rPr>
            </w:pPr>
            <w:r w:rsidRPr="00D21439">
              <w:rPr>
                <w:sz w:val="22"/>
                <w:szCs w:val="22"/>
              </w:rPr>
              <w:t>Kiti svarbūs kriterijai</w:t>
            </w:r>
          </w:p>
        </w:tc>
        <w:tc>
          <w:tcPr>
            <w:tcW w:w="4678" w:type="dxa"/>
            <w:gridSpan w:val="2"/>
          </w:tcPr>
          <w:p w:rsidR="00BC2B98" w:rsidRPr="00D21439" w:rsidRDefault="00BC2B98" w:rsidP="00D021B7">
            <w:pPr>
              <w:jc w:val="both"/>
              <w:rPr>
                <w:sz w:val="22"/>
                <w:szCs w:val="22"/>
              </w:rPr>
            </w:pPr>
            <w:r w:rsidRPr="00D21439">
              <w:rPr>
                <w:sz w:val="22"/>
                <w:szCs w:val="22"/>
              </w:rPr>
              <w:t>Nėra</w:t>
            </w:r>
            <w:r w:rsidR="008970D3">
              <w:rPr>
                <w:sz w:val="22"/>
                <w:szCs w:val="22"/>
              </w:rPr>
              <w:t>.</w:t>
            </w:r>
          </w:p>
        </w:tc>
        <w:tc>
          <w:tcPr>
            <w:tcW w:w="2693" w:type="dxa"/>
            <w:gridSpan w:val="2"/>
          </w:tcPr>
          <w:p w:rsidR="00BC2B98" w:rsidRPr="00D21439" w:rsidRDefault="00BC2B98" w:rsidP="00D021B7">
            <w:pPr>
              <w:jc w:val="both"/>
              <w:rPr>
                <w:sz w:val="22"/>
                <w:szCs w:val="22"/>
              </w:rPr>
            </w:pPr>
          </w:p>
        </w:tc>
        <w:tc>
          <w:tcPr>
            <w:tcW w:w="2835" w:type="dxa"/>
          </w:tcPr>
          <w:p w:rsidR="00D94D16" w:rsidRPr="00D21439" w:rsidRDefault="00912685" w:rsidP="00D94D16">
            <w:pPr>
              <w:rPr>
                <w:sz w:val="22"/>
                <w:szCs w:val="22"/>
              </w:rPr>
            </w:pPr>
            <w:r w:rsidRPr="00D21439">
              <w:rPr>
                <w:sz w:val="22"/>
                <w:szCs w:val="22"/>
              </w:rPr>
              <w:t xml:space="preserve">x </w:t>
            </w:r>
            <w:r w:rsidR="00D94D16" w:rsidRPr="00D21439">
              <w:rPr>
                <w:sz w:val="22"/>
                <w:szCs w:val="22"/>
              </w:rPr>
              <w:t>tenkina</w:t>
            </w:r>
          </w:p>
          <w:p w:rsidR="00BC2B98" w:rsidRPr="00D21439" w:rsidRDefault="00D94D16" w:rsidP="00D94D16">
            <w:pPr>
              <w:jc w:val="both"/>
              <w:rPr>
                <w:sz w:val="22"/>
                <w:szCs w:val="22"/>
              </w:rPr>
            </w:pPr>
            <w:r w:rsidRPr="00D21439">
              <w:rPr>
                <w:sz w:val="22"/>
                <w:szCs w:val="22"/>
              </w:rPr>
              <w:t>□ netenkina</w:t>
            </w:r>
          </w:p>
        </w:tc>
      </w:tr>
      <w:tr w:rsidR="00BC2B98"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BC2B98" w:rsidRPr="00D21439" w:rsidRDefault="00BC2B98" w:rsidP="00D021B7">
            <w:pPr>
              <w:rPr>
                <w:sz w:val="22"/>
                <w:szCs w:val="22"/>
              </w:rPr>
            </w:pPr>
          </w:p>
          <w:p w:rsidR="00BC2B98" w:rsidRPr="00D21439" w:rsidRDefault="00BC2B98" w:rsidP="00D021B7">
            <w:pPr>
              <w:rPr>
                <w:sz w:val="22"/>
                <w:szCs w:val="22"/>
              </w:rPr>
            </w:pPr>
            <w:r w:rsidRPr="00D21439">
              <w:rPr>
                <w:sz w:val="22"/>
                <w:szCs w:val="22"/>
              </w:rPr>
              <w:t>Teisės akto projekto tiesioginis rengėjas:</w:t>
            </w:r>
          </w:p>
        </w:tc>
        <w:tc>
          <w:tcPr>
            <w:tcW w:w="4773" w:type="dxa"/>
            <w:gridSpan w:val="2"/>
            <w:tcBorders>
              <w:bottom w:val="single" w:sz="4" w:space="0" w:color="auto"/>
            </w:tcBorders>
            <w:shd w:val="clear" w:color="auto" w:fill="auto"/>
          </w:tcPr>
          <w:p w:rsidR="00BC2B98" w:rsidRPr="00D21439" w:rsidRDefault="00BC2B98" w:rsidP="00D021B7">
            <w:pPr>
              <w:rPr>
                <w:sz w:val="22"/>
                <w:szCs w:val="22"/>
              </w:rPr>
            </w:pPr>
          </w:p>
          <w:p w:rsidR="00BC2B98" w:rsidRPr="00D21439" w:rsidRDefault="00BC2B98" w:rsidP="00D021B7">
            <w:pPr>
              <w:rPr>
                <w:sz w:val="22"/>
                <w:szCs w:val="22"/>
              </w:rPr>
            </w:pPr>
            <w:r w:rsidRPr="00D21439">
              <w:rPr>
                <w:sz w:val="22"/>
                <w:szCs w:val="22"/>
              </w:rPr>
              <w:t>Lietuvos Respublikos finansų ministerijos</w:t>
            </w:r>
          </w:p>
          <w:p w:rsidR="000E4E6D" w:rsidRPr="00D21439" w:rsidRDefault="00F07F4E" w:rsidP="008970D3">
            <w:pPr>
              <w:rPr>
                <w:sz w:val="22"/>
                <w:szCs w:val="22"/>
              </w:rPr>
            </w:pPr>
            <w:r w:rsidRPr="00D21439">
              <w:rPr>
                <w:rFonts w:eastAsia="Calibri"/>
                <w:sz w:val="22"/>
                <w:szCs w:val="22"/>
                <w:lang w:eastAsia="en-US"/>
              </w:rPr>
              <w:t xml:space="preserve">Investicijų </w:t>
            </w:r>
            <w:r w:rsidR="000E4E6D" w:rsidRPr="00D21439">
              <w:rPr>
                <w:rFonts w:eastAsia="Calibri"/>
                <w:sz w:val="22"/>
                <w:szCs w:val="22"/>
                <w:lang w:eastAsia="en-US"/>
              </w:rPr>
              <w:t>d</w:t>
            </w:r>
            <w:r w:rsidR="00BC2B98" w:rsidRPr="00D21439">
              <w:rPr>
                <w:rFonts w:eastAsia="Calibri"/>
                <w:sz w:val="22"/>
                <w:szCs w:val="22"/>
                <w:lang w:eastAsia="en-US"/>
              </w:rPr>
              <w:t>epartamento</w:t>
            </w:r>
            <w:r w:rsidR="00C95ED6" w:rsidRPr="00D21439">
              <w:rPr>
                <w:rFonts w:eastAsia="Calibri"/>
                <w:sz w:val="22"/>
                <w:szCs w:val="22"/>
                <w:lang w:eastAsia="en-US"/>
              </w:rPr>
              <w:t xml:space="preserve"> </w:t>
            </w:r>
            <w:r w:rsidR="00D97079" w:rsidRPr="00D21439">
              <w:rPr>
                <w:rFonts w:eastAsia="Calibri"/>
                <w:sz w:val="22"/>
                <w:szCs w:val="22"/>
                <w:lang w:eastAsia="en-US"/>
              </w:rPr>
              <w:t xml:space="preserve">Valdymo ir kontrolės sistemų priežiūros skyriaus vyriausioji specialistė Laura </w:t>
            </w:r>
            <w:proofErr w:type="spellStart"/>
            <w:r w:rsidR="00D97079" w:rsidRPr="00D21439">
              <w:rPr>
                <w:rFonts w:eastAsia="Calibri"/>
                <w:sz w:val="22"/>
                <w:szCs w:val="22"/>
                <w:lang w:eastAsia="en-US"/>
              </w:rPr>
              <w:t>Sabulienė</w:t>
            </w:r>
            <w:proofErr w:type="spellEnd"/>
          </w:p>
        </w:tc>
        <w:tc>
          <w:tcPr>
            <w:tcW w:w="2434" w:type="dxa"/>
            <w:gridSpan w:val="2"/>
            <w:shd w:val="clear" w:color="auto" w:fill="auto"/>
          </w:tcPr>
          <w:p w:rsidR="00BC2B98" w:rsidRPr="00D21439" w:rsidRDefault="00BC2B98" w:rsidP="00D021B7">
            <w:pPr>
              <w:rPr>
                <w:color w:val="FF0000"/>
                <w:sz w:val="22"/>
                <w:szCs w:val="22"/>
              </w:rPr>
            </w:pPr>
          </w:p>
          <w:p w:rsidR="00BC2B98" w:rsidRPr="00D21439" w:rsidRDefault="00BC2B98" w:rsidP="00D021B7">
            <w:pPr>
              <w:rPr>
                <w:sz w:val="22"/>
                <w:szCs w:val="22"/>
              </w:rPr>
            </w:pPr>
            <w:r w:rsidRPr="00D21439">
              <w:rPr>
                <w:sz w:val="22"/>
                <w:szCs w:val="22"/>
              </w:rPr>
              <w:t>Teisės akto projekto vertintojas:</w:t>
            </w:r>
          </w:p>
        </w:tc>
        <w:tc>
          <w:tcPr>
            <w:tcW w:w="5504" w:type="dxa"/>
            <w:gridSpan w:val="3"/>
            <w:tcBorders>
              <w:bottom w:val="single" w:sz="4" w:space="0" w:color="auto"/>
            </w:tcBorders>
            <w:shd w:val="clear" w:color="auto" w:fill="auto"/>
          </w:tcPr>
          <w:p w:rsidR="00BC2B98" w:rsidRPr="00D21439" w:rsidRDefault="00BC2B98" w:rsidP="00D021B7">
            <w:pPr>
              <w:rPr>
                <w:sz w:val="22"/>
                <w:szCs w:val="22"/>
              </w:rPr>
            </w:pPr>
          </w:p>
          <w:p w:rsidR="000E4E6D" w:rsidRPr="00D21439" w:rsidRDefault="000E4E6D" w:rsidP="000E4E6D">
            <w:pPr>
              <w:rPr>
                <w:sz w:val="22"/>
                <w:szCs w:val="22"/>
              </w:rPr>
            </w:pPr>
            <w:r w:rsidRPr="00D21439">
              <w:rPr>
                <w:sz w:val="22"/>
                <w:szCs w:val="22"/>
              </w:rPr>
              <w:t>Lietuvos Respublikos finansų ministerijos</w:t>
            </w:r>
          </w:p>
          <w:p w:rsidR="00F07F4E" w:rsidRPr="00D21439" w:rsidRDefault="00F07F4E" w:rsidP="000E4E6D">
            <w:pPr>
              <w:rPr>
                <w:sz w:val="22"/>
                <w:szCs w:val="22"/>
              </w:rPr>
            </w:pPr>
            <w:r w:rsidRPr="00D21439">
              <w:rPr>
                <w:rFonts w:eastAsia="Calibri"/>
                <w:sz w:val="22"/>
                <w:szCs w:val="22"/>
                <w:lang w:eastAsia="en-US"/>
              </w:rPr>
              <w:t>I</w:t>
            </w:r>
            <w:r w:rsidR="000E4E6D" w:rsidRPr="00D21439">
              <w:rPr>
                <w:rFonts w:eastAsia="Calibri"/>
                <w:sz w:val="22"/>
                <w:szCs w:val="22"/>
                <w:lang w:eastAsia="en-US"/>
              </w:rPr>
              <w:t>nvestic</w:t>
            </w:r>
            <w:r w:rsidRPr="00D21439">
              <w:rPr>
                <w:rFonts w:eastAsia="Calibri"/>
                <w:sz w:val="22"/>
                <w:szCs w:val="22"/>
                <w:lang w:eastAsia="en-US"/>
              </w:rPr>
              <w:t>ijų</w:t>
            </w:r>
            <w:r w:rsidR="000E4E6D" w:rsidRPr="00D21439">
              <w:rPr>
                <w:rFonts w:eastAsia="Calibri"/>
                <w:sz w:val="22"/>
                <w:szCs w:val="22"/>
                <w:lang w:eastAsia="en-US"/>
              </w:rPr>
              <w:t xml:space="preserve"> departamento</w:t>
            </w:r>
            <w:r w:rsidR="001B781D" w:rsidRPr="00D21439">
              <w:rPr>
                <w:rFonts w:eastAsia="Calibri"/>
                <w:sz w:val="22"/>
                <w:szCs w:val="22"/>
                <w:lang w:eastAsia="en-US"/>
              </w:rPr>
              <w:t xml:space="preserve"> Kokybės užtikrinimo skyriaus</w:t>
            </w:r>
            <w:r w:rsidR="001F7CC9" w:rsidRPr="00D21439">
              <w:rPr>
                <w:rFonts w:eastAsia="Calibri"/>
                <w:sz w:val="22"/>
                <w:szCs w:val="22"/>
                <w:lang w:eastAsia="en-US"/>
              </w:rPr>
              <w:t xml:space="preserve"> vyriausioji specialistė</w:t>
            </w:r>
            <w:r w:rsidR="001F7CC9" w:rsidRPr="00D21439">
              <w:t xml:space="preserve"> </w:t>
            </w:r>
            <w:proofErr w:type="spellStart"/>
            <w:r w:rsidR="001F7CC9" w:rsidRPr="00D21439">
              <w:rPr>
                <w:rFonts w:eastAsia="Calibri"/>
                <w:sz w:val="22"/>
                <w:szCs w:val="22"/>
                <w:lang w:eastAsia="en-US"/>
              </w:rPr>
              <w:t>Božena</w:t>
            </w:r>
            <w:proofErr w:type="spellEnd"/>
            <w:r w:rsidR="001F7CC9" w:rsidRPr="00D21439">
              <w:rPr>
                <w:rFonts w:eastAsia="Calibri"/>
                <w:sz w:val="22"/>
                <w:szCs w:val="22"/>
                <w:lang w:eastAsia="en-US"/>
              </w:rPr>
              <w:t xml:space="preserve"> </w:t>
            </w:r>
            <w:proofErr w:type="spellStart"/>
            <w:r w:rsidR="001F7CC9" w:rsidRPr="00D21439">
              <w:rPr>
                <w:rFonts w:eastAsia="Calibri"/>
                <w:sz w:val="22"/>
                <w:szCs w:val="22"/>
                <w:lang w:eastAsia="en-US"/>
              </w:rPr>
              <w:t>Zaikovska</w:t>
            </w:r>
            <w:proofErr w:type="gramStart"/>
            <w:r w:rsidR="001F7CC9" w:rsidRPr="00D21439">
              <w:rPr>
                <w:rFonts w:eastAsia="Calibri"/>
                <w:sz w:val="22"/>
                <w:szCs w:val="22"/>
                <w:lang w:eastAsia="en-US"/>
              </w:rPr>
              <w:t>-</w:t>
            </w:r>
            <w:proofErr w:type="gramEnd"/>
            <w:r w:rsidR="001F7CC9" w:rsidRPr="00D21439">
              <w:rPr>
                <w:rFonts w:eastAsia="Calibri"/>
                <w:sz w:val="22"/>
                <w:szCs w:val="22"/>
                <w:lang w:eastAsia="en-US"/>
              </w:rPr>
              <w:t>Tomkevičienė</w:t>
            </w:r>
            <w:proofErr w:type="spellEnd"/>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color w:val="FF0000"/>
                <w:sz w:val="22"/>
                <w:szCs w:val="22"/>
              </w:rPr>
            </w:pPr>
          </w:p>
        </w:tc>
        <w:tc>
          <w:tcPr>
            <w:tcW w:w="4773" w:type="dxa"/>
            <w:gridSpan w:val="2"/>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(pareigos)</w:t>
            </w:r>
            <w:proofErr w:type="gramStart"/>
            <w:r w:rsidRPr="00D21439">
              <w:rPr>
                <w:sz w:val="16"/>
                <w:szCs w:val="16"/>
              </w:rPr>
              <w:t xml:space="preserve">   </w:t>
            </w:r>
            <w:proofErr w:type="gramEnd"/>
            <w:r w:rsidRPr="00D21439">
              <w:rPr>
                <w:sz w:val="16"/>
                <w:szCs w:val="16"/>
              </w:rPr>
              <w:t>(vardas ir pavardė)</w:t>
            </w:r>
          </w:p>
        </w:tc>
        <w:tc>
          <w:tcPr>
            <w:tcW w:w="2434" w:type="dxa"/>
            <w:gridSpan w:val="2"/>
            <w:shd w:val="clear" w:color="auto" w:fill="auto"/>
          </w:tcPr>
          <w:p w:rsidR="000A7A10" w:rsidRPr="00D21439" w:rsidRDefault="000A7A10" w:rsidP="00D021B7">
            <w:pPr>
              <w:rPr>
                <w:color w:val="FF0000"/>
                <w:sz w:val="16"/>
                <w:szCs w:val="16"/>
              </w:rPr>
            </w:pPr>
          </w:p>
        </w:tc>
        <w:tc>
          <w:tcPr>
            <w:tcW w:w="5504" w:type="dxa"/>
            <w:gridSpan w:val="3"/>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(pareigos)</w:t>
            </w:r>
            <w:proofErr w:type="gramStart"/>
            <w:r w:rsidRPr="00D21439">
              <w:rPr>
                <w:sz w:val="16"/>
                <w:szCs w:val="16"/>
              </w:rPr>
              <w:t xml:space="preserve">    </w:t>
            </w:r>
            <w:proofErr w:type="gramEnd"/>
            <w:r w:rsidRPr="00D21439">
              <w:rPr>
                <w:sz w:val="16"/>
                <w:szCs w:val="16"/>
              </w:rPr>
              <w:t>(vardas ir pavardė)</w:t>
            </w:r>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sz w:val="22"/>
                <w:szCs w:val="22"/>
              </w:rPr>
            </w:pPr>
          </w:p>
        </w:tc>
        <w:tc>
          <w:tcPr>
            <w:tcW w:w="4773" w:type="dxa"/>
            <w:gridSpan w:val="2"/>
            <w:tcBorders>
              <w:bottom w:val="single" w:sz="4" w:space="0" w:color="auto"/>
            </w:tcBorders>
            <w:shd w:val="clear" w:color="auto" w:fill="auto"/>
          </w:tcPr>
          <w:p w:rsidR="000A7A10" w:rsidRPr="00D21439" w:rsidRDefault="001B781D" w:rsidP="008970D3">
            <w:pPr>
              <w:rPr>
                <w:sz w:val="22"/>
                <w:szCs w:val="22"/>
              </w:rPr>
            </w:pPr>
            <w:r w:rsidRPr="00D21439">
              <w:rPr>
                <w:sz w:val="22"/>
                <w:szCs w:val="22"/>
              </w:rPr>
              <w:t xml:space="preserve">                          </w:t>
            </w:r>
            <w:r w:rsidR="001F7CC9" w:rsidRPr="00D21439">
              <w:rPr>
                <w:sz w:val="22"/>
                <w:szCs w:val="22"/>
              </w:rPr>
              <w:t>2020</w:t>
            </w:r>
            <w:r w:rsidR="008970D3">
              <w:rPr>
                <w:sz w:val="22"/>
                <w:szCs w:val="22"/>
              </w:rPr>
              <w:t>-</w:t>
            </w:r>
            <w:r w:rsidR="001F7CC9" w:rsidRPr="00D21439">
              <w:rPr>
                <w:sz w:val="22"/>
                <w:szCs w:val="22"/>
              </w:rPr>
              <w:t>10</w:t>
            </w:r>
            <w:r w:rsidR="008970D3">
              <w:rPr>
                <w:sz w:val="22"/>
                <w:szCs w:val="22"/>
              </w:rPr>
              <w:t>-</w:t>
            </w:r>
            <w:r w:rsidR="001F7CC9" w:rsidRPr="00D21439">
              <w:rPr>
                <w:sz w:val="22"/>
                <w:szCs w:val="22"/>
              </w:rPr>
              <w:t>29</w:t>
            </w:r>
          </w:p>
        </w:tc>
        <w:tc>
          <w:tcPr>
            <w:tcW w:w="2434" w:type="dxa"/>
            <w:gridSpan w:val="2"/>
            <w:shd w:val="clear" w:color="auto" w:fill="auto"/>
          </w:tcPr>
          <w:p w:rsidR="000A7A10" w:rsidRPr="00D21439" w:rsidRDefault="000A7A10" w:rsidP="00D021B7">
            <w:pPr>
              <w:rPr>
                <w:sz w:val="22"/>
                <w:szCs w:val="22"/>
              </w:rPr>
            </w:pPr>
          </w:p>
        </w:tc>
        <w:tc>
          <w:tcPr>
            <w:tcW w:w="5504" w:type="dxa"/>
            <w:gridSpan w:val="3"/>
            <w:tcBorders>
              <w:bottom w:val="single" w:sz="4" w:space="0" w:color="auto"/>
            </w:tcBorders>
            <w:shd w:val="clear" w:color="auto" w:fill="auto"/>
          </w:tcPr>
          <w:p w:rsidR="000A7A10" w:rsidRPr="00D21439" w:rsidRDefault="001B781D" w:rsidP="008970D3">
            <w:pPr>
              <w:ind w:left="-11" w:firstLine="11"/>
              <w:rPr>
                <w:sz w:val="22"/>
                <w:szCs w:val="22"/>
              </w:rPr>
            </w:pPr>
            <w:r w:rsidRPr="00D21439">
              <w:rPr>
                <w:sz w:val="22"/>
                <w:szCs w:val="22"/>
              </w:rPr>
              <w:t xml:space="preserve">                               </w:t>
            </w:r>
            <w:r w:rsidR="001F7CC9" w:rsidRPr="00D21439">
              <w:rPr>
                <w:sz w:val="22"/>
                <w:szCs w:val="22"/>
              </w:rPr>
              <w:t>2020</w:t>
            </w:r>
            <w:r w:rsidR="008970D3">
              <w:rPr>
                <w:sz w:val="22"/>
                <w:szCs w:val="22"/>
              </w:rPr>
              <w:t>-</w:t>
            </w:r>
            <w:r w:rsidR="001F7CC9" w:rsidRPr="00D21439">
              <w:rPr>
                <w:sz w:val="22"/>
                <w:szCs w:val="22"/>
              </w:rPr>
              <w:t>10</w:t>
            </w:r>
            <w:r w:rsidR="008970D3">
              <w:rPr>
                <w:sz w:val="22"/>
                <w:szCs w:val="22"/>
              </w:rPr>
              <w:t>-</w:t>
            </w:r>
            <w:r w:rsidR="001F7CC9" w:rsidRPr="00D21439">
              <w:rPr>
                <w:sz w:val="22"/>
                <w:szCs w:val="22"/>
              </w:rPr>
              <w:t>29</w:t>
            </w:r>
          </w:p>
        </w:tc>
      </w:tr>
      <w:tr w:rsidR="000A7A10" w:rsidRPr="00D21439" w:rsidTr="000A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
        </w:trPr>
        <w:tc>
          <w:tcPr>
            <w:tcW w:w="2457" w:type="dxa"/>
            <w:gridSpan w:val="2"/>
            <w:shd w:val="clear" w:color="auto" w:fill="auto"/>
          </w:tcPr>
          <w:p w:rsidR="000A7A10" w:rsidRPr="00D21439" w:rsidRDefault="000A7A10" w:rsidP="00D021B7">
            <w:pPr>
              <w:rPr>
                <w:sz w:val="16"/>
                <w:szCs w:val="16"/>
              </w:rPr>
            </w:pPr>
          </w:p>
        </w:tc>
        <w:tc>
          <w:tcPr>
            <w:tcW w:w="4773" w:type="dxa"/>
            <w:gridSpan w:val="2"/>
            <w:shd w:val="clear" w:color="auto" w:fill="auto"/>
          </w:tcPr>
          <w:p w:rsidR="000A7A10" w:rsidRPr="00D21439" w:rsidRDefault="000A7A10" w:rsidP="000A7A10">
            <w:pPr>
              <w:ind w:left="-11" w:firstLine="11"/>
              <w:rPr>
                <w:sz w:val="16"/>
                <w:szCs w:val="16"/>
              </w:rPr>
            </w:pPr>
            <w:r w:rsidRPr="00D21439">
              <w:rPr>
                <w:sz w:val="16"/>
                <w:szCs w:val="16"/>
              </w:rPr>
              <w:t>(parašas)</w:t>
            </w:r>
            <w:proofErr w:type="gramStart"/>
            <w:r w:rsidRPr="00D21439">
              <w:rPr>
                <w:sz w:val="16"/>
                <w:szCs w:val="16"/>
              </w:rPr>
              <w:t xml:space="preserve">                        </w:t>
            </w:r>
            <w:proofErr w:type="gramEnd"/>
            <w:r w:rsidRPr="00D21439">
              <w:rPr>
                <w:sz w:val="16"/>
                <w:szCs w:val="16"/>
              </w:rPr>
              <w:t>(data)</w:t>
            </w:r>
          </w:p>
        </w:tc>
        <w:tc>
          <w:tcPr>
            <w:tcW w:w="2434" w:type="dxa"/>
            <w:gridSpan w:val="2"/>
            <w:shd w:val="clear" w:color="auto" w:fill="auto"/>
          </w:tcPr>
          <w:p w:rsidR="000A7A10" w:rsidRPr="00D21439" w:rsidRDefault="000A7A10" w:rsidP="00D021B7">
            <w:pPr>
              <w:rPr>
                <w:sz w:val="16"/>
                <w:szCs w:val="16"/>
              </w:rPr>
            </w:pPr>
          </w:p>
        </w:tc>
        <w:tc>
          <w:tcPr>
            <w:tcW w:w="5504" w:type="dxa"/>
            <w:gridSpan w:val="3"/>
            <w:tcBorders>
              <w:top w:val="single" w:sz="4" w:space="0" w:color="auto"/>
            </w:tcBorders>
            <w:shd w:val="clear" w:color="auto" w:fill="auto"/>
          </w:tcPr>
          <w:p w:rsidR="000A7A10" w:rsidRPr="00D21439" w:rsidRDefault="000A7A10" w:rsidP="000A7A10">
            <w:pPr>
              <w:ind w:left="-11" w:firstLine="11"/>
              <w:rPr>
                <w:sz w:val="16"/>
                <w:szCs w:val="16"/>
              </w:rPr>
            </w:pPr>
            <w:r w:rsidRPr="00D21439">
              <w:rPr>
                <w:sz w:val="16"/>
                <w:szCs w:val="16"/>
              </w:rPr>
              <w:t>(parašas)</w:t>
            </w:r>
            <w:proofErr w:type="gramStart"/>
            <w:r w:rsidRPr="00D21439">
              <w:rPr>
                <w:sz w:val="16"/>
                <w:szCs w:val="16"/>
              </w:rPr>
              <w:t xml:space="preserve">                         </w:t>
            </w:r>
            <w:proofErr w:type="gramEnd"/>
            <w:r w:rsidRPr="00D21439">
              <w:rPr>
                <w:sz w:val="16"/>
                <w:szCs w:val="16"/>
              </w:rPr>
              <w:t>(data)</w:t>
            </w:r>
          </w:p>
        </w:tc>
      </w:tr>
    </w:tbl>
    <w:p w:rsidR="00C95ED6" w:rsidRPr="00D21439" w:rsidRDefault="00C95ED6" w:rsidP="000A7A10">
      <w:pPr>
        <w:pStyle w:val="Antrats"/>
        <w:tabs>
          <w:tab w:val="clear" w:pos="4153"/>
          <w:tab w:val="clear" w:pos="8306"/>
          <w:tab w:val="left" w:pos="6237"/>
        </w:tabs>
        <w:rPr>
          <w:sz w:val="16"/>
          <w:szCs w:val="16"/>
        </w:rPr>
      </w:pPr>
    </w:p>
    <w:p w:rsidR="00CA70B2" w:rsidRPr="00AC7855" w:rsidRDefault="000A7A10" w:rsidP="000A7A10">
      <w:pPr>
        <w:pStyle w:val="Antrats"/>
        <w:tabs>
          <w:tab w:val="clear" w:pos="4153"/>
          <w:tab w:val="clear" w:pos="8306"/>
          <w:tab w:val="left" w:pos="6237"/>
        </w:tabs>
        <w:jc w:val="center"/>
        <w:rPr>
          <w:sz w:val="16"/>
          <w:szCs w:val="16"/>
        </w:rPr>
      </w:pPr>
      <w:r w:rsidRPr="00D21439">
        <w:rPr>
          <w:sz w:val="16"/>
          <w:szCs w:val="16"/>
        </w:rPr>
        <w:t>––––––––––––––––––––</w:t>
      </w:r>
    </w:p>
    <w:sectPr w:rsidR="00CA70B2" w:rsidRPr="00AC7855" w:rsidSect="000A7A10">
      <w:headerReference w:type="default" r:id="rId9"/>
      <w:pgSz w:w="16838" w:h="11906" w:orient="landscape" w:code="9"/>
      <w:pgMar w:top="1418" w:right="107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E7" w:rsidRDefault="00CF70E7" w:rsidP="00BC2B98">
      <w:r>
        <w:separator/>
      </w:r>
    </w:p>
  </w:endnote>
  <w:endnote w:type="continuationSeparator" w:id="0">
    <w:p w:rsidR="00CF70E7" w:rsidRDefault="00CF70E7" w:rsidP="00BC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E7" w:rsidRDefault="00CF70E7" w:rsidP="00BC2B98">
      <w:r>
        <w:separator/>
      </w:r>
    </w:p>
  </w:footnote>
  <w:footnote w:type="continuationSeparator" w:id="0">
    <w:p w:rsidR="00CF70E7" w:rsidRDefault="00CF70E7" w:rsidP="00BC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9BE" w:rsidRDefault="00E909BE" w:rsidP="00D021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F0CF9">
      <w:rPr>
        <w:rStyle w:val="Puslapionumeris"/>
        <w:noProof/>
      </w:rPr>
      <w:t>2</w:t>
    </w:r>
    <w:r>
      <w:rPr>
        <w:rStyle w:val="Puslapionumeris"/>
      </w:rPr>
      <w:fldChar w:fldCharType="end"/>
    </w:r>
  </w:p>
  <w:p w:rsidR="00E909BE" w:rsidRDefault="00E909BE">
    <w:pPr>
      <w:pStyle w:val="Antrats"/>
    </w:pPr>
  </w:p>
  <w:p w:rsidR="00E909BE" w:rsidRDefault="00E909BE" w:rsidP="00D021B7">
    <w:pPr>
      <w:pStyle w:val="Antrats"/>
      <w:jc w:val="center"/>
    </w:pPr>
  </w:p>
  <w:p w:rsidR="00E909BE" w:rsidRDefault="00E909BE" w:rsidP="00D021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01D"/>
    <w:multiLevelType w:val="multilevel"/>
    <w:tmpl w:val="E640E394"/>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29F30BFF"/>
    <w:multiLevelType w:val="hybridMultilevel"/>
    <w:tmpl w:val="052C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CB35F02"/>
    <w:multiLevelType w:val="hybridMultilevel"/>
    <w:tmpl w:val="94FE479C"/>
    <w:lvl w:ilvl="0" w:tplc="D460F46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MzA3t7CwNDUzNDFW0lEKTi0uzszPAykwqgUAJh6vrywAAAA="/>
  </w:docVars>
  <w:rsids>
    <w:rsidRoot w:val="00BC2B98"/>
    <w:rsid w:val="00021E44"/>
    <w:rsid w:val="00026371"/>
    <w:rsid w:val="000414E8"/>
    <w:rsid w:val="000830E7"/>
    <w:rsid w:val="000A7A10"/>
    <w:rsid w:val="000B2FE6"/>
    <w:rsid w:val="000D1A2C"/>
    <w:rsid w:val="000E4E6D"/>
    <w:rsid w:val="000F2DF1"/>
    <w:rsid w:val="00101A72"/>
    <w:rsid w:val="001063F0"/>
    <w:rsid w:val="00133EBD"/>
    <w:rsid w:val="00152FD1"/>
    <w:rsid w:val="001B781D"/>
    <w:rsid w:val="001F7CC9"/>
    <w:rsid w:val="0024050A"/>
    <w:rsid w:val="002827FF"/>
    <w:rsid w:val="00295F64"/>
    <w:rsid w:val="00312280"/>
    <w:rsid w:val="003138AC"/>
    <w:rsid w:val="00314546"/>
    <w:rsid w:val="00333209"/>
    <w:rsid w:val="0034136F"/>
    <w:rsid w:val="00355884"/>
    <w:rsid w:val="0037333C"/>
    <w:rsid w:val="003938A2"/>
    <w:rsid w:val="003A78B5"/>
    <w:rsid w:val="003C21AF"/>
    <w:rsid w:val="003D0696"/>
    <w:rsid w:val="003D705B"/>
    <w:rsid w:val="003F2C93"/>
    <w:rsid w:val="0046300C"/>
    <w:rsid w:val="004845F6"/>
    <w:rsid w:val="00486457"/>
    <w:rsid w:val="004A202E"/>
    <w:rsid w:val="004C0F91"/>
    <w:rsid w:val="004E19FD"/>
    <w:rsid w:val="004E5DFB"/>
    <w:rsid w:val="00507286"/>
    <w:rsid w:val="0053264B"/>
    <w:rsid w:val="00562677"/>
    <w:rsid w:val="00573C1F"/>
    <w:rsid w:val="0057462A"/>
    <w:rsid w:val="00577083"/>
    <w:rsid w:val="00596993"/>
    <w:rsid w:val="005A157E"/>
    <w:rsid w:val="005A5A02"/>
    <w:rsid w:val="005B3AD2"/>
    <w:rsid w:val="005C3EDE"/>
    <w:rsid w:val="005C5E7E"/>
    <w:rsid w:val="0068355B"/>
    <w:rsid w:val="006F0CF9"/>
    <w:rsid w:val="00707291"/>
    <w:rsid w:val="00711316"/>
    <w:rsid w:val="00713BEF"/>
    <w:rsid w:val="00732D84"/>
    <w:rsid w:val="007647C3"/>
    <w:rsid w:val="00765784"/>
    <w:rsid w:val="00766B0B"/>
    <w:rsid w:val="00776D61"/>
    <w:rsid w:val="00784943"/>
    <w:rsid w:val="007A439F"/>
    <w:rsid w:val="007F0148"/>
    <w:rsid w:val="00800DC7"/>
    <w:rsid w:val="008034AC"/>
    <w:rsid w:val="008610B2"/>
    <w:rsid w:val="00864A5A"/>
    <w:rsid w:val="008970D3"/>
    <w:rsid w:val="008A18C1"/>
    <w:rsid w:val="008A4BFF"/>
    <w:rsid w:val="008A7AED"/>
    <w:rsid w:val="008B4400"/>
    <w:rsid w:val="008D0CC9"/>
    <w:rsid w:val="00901145"/>
    <w:rsid w:val="00912685"/>
    <w:rsid w:val="00913BB1"/>
    <w:rsid w:val="00917BC5"/>
    <w:rsid w:val="00940D11"/>
    <w:rsid w:val="00941442"/>
    <w:rsid w:val="00983100"/>
    <w:rsid w:val="009C0E4C"/>
    <w:rsid w:val="009D64F9"/>
    <w:rsid w:val="00A30EDE"/>
    <w:rsid w:val="00A4465C"/>
    <w:rsid w:val="00A80EBB"/>
    <w:rsid w:val="00A8304C"/>
    <w:rsid w:val="00AC7855"/>
    <w:rsid w:val="00AE58EE"/>
    <w:rsid w:val="00AF1EF6"/>
    <w:rsid w:val="00B352DA"/>
    <w:rsid w:val="00B749E9"/>
    <w:rsid w:val="00B87A6F"/>
    <w:rsid w:val="00BA7856"/>
    <w:rsid w:val="00BB1CD8"/>
    <w:rsid w:val="00BB46B5"/>
    <w:rsid w:val="00BB76CA"/>
    <w:rsid w:val="00BC2B98"/>
    <w:rsid w:val="00BD41CD"/>
    <w:rsid w:val="00BE3258"/>
    <w:rsid w:val="00C42B7F"/>
    <w:rsid w:val="00C86FB6"/>
    <w:rsid w:val="00C95ED6"/>
    <w:rsid w:val="00CA52AC"/>
    <w:rsid w:val="00CA70B2"/>
    <w:rsid w:val="00CC3677"/>
    <w:rsid w:val="00CD2160"/>
    <w:rsid w:val="00CE7B33"/>
    <w:rsid w:val="00CF5D26"/>
    <w:rsid w:val="00CF70E7"/>
    <w:rsid w:val="00D01D41"/>
    <w:rsid w:val="00D021B7"/>
    <w:rsid w:val="00D20B9F"/>
    <w:rsid w:val="00D21439"/>
    <w:rsid w:val="00D34B42"/>
    <w:rsid w:val="00D44271"/>
    <w:rsid w:val="00D44BAE"/>
    <w:rsid w:val="00D5128C"/>
    <w:rsid w:val="00D72351"/>
    <w:rsid w:val="00D808C1"/>
    <w:rsid w:val="00D93366"/>
    <w:rsid w:val="00D94D16"/>
    <w:rsid w:val="00D97079"/>
    <w:rsid w:val="00DA3413"/>
    <w:rsid w:val="00DA5E88"/>
    <w:rsid w:val="00DB74FE"/>
    <w:rsid w:val="00E12A0B"/>
    <w:rsid w:val="00E43540"/>
    <w:rsid w:val="00E55D84"/>
    <w:rsid w:val="00E6571D"/>
    <w:rsid w:val="00E82E10"/>
    <w:rsid w:val="00E909BE"/>
    <w:rsid w:val="00EC7249"/>
    <w:rsid w:val="00EF42A9"/>
    <w:rsid w:val="00F07F4E"/>
    <w:rsid w:val="00F43716"/>
    <w:rsid w:val="00F65399"/>
    <w:rsid w:val="00F662CF"/>
    <w:rsid w:val="00F67C7A"/>
    <w:rsid w:val="00F910B6"/>
    <w:rsid w:val="00FA23FE"/>
    <w:rsid w:val="00FB3DB5"/>
    <w:rsid w:val="00FD030C"/>
    <w:rsid w:val="00FD1FCA"/>
    <w:rsid w:val="00FF0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 w:type="paragraph" w:styleId="Pataisymai">
    <w:name w:val="Revision"/>
    <w:hidden/>
    <w:uiPriority w:val="99"/>
    <w:semiHidden/>
    <w:rsid w:val="00026371"/>
    <w:pPr>
      <w:spacing w:after="0"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 w:type="paragraph" w:styleId="Pataisymai">
    <w:name w:val="Revision"/>
    <w:hidden/>
    <w:uiPriority w:val="99"/>
    <w:semiHidden/>
    <w:rsid w:val="0002637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B4B1-7B40-4CD8-A732-698579B4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6480</Words>
  <Characters>3694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Laura Sabulienė</cp:lastModifiedBy>
  <cp:revision>7</cp:revision>
  <cp:lastPrinted>2019-10-24T10:25:00Z</cp:lastPrinted>
  <dcterms:created xsi:type="dcterms:W3CDTF">2020-10-29T15:21:00Z</dcterms:created>
  <dcterms:modified xsi:type="dcterms:W3CDTF">2020-11-12T08:51:00Z</dcterms:modified>
</cp:coreProperties>
</file>