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5C" w:rsidRPr="00DE1B32" w:rsidRDefault="00D9575C" w:rsidP="002462D1">
      <w:pPr>
        <w:ind w:left="7088"/>
        <w:rPr>
          <w:rFonts w:ascii="TimesLT" w:hAnsi="TimesLT"/>
          <w:b/>
          <w:szCs w:val="24"/>
        </w:rPr>
      </w:pPr>
      <w:r w:rsidRPr="00DE1B32">
        <w:rPr>
          <w:rFonts w:ascii="TimesLT" w:hAnsi="TimesLT"/>
          <w:b/>
          <w:szCs w:val="24"/>
        </w:rPr>
        <w:t xml:space="preserve">Projekto </w:t>
      </w:r>
    </w:p>
    <w:p w:rsidR="00D9575C" w:rsidRDefault="00D9575C" w:rsidP="002462D1">
      <w:pPr>
        <w:ind w:left="7088"/>
        <w:rPr>
          <w:rFonts w:ascii="TimesLT" w:hAnsi="TimesLT"/>
          <w:b/>
          <w:szCs w:val="24"/>
        </w:rPr>
      </w:pPr>
      <w:r w:rsidRPr="00DE1B32">
        <w:rPr>
          <w:rFonts w:ascii="TimesLT" w:hAnsi="TimesLT"/>
          <w:b/>
          <w:szCs w:val="24"/>
        </w:rPr>
        <w:t>lyginamasis variantas</w:t>
      </w:r>
    </w:p>
    <w:p w:rsidR="00D9575C" w:rsidRDefault="00D9575C" w:rsidP="00D9575C">
      <w:pPr>
        <w:spacing w:line="360" w:lineRule="auto"/>
        <w:ind w:left="5040"/>
        <w:jc w:val="right"/>
        <w:rPr>
          <w:rFonts w:ascii="TimesLT" w:hAnsi="TimesLT"/>
          <w:b/>
          <w:szCs w:val="24"/>
        </w:rPr>
      </w:pPr>
    </w:p>
    <w:p w:rsidR="00D9575C" w:rsidRDefault="00D9575C" w:rsidP="00F97424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:rsidR="00AC6382" w:rsidRDefault="00200EE3" w:rsidP="00F97424">
      <w:pPr>
        <w:jc w:val="center"/>
        <w:rPr>
          <w:b/>
          <w:caps/>
        </w:rPr>
      </w:pPr>
      <w:r>
        <w:rPr>
          <w:b/>
          <w:caps/>
        </w:rPr>
        <w:t>profesinių pensijų kaupimo įstatymo nr. x-</w:t>
      </w:r>
      <w:r>
        <w:rPr>
          <w:b/>
          <w:caps/>
          <w:lang w:val="en-US"/>
        </w:rPr>
        <w:t>745</w:t>
      </w:r>
      <w:r>
        <w:rPr>
          <w:b/>
          <w:caps/>
        </w:rPr>
        <w:t xml:space="preserve"> </w:t>
      </w:r>
      <w:r w:rsidR="00D1764C">
        <w:rPr>
          <w:b/>
          <w:caps/>
          <w:lang w:val="en-US"/>
        </w:rPr>
        <w:t xml:space="preserve">56, </w:t>
      </w:r>
      <w:r w:rsidR="00B96128">
        <w:rPr>
          <w:b/>
          <w:caps/>
          <w:lang w:val="en-US"/>
        </w:rPr>
        <w:t xml:space="preserve">59, </w:t>
      </w:r>
      <w:r>
        <w:rPr>
          <w:b/>
          <w:caps/>
          <w:lang w:val="en-US"/>
        </w:rPr>
        <w:t xml:space="preserve">63 </w:t>
      </w:r>
      <w:r w:rsidR="003071BB">
        <w:rPr>
          <w:b/>
          <w:caps/>
        </w:rPr>
        <w:t xml:space="preserve">STRAIPSNIŲ IR PRIEDO </w:t>
      </w:r>
      <w:r w:rsidR="00AC6382">
        <w:rPr>
          <w:b/>
          <w:caps/>
        </w:rPr>
        <w:t>PAKEITIMO</w:t>
      </w:r>
    </w:p>
    <w:p w:rsidR="009A043E" w:rsidRDefault="00957C43">
      <w:pPr>
        <w:jc w:val="center"/>
        <w:rPr>
          <w:caps/>
        </w:rPr>
      </w:pPr>
      <w:r>
        <w:rPr>
          <w:b/>
          <w:caps/>
        </w:rPr>
        <w:t>įstatymas</w:t>
      </w:r>
    </w:p>
    <w:p w:rsidR="00D9575C" w:rsidRDefault="00D9575C" w:rsidP="002462D1">
      <w:pPr>
        <w:jc w:val="center"/>
        <w:rPr>
          <w:b/>
          <w:caps/>
        </w:rPr>
      </w:pPr>
    </w:p>
    <w:p w:rsidR="00D9575C" w:rsidRDefault="00D9575C" w:rsidP="002462D1">
      <w:pPr>
        <w:jc w:val="center"/>
        <w:rPr>
          <w:szCs w:val="24"/>
        </w:rPr>
      </w:pPr>
      <w:r w:rsidRPr="009302A7">
        <w:rPr>
          <w:szCs w:val="24"/>
          <w:lang w:val="en-US"/>
        </w:rPr>
        <w:t>20</w:t>
      </w:r>
      <w:r w:rsidR="00592D7D" w:rsidRPr="009302A7">
        <w:rPr>
          <w:szCs w:val="24"/>
          <w:lang w:val="en-US"/>
        </w:rPr>
        <w:t>2</w:t>
      </w:r>
      <w:r w:rsidR="00412CC0" w:rsidRPr="009302A7">
        <w:rPr>
          <w:szCs w:val="24"/>
          <w:lang w:val="en-US"/>
        </w:rPr>
        <w:t>1</w:t>
      </w:r>
      <w:r>
        <w:rPr>
          <w:szCs w:val="24"/>
        </w:rPr>
        <w:t xml:space="preserve"> m. </w:t>
      </w:r>
      <w:r w:rsidR="00592D7D">
        <w:rPr>
          <w:szCs w:val="24"/>
        </w:rPr>
        <w:t xml:space="preserve"> </w:t>
      </w:r>
      <w:r w:rsidR="00B96128">
        <w:rPr>
          <w:szCs w:val="24"/>
        </w:rPr>
        <w:t xml:space="preserve">      </w:t>
      </w:r>
      <w:r>
        <w:rPr>
          <w:szCs w:val="24"/>
        </w:rPr>
        <w:t xml:space="preserve"> d. Nr. </w:t>
      </w:r>
    </w:p>
    <w:p w:rsidR="00D9575C" w:rsidRDefault="00D9575C" w:rsidP="002462D1">
      <w:pPr>
        <w:jc w:val="center"/>
        <w:rPr>
          <w:szCs w:val="24"/>
        </w:rPr>
      </w:pPr>
      <w:r>
        <w:rPr>
          <w:szCs w:val="24"/>
        </w:rPr>
        <w:t>Vilnius</w:t>
      </w:r>
    </w:p>
    <w:p w:rsidR="00D9575C" w:rsidRDefault="00D9575C" w:rsidP="002462D1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:rsidR="00CB453C" w:rsidRPr="0065022A" w:rsidRDefault="00B96128" w:rsidP="00157E48">
      <w:pPr>
        <w:spacing w:line="360" w:lineRule="atLeast"/>
        <w:ind w:firstLine="720"/>
        <w:jc w:val="both"/>
        <w:rPr>
          <w:b/>
          <w:szCs w:val="24"/>
        </w:rPr>
      </w:pPr>
      <w:r>
        <w:rPr>
          <w:b/>
          <w:szCs w:val="24"/>
        </w:rPr>
        <w:t>1</w:t>
      </w:r>
      <w:r w:rsidR="00250A5A" w:rsidRPr="00250A5A">
        <w:rPr>
          <w:b/>
          <w:szCs w:val="24"/>
        </w:rPr>
        <w:t xml:space="preserve"> straipsnis. </w:t>
      </w:r>
      <w:r w:rsidR="00CB453C" w:rsidRPr="0065022A">
        <w:rPr>
          <w:b/>
          <w:szCs w:val="24"/>
        </w:rPr>
        <w:t>56 straipsnio pakeitimas</w:t>
      </w:r>
    </w:p>
    <w:p w:rsidR="00CB453C" w:rsidRPr="00447EB5" w:rsidRDefault="00166CA3" w:rsidP="00157E48">
      <w:pPr>
        <w:pStyle w:val="Sraopastraipa"/>
        <w:numPr>
          <w:ilvl w:val="0"/>
          <w:numId w:val="9"/>
        </w:numPr>
        <w:spacing w:line="360" w:lineRule="atLeast"/>
        <w:ind w:left="0"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CB453C" w:rsidRPr="00447EB5">
        <w:rPr>
          <w:szCs w:val="24"/>
        </w:rPr>
        <w:t>Pa</w:t>
      </w:r>
      <w:r w:rsidR="003E6427">
        <w:rPr>
          <w:szCs w:val="24"/>
        </w:rPr>
        <w:t>keisti</w:t>
      </w:r>
      <w:r w:rsidR="00CB453C" w:rsidRPr="00447EB5">
        <w:rPr>
          <w:szCs w:val="24"/>
        </w:rPr>
        <w:t xml:space="preserve"> 56 straipsnio 1 dal</w:t>
      </w:r>
      <w:r w:rsidR="00CB008A" w:rsidRPr="00447EB5">
        <w:rPr>
          <w:szCs w:val="24"/>
        </w:rPr>
        <w:t>ies 3 punktą ir jį išdėstyti taip:</w:t>
      </w:r>
    </w:p>
    <w:p w:rsidR="00CB453C" w:rsidRDefault="0065022A" w:rsidP="00157E48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</w:t>
      </w:r>
      <w:r w:rsidR="009302A7" w:rsidRPr="009302A7">
        <w:rPr>
          <w:szCs w:val="24"/>
        </w:rPr>
        <w:t>3)</w:t>
      </w:r>
      <w:r w:rsidR="009302A7">
        <w:rPr>
          <w:szCs w:val="24"/>
        </w:rPr>
        <w:t xml:space="preserve"> </w:t>
      </w:r>
      <w:r w:rsidR="009302A7" w:rsidRPr="009302A7">
        <w:rPr>
          <w:szCs w:val="24"/>
        </w:rPr>
        <w:t xml:space="preserve">tai, ar taikant investavimo metodą atsižvelgiama į aplinkos, klimato kaitos, socialinius ir organizacijos valdymo veiksnius ir kaip tai daroma, </w:t>
      </w:r>
      <w:r w:rsidR="009302A7">
        <w:rPr>
          <w:b/>
          <w:szCs w:val="24"/>
        </w:rPr>
        <w:t xml:space="preserve">bei </w:t>
      </w:r>
      <w:r w:rsidR="00F9310C">
        <w:rPr>
          <w:b/>
          <w:szCs w:val="24"/>
        </w:rPr>
        <w:t>tai</w:t>
      </w:r>
      <w:r w:rsidR="00CB453C" w:rsidRPr="00D1764C">
        <w:rPr>
          <w:b/>
          <w:szCs w:val="24"/>
        </w:rPr>
        <w:t>, kaip įgyvendin</w:t>
      </w:r>
      <w:r w:rsidR="00166CA3">
        <w:rPr>
          <w:b/>
          <w:szCs w:val="24"/>
        </w:rPr>
        <w:t xml:space="preserve">amas Reglamentas (ES) 2019/2088, </w:t>
      </w:r>
      <w:r w:rsidR="00166CA3">
        <w:rPr>
          <w:szCs w:val="24"/>
        </w:rPr>
        <w:t>ir</w:t>
      </w:r>
      <w:r>
        <w:rPr>
          <w:szCs w:val="24"/>
        </w:rPr>
        <w:t>“</w:t>
      </w:r>
      <w:r w:rsidR="00F97424">
        <w:rPr>
          <w:szCs w:val="24"/>
        </w:rPr>
        <w:t>.</w:t>
      </w:r>
    </w:p>
    <w:p w:rsidR="00447EB5" w:rsidRDefault="00EA1C15" w:rsidP="00157E48">
      <w:pPr>
        <w:pStyle w:val="Sraopastraipa"/>
        <w:numPr>
          <w:ilvl w:val="0"/>
          <w:numId w:val="9"/>
        </w:numPr>
        <w:spacing w:line="360" w:lineRule="atLeast"/>
        <w:ind w:left="0"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447EB5">
        <w:rPr>
          <w:szCs w:val="24"/>
        </w:rPr>
        <w:t>Pakeisti 56 straipsnio 1 dalies 3 punktą ir jį išdėstyti taip:</w:t>
      </w:r>
    </w:p>
    <w:p w:rsidR="00447EB5" w:rsidRPr="00447EB5" w:rsidRDefault="00447EB5" w:rsidP="00157E48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9302A7">
        <w:rPr>
          <w:szCs w:val="24"/>
        </w:rPr>
        <w:t>3)</w:t>
      </w:r>
      <w:r>
        <w:rPr>
          <w:szCs w:val="24"/>
        </w:rPr>
        <w:t xml:space="preserve"> </w:t>
      </w:r>
      <w:r w:rsidRPr="009302A7">
        <w:rPr>
          <w:szCs w:val="24"/>
        </w:rPr>
        <w:t xml:space="preserve">tai, ar taikant investavimo metodą atsižvelgiama į aplinkos, klimato kaitos, socialinius ir organizacijos valdymo veiksnius ir kaip tai daroma, </w:t>
      </w:r>
      <w:r w:rsidRPr="00447EB5">
        <w:rPr>
          <w:szCs w:val="24"/>
        </w:rPr>
        <w:t xml:space="preserve">bei tai, kaip įgyvendinamas Reglamentas (ES) 2019/2088 </w:t>
      </w:r>
      <w:r w:rsidRPr="00447EB5">
        <w:rPr>
          <w:b/>
          <w:szCs w:val="24"/>
        </w:rPr>
        <w:t>ir Reglamento (ES) 2020/852 5, 6 ir 7 straipsniai</w:t>
      </w:r>
      <w:r>
        <w:rPr>
          <w:szCs w:val="24"/>
        </w:rPr>
        <w:t xml:space="preserve">, </w:t>
      </w:r>
      <w:r w:rsidRPr="003E5E35">
        <w:rPr>
          <w:szCs w:val="24"/>
        </w:rPr>
        <w:t>ir</w:t>
      </w:r>
      <w:r w:rsidR="0017756F">
        <w:rPr>
          <w:szCs w:val="24"/>
        </w:rPr>
        <w:t>“</w:t>
      </w:r>
      <w:r w:rsidR="00F97424">
        <w:rPr>
          <w:szCs w:val="24"/>
        </w:rPr>
        <w:t>.</w:t>
      </w:r>
    </w:p>
    <w:p w:rsidR="00B96128" w:rsidRDefault="00B96128" w:rsidP="00B96128">
      <w:pPr>
        <w:spacing w:line="360" w:lineRule="atLeast"/>
        <w:ind w:firstLine="720"/>
        <w:jc w:val="both"/>
        <w:rPr>
          <w:b/>
          <w:bCs/>
          <w:szCs w:val="24"/>
          <w:lang w:eastAsia="lt-LT"/>
        </w:rPr>
      </w:pPr>
    </w:p>
    <w:p w:rsidR="00B96128" w:rsidRDefault="00B96128" w:rsidP="00B96128">
      <w:pPr>
        <w:spacing w:line="360" w:lineRule="atLeast"/>
        <w:ind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 straipsnis. 59 straipsnio pakeitimas</w:t>
      </w:r>
    </w:p>
    <w:p w:rsidR="00B96128" w:rsidRPr="00447EB5" w:rsidRDefault="00B96128" w:rsidP="00B96128">
      <w:pPr>
        <w:pStyle w:val="Sraopastraipa"/>
        <w:numPr>
          <w:ilvl w:val="0"/>
          <w:numId w:val="8"/>
        </w:numPr>
        <w:spacing w:line="360" w:lineRule="atLeast"/>
        <w:ind w:left="0"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val="en-US" w:eastAsia="lt-LT"/>
        </w:rPr>
        <w:t xml:space="preserve"> </w:t>
      </w:r>
      <w:proofErr w:type="spellStart"/>
      <w:r w:rsidRPr="00447EB5">
        <w:rPr>
          <w:bCs/>
          <w:szCs w:val="24"/>
          <w:lang w:val="en-US" w:eastAsia="lt-LT"/>
        </w:rPr>
        <w:t>Papildyti</w:t>
      </w:r>
      <w:proofErr w:type="spellEnd"/>
      <w:r w:rsidRPr="00447EB5">
        <w:rPr>
          <w:bCs/>
          <w:szCs w:val="24"/>
          <w:lang w:val="en-US" w:eastAsia="lt-LT"/>
        </w:rPr>
        <w:t xml:space="preserve"> 5</w:t>
      </w:r>
      <w:r>
        <w:rPr>
          <w:bCs/>
          <w:szCs w:val="24"/>
          <w:lang w:val="en-US" w:eastAsia="lt-LT"/>
        </w:rPr>
        <w:t>9</w:t>
      </w:r>
      <w:r w:rsidRPr="00447EB5">
        <w:rPr>
          <w:bCs/>
          <w:szCs w:val="24"/>
          <w:lang w:val="en-US" w:eastAsia="lt-LT"/>
        </w:rPr>
        <w:t xml:space="preserve"> </w:t>
      </w:r>
      <w:proofErr w:type="spellStart"/>
      <w:r w:rsidRPr="00447EB5">
        <w:rPr>
          <w:bCs/>
          <w:szCs w:val="24"/>
          <w:lang w:val="en-US" w:eastAsia="lt-LT"/>
        </w:rPr>
        <w:t>straipsn</w:t>
      </w:r>
      <w:r w:rsidR="00046ABD">
        <w:rPr>
          <w:bCs/>
          <w:szCs w:val="24"/>
          <w:lang w:eastAsia="lt-LT"/>
        </w:rPr>
        <w:t>io</w:t>
      </w:r>
      <w:proofErr w:type="spellEnd"/>
      <w:r w:rsidRPr="00447EB5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5</w:t>
      </w:r>
      <w:r w:rsidRPr="00447EB5">
        <w:rPr>
          <w:bCs/>
          <w:szCs w:val="24"/>
          <w:lang w:eastAsia="lt-LT"/>
        </w:rPr>
        <w:t xml:space="preserve"> dal</w:t>
      </w:r>
      <w:r>
        <w:rPr>
          <w:bCs/>
          <w:szCs w:val="24"/>
          <w:lang w:eastAsia="lt-LT"/>
        </w:rPr>
        <w:t xml:space="preserve">į </w:t>
      </w:r>
      <w:r w:rsidR="00A42743">
        <w:rPr>
          <w:bCs/>
          <w:szCs w:val="24"/>
          <w:lang w:eastAsia="lt-LT"/>
        </w:rPr>
        <w:t>nauju 4</w:t>
      </w:r>
      <w:r>
        <w:rPr>
          <w:bCs/>
          <w:szCs w:val="24"/>
          <w:lang w:eastAsia="lt-LT"/>
        </w:rPr>
        <w:t xml:space="preserve"> punktu</w:t>
      </w:r>
      <w:r w:rsidRPr="00447EB5">
        <w:rPr>
          <w:bCs/>
          <w:szCs w:val="24"/>
          <w:lang w:eastAsia="lt-LT"/>
        </w:rPr>
        <w:t>:</w:t>
      </w:r>
    </w:p>
    <w:p w:rsidR="00B96128" w:rsidRDefault="00B96128" w:rsidP="00B96128">
      <w:pPr>
        <w:spacing w:line="360" w:lineRule="atLeast"/>
        <w:ind w:firstLine="720"/>
        <w:jc w:val="both"/>
        <w:rPr>
          <w:szCs w:val="24"/>
        </w:rPr>
      </w:pPr>
      <w:r>
        <w:rPr>
          <w:bCs/>
          <w:szCs w:val="24"/>
          <w:lang w:eastAsia="lt-LT"/>
        </w:rPr>
        <w:t>„</w:t>
      </w:r>
      <w:r w:rsidR="00A42743">
        <w:rPr>
          <w:b/>
          <w:bCs/>
          <w:szCs w:val="24"/>
          <w:lang w:eastAsia="lt-LT"/>
        </w:rPr>
        <w:t>4</w:t>
      </w:r>
      <w:r w:rsidR="00046ABD">
        <w:rPr>
          <w:b/>
          <w:bCs/>
          <w:szCs w:val="24"/>
          <w:lang w:eastAsia="lt-LT"/>
        </w:rPr>
        <w:t>)</w:t>
      </w:r>
      <w:r w:rsidRPr="00F336B5">
        <w:rPr>
          <w:b/>
          <w:bCs/>
          <w:szCs w:val="24"/>
          <w:lang w:eastAsia="lt-LT"/>
        </w:rPr>
        <w:t xml:space="preserve"> atlieka </w:t>
      </w:r>
      <w:r w:rsidRPr="00B11AD0">
        <w:rPr>
          <w:b/>
          <w:szCs w:val="24"/>
        </w:rPr>
        <w:t>Reglamente (ES) 20</w:t>
      </w:r>
      <w:r>
        <w:rPr>
          <w:b/>
          <w:szCs w:val="24"/>
        </w:rPr>
        <w:t>19</w:t>
      </w:r>
      <w:r w:rsidRPr="00B11AD0">
        <w:rPr>
          <w:b/>
          <w:szCs w:val="24"/>
        </w:rPr>
        <w:t>/</w:t>
      </w:r>
      <w:r>
        <w:rPr>
          <w:b/>
          <w:szCs w:val="24"/>
        </w:rPr>
        <w:t>2088</w:t>
      </w:r>
      <w:r>
        <w:rPr>
          <w:szCs w:val="24"/>
        </w:rPr>
        <w:t xml:space="preserve"> </w:t>
      </w:r>
      <w:r>
        <w:rPr>
          <w:b/>
          <w:szCs w:val="24"/>
        </w:rPr>
        <w:t xml:space="preserve">kompetentingai institucijai </w:t>
      </w:r>
      <w:r w:rsidRPr="00F336B5">
        <w:rPr>
          <w:b/>
          <w:szCs w:val="24"/>
        </w:rPr>
        <w:t>nustatytas funkcijas</w:t>
      </w:r>
      <w:r w:rsidR="00A42743">
        <w:rPr>
          <w:b/>
          <w:szCs w:val="24"/>
        </w:rPr>
        <w:t>;</w:t>
      </w:r>
      <w:r>
        <w:rPr>
          <w:szCs w:val="24"/>
        </w:rPr>
        <w:t>“</w:t>
      </w:r>
      <w:r w:rsidR="00F97424">
        <w:rPr>
          <w:szCs w:val="24"/>
        </w:rPr>
        <w:t>.</w:t>
      </w:r>
    </w:p>
    <w:p w:rsidR="00B96128" w:rsidRDefault="00B96128" w:rsidP="00A42743">
      <w:pPr>
        <w:pStyle w:val="Sraopastraipa"/>
        <w:numPr>
          <w:ilvl w:val="0"/>
          <w:numId w:val="8"/>
        </w:numPr>
        <w:spacing w:line="360" w:lineRule="atLeast"/>
        <w:ind w:left="0" w:firstLine="720"/>
        <w:jc w:val="both"/>
        <w:rPr>
          <w:szCs w:val="24"/>
        </w:rPr>
      </w:pPr>
      <w:r>
        <w:rPr>
          <w:szCs w:val="24"/>
        </w:rPr>
        <w:t xml:space="preserve"> Pakeisti 59 straipsnio 5 dalies </w:t>
      </w:r>
      <w:r w:rsidR="00A42743">
        <w:rPr>
          <w:szCs w:val="24"/>
        </w:rPr>
        <w:t>4</w:t>
      </w:r>
      <w:r>
        <w:rPr>
          <w:szCs w:val="24"/>
        </w:rPr>
        <w:t xml:space="preserve"> punktą ir jį išdėstyti taip:</w:t>
      </w:r>
    </w:p>
    <w:p w:rsidR="00B96128" w:rsidRDefault="00B96128" w:rsidP="00A42743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</w:t>
      </w:r>
      <w:r w:rsidR="00A42743">
        <w:rPr>
          <w:szCs w:val="24"/>
        </w:rPr>
        <w:t>4</w:t>
      </w:r>
      <w:r w:rsidR="00133170">
        <w:rPr>
          <w:szCs w:val="24"/>
        </w:rPr>
        <w:t>)</w:t>
      </w:r>
      <w:r>
        <w:rPr>
          <w:szCs w:val="24"/>
        </w:rPr>
        <w:t xml:space="preserve"> atlieka Reglamente (ES) 2019/2088 </w:t>
      </w:r>
      <w:r w:rsidRPr="00447EB5">
        <w:rPr>
          <w:b/>
          <w:szCs w:val="24"/>
        </w:rPr>
        <w:t xml:space="preserve">ir Reglamente (ES) 2020/852 </w:t>
      </w:r>
      <w:r>
        <w:rPr>
          <w:szCs w:val="24"/>
        </w:rPr>
        <w:t>kompetentingai institucijai nustatytas funkcijas</w:t>
      </w:r>
      <w:r w:rsidR="00A42743">
        <w:rPr>
          <w:szCs w:val="24"/>
        </w:rPr>
        <w:t>;</w:t>
      </w:r>
      <w:r>
        <w:rPr>
          <w:szCs w:val="24"/>
        </w:rPr>
        <w:t>“</w:t>
      </w:r>
      <w:r w:rsidR="00F97424">
        <w:rPr>
          <w:szCs w:val="24"/>
        </w:rPr>
        <w:t>.</w:t>
      </w:r>
    </w:p>
    <w:p w:rsidR="00A42743" w:rsidRPr="00265713" w:rsidRDefault="00A42743" w:rsidP="00A42743">
      <w:pPr>
        <w:pStyle w:val="Sraopastraipa"/>
        <w:spacing w:line="360" w:lineRule="atLeast"/>
        <w:jc w:val="both"/>
        <w:rPr>
          <w:bCs/>
          <w:szCs w:val="24"/>
          <w:lang w:eastAsia="lt-LT"/>
        </w:rPr>
      </w:pPr>
      <w:r>
        <w:rPr>
          <w:szCs w:val="24"/>
        </w:rPr>
        <w:t xml:space="preserve">3. </w:t>
      </w:r>
      <w:r>
        <w:rPr>
          <w:bCs/>
          <w:szCs w:val="24"/>
          <w:lang w:eastAsia="lt-LT"/>
        </w:rPr>
        <w:t>Buvusį 59 straipsnio 5 dalies 4 punktą laikyti 5 punktu</w:t>
      </w:r>
      <w:r w:rsidR="00133170">
        <w:rPr>
          <w:bCs/>
          <w:szCs w:val="24"/>
          <w:lang w:eastAsia="lt-LT"/>
        </w:rPr>
        <w:t>.</w:t>
      </w:r>
    </w:p>
    <w:p w:rsidR="00CB453C" w:rsidRPr="00F336B5" w:rsidRDefault="00CB453C" w:rsidP="00157E48">
      <w:pPr>
        <w:spacing w:line="360" w:lineRule="atLeast"/>
        <w:ind w:firstLine="720"/>
        <w:jc w:val="both"/>
        <w:rPr>
          <w:bCs/>
          <w:szCs w:val="24"/>
          <w:lang w:eastAsia="lt-LT"/>
        </w:rPr>
      </w:pPr>
    </w:p>
    <w:p w:rsidR="009E5CD8" w:rsidRDefault="00C125CD" w:rsidP="00157E48">
      <w:pPr>
        <w:spacing w:line="360" w:lineRule="atLeast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3</w:t>
      </w:r>
      <w:r w:rsidR="00F336B5">
        <w:rPr>
          <w:b/>
          <w:bCs/>
          <w:szCs w:val="24"/>
          <w:lang w:eastAsia="lt-LT"/>
        </w:rPr>
        <w:t xml:space="preserve"> straipsnis.</w:t>
      </w:r>
      <w:r w:rsidR="00D9575C">
        <w:rPr>
          <w:b/>
          <w:bCs/>
          <w:szCs w:val="24"/>
          <w:lang w:eastAsia="lt-LT"/>
        </w:rPr>
        <w:t xml:space="preserve"> </w:t>
      </w:r>
      <w:r w:rsidR="00A4401F">
        <w:rPr>
          <w:b/>
          <w:bCs/>
          <w:szCs w:val="24"/>
          <w:lang w:eastAsia="lt-LT"/>
        </w:rPr>
        <w:t>63</w:t>
      </w:r>
      <w:r w:rsidR="009E5CD8">
        <w:rPr>
          <w:b/>
          <w:bCs/>
          <w:szCs w:val="24"/>
        </w:rPr>
        <w:t xml:space="preserve"> straipsnio pakeitimas</w:t>
      </w:r>
    </w:p>
    <w:p w:rsidR="009E5CD8" w:rsidRPr="00B96128" w:rsidRDefault="00B96128" w:rsidP="00B96128">
      <w:pPr>
        <w:spacing w:line="360" w:lineRule="atLeast"/>
        <w:ind w:left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1. </w:t>
      </w:r>
      <w:r w:rsidR="009E5CD8" w:rsidRPr="00B96128">
        <w:rPr>
          <w:bCs/>
          <w:szCs w:val="24"/>
          <w:lang w:eastAsia="lt-LT"/>
        </w:rPr>
        <w:t xml:space="preserve">Pakeisti </w:t>
      </w:r>
      <w:r w:rsidR="00A4401F" w:rsidRPr="00B96128">
        <w:rPr>
          <w:bCs/>
          <w:szCs w:val="24"/>
          <w:lang w:eastAsia="lt-LT"/>
        </w:rPr>
        <w:t>63</w:t>
      </w:r>
      <w:r w:rsidR="009E5CD8" w:rsidRPr="00B96128">
        <w:rPr>
          <w:bCs/>
          <w:szCs w:val="24"/>
          <w:lang w:eastAsia="lt-LT"/>
        </w:rPr>
        <w:t xml:space="preserve"> straipsnio </w:t>
      </w:r>
      <w:r w:rsidR="00F105E5" w:rsidRPr="00B96128">
        <w:rPr>
          <w:bCs/>
          <w:szCs w:val="24"/>
          <w:lang w:eastAsia="lt-LT"/>
        </w:rPr>
        <w:t xml:space="preserve">1 dalies </w:t>
      </w:r>
      <w:r w:rsidR="009E5CD8" w:rsidRPr="00B96128">
        <w:rPr>
          <w:bCs/>
          <w:szCs w:val="24"/>
          <w:lang w:eastAsia="lt-LT"/>
        </w:rPr>
        <w:t>1</w:t>
      </w:r>
      <w:r w:rsidR="00CA060C" w:rsidRPr="00B96128">
        <w:rPr>
          <w:bCs/>
          <w:szCs w:val="24"/>
          <w:lang w:eastAsia="lt-LT"/>
        </w:rPr>
        <w:t>1</w:t>
      </w:r>
      <w:r w:rsidR="009E5CD8" w:rsidRPr="00B96128">
        <w:rPr>
          <w:bCs/>
          <w:szCs w:val="24"/>
          <w:lang w:eastAsia="lt-LT"/>
        </w:rPr>
        <w:t xml:space="preserve"> </w:t>
      </w:r>
      <w:r w:rsidR="00A12ED9" w:rsidRPr="00B96128">
        <w:rPr>
          <w:bCs/>
          <w:szCs w:val="24"/>
          <w:lang w:eastAsia="lt-LT"/>
        </w:rPr>
        <w:t xml:space="preserve">punktą </w:t>
      </w:r>
      <w:r w:rsidR="009E5CD8" w:rsidRPr="00B96128">
        <w:rPr>
          <w:bCs/>
          <w:szCs w:val="24"/>
          <w:lang w:eastAsia="lt-LT"/>
        </w:rPr>
        <w:t>ir j</w:t>
      </w:r>
      <w:r w:rsidR="00A12ED9" w:rsidRPr="00B96128">
        <w:rPr>
          <w:bCs/>
          <w:szCs w:val="24"/>
          <w:lang w:eastAsia="lt-LT"/>
        </w:rPr>
        <w:t>į</w:t>
      </w:r>
      <w:r w:rsidR="009E5CD8" w:rsidRPr="00B96128">
        <w:rPr>
          <w:bCs/>
          <w:szCs w:val="24"/>
          <w:lang w:eastAsia="lt-LT"/>
        </w:rPr>
        <w:t xml:space="preserve"> išdėstyti taip:</w:t>
      </w:r>
    </w:p>
    <w:p w:rsidR="009E5CD8" w:rsidRDefault="009E5CD8" w:rsidP="00157E48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</w:t>
      </w:r>
      <w:r w:rsidR="00A4401F">
        <w:rPr>
          <w:color w:val="000000"/>
        </w:rPr>
        <w:t>11) pažeisti Reglamente (EB) Nr. 1060/2009</w:t>
      </w:r>
      <w:r w:rsidR="00166CA3">
        <w:rPr>
          <w:color w:val="000000"/>
        </w:rPr>
        <w:t xml:space="preserve"> </w:t>
      </w:r>
      <w:r w:rsidR="00166CA3">
        <w:rPr>
          <w:b/>
          <w:color w:val="000000"/>
        </w:rPr>
        <w:t>ar</w:t>
      </w:r>
      <w:r w:rsidR="008241A4" w:rsidRPr="008241A4">
        <w:rPr>
          <w:b/>
          <w:caps/>
        </w:rPr>
        <w:t xml:space="preserve"> </w:t>
      </w:r>
      <w:r w:rsidR="008241A4" w:rsidRPr="00B11AD0">
        <w:rPr>
          <w:b/>
          <w:szCs w:val="24"/>
        </w:rPr>
        <w:t>Reglamente (ES) 20</w:t>
      </w:r>
      <w:r w:rsidR="008241A4">
        <w:rPr>
          <w:b/>
          <w:szCs w:val="24"/>
        </w:rPr>
        <w:t>19</w:t>
      </w:r>
      <w:r w:rsidR="008241A4" w:rsidRPr="00B11AD0">
        <w:rPr>
          <w:b/>
          <w:szCs w:val="24"/>
        </w:rPr>
        <w:t>/</w:t>
      </w:r>
      <w:r w:rsidR="008241A4">
        <w:rPr>
          <w:b/>
          <w:szCs w:val="24"/>
        </w:rPr>
        <w:t>2088</w:t>
      </w:r>
      <w:r w:rsidR="008241A4">
        <w:rPr>
          <w:szCs w:val="24"/>
        </w:rPr>
        <w:t xml:space="preserve"> </w:t>
      </w:r>
      <w:r w:rsidR="00A4401F">
        <w:rPr>
          <w:color w:val="000000"/>
        </w:rPr>
        <w:t>nustatyti reikalavimai;</w:t>
      </w:r>
      <w:r>
        <w:rPr>
          <w:szCs w:val="24"/>
        </w:rPr>
        <w:t>“</w:t>
      </w:r>
      <w:r w:rsidR="00156D3D">
        <w:rPr>
          <w:szCs w:val="24"/>
        </w:rPr>
        <w:t>.</w:t>
      </w:r>
    </w:p>
    <w:p w:rsidR="00166CA3" w:rsidRPr="00B96128" w:rsidRDefault="00B96128" w:rsidP="00B96128">
      <w:pPr>
        <w:spacing w:line="360" w:lineRule="atLeast"/>
        <w:ind w:left="720"/>
        <w:jc w:val="both"/>
        <w:rPr>
          <w:szCs w:val="24"/>
        </w:rPr>
      </w:pPr>
      <w:r>
        <w:rPr>
          <w:szCs w:val="24"/>
        </w:rPr>
        <w:t xml:space="preserve">2. </w:t>
      </w:r>
      <w:r w:rsidR="00447EB5" w:rsidRPr="00B96128">
        <w:rPr>
          <w:szCs w:val="24"/>
        </w:rPr>
        <w:t>Pakeisti 63 straipsnio 1 dalies 11 punktą ir jį išdėstyti taip:</w:t>
      </w:r>
    </w:p>
    <w:p w:rsidR="00447EB5" w:rsidRPr="00166CA3" w:rsidRDefault="00447EB5" w:rsidP="00166CA3">
      <w:pPr>
        <w:spacing w:line="360" w:lineRule="atLeast"/>
        <w:ind w:firstLine="720"/>
        <w:jc w:val="both"/>
        <w:rPr>
          <w:szCs w:val="24"/>
        </w:rPr>
      </w:pPr>
      <w:r w:rsidRPr="00166CA3">
        <w:rPr>
          <w:szCs w:val="24"/>
        </w:rPr>
        <w:t>„</w:t>
      </w:r>
      <w:r w:rsidR="00FC3900" w:rsidRPr="00166CA3">
        <w:rPr>
          <w:szCs w:val="24"/>
        </w:rPr>
        <w:t xml:space="preserve">11) </w:t>
      </w:r>
      <w:r w:rsidRPr="00166CA3">
        <w:rPr>
          <w:color w:val="000000"/>
        </w:rPr>
        <w:t>pažeisti Reglamente (EB) Nr. 1060/2009</w:t>
      </w:r>
      <w:r w:rsidRPr="00166CA3">
        <w:rPr>
          <w:b/>
          <w:color w:val="000000"/>
        </w:rPr>
        <w:t>,</w:t>
      </w:r>
      <w:r w:rsidRPr="00166CA3">
        <w:rPr>
          <w:b/>
          <w:caps/>
        </w:rPr>
        <w:t xml:space="preserve"> </w:t>
      </w:r>
      <w:r w:rsidR="00166CA3" w:rsidRPr="00166CA3">
        <w:rPr>
          <w:strike/>
        </w:rPr>
        <w:t>ar</w:t>
      </w:r>
      <w:r w:rsidR="00166CA3" w:rsidRPr="00166CA3">
        <w:rPr>
          <w:caps/>
        </w:rPr>
        <w:t xml:space="preserve"> </w:t>
      </w:r>
      <w:r w:rsidRPr="00166CA3">
        <w:rPr>
          <w:szCs w:val="24"/>
        </w:rPr>
        <w:t xml:space="preserve">Reglamente (ES) 2019/2088 </w:t>
      </w:r>
      <w:r w:rsidRPr="00166CA3">
        <w:rPr>
          <w:b/>
          <w:szCs w:val="24"/>
        </w:rPr>
        <w:t>ar Reglamento (ES) 2020/852</w:t>
      </w:r>
      <w:r w:rsidRPr="00166CA3">
        <w:rPr>
          <w:color w:val="000000"/>
        </w:rPr>
        <w:t xml:space="preserve"> </w:t>
      </w:r>
      <w:r w:rsidRPr="00166CA3">
        <w:rPr>
          <w:b/>
        </w:rPr>
        <w:t>5, 6 ir 7 straipsniuose</w:t>
      </w:r>
      <w:r w:rsidRPr="00166CA3">
        <w:rPr>
          <w:color w:val="000000"/>
        </w:rPr>
        <w:t xml:space="preserve"> nustatyti reikalavimai;</w:t>
      </w:r>
      <w:r w:rsidRPr="00166CA3">
        <w:rPr>
          <w:szCs w:val="24"/>
        </w:rPr>
        <w:t>“</w:t>
      </w:r>
      <w:r w:rsidR="00156D3D">
        <w:rPr>
          <w:szCs w:val="24"/>
        </w:rPr>
        <w:t>.</w:t>
      </w:r>
    </w:p>
    <w:p w:rsidR="00CF6AE9" w:rsidRDefault="00CF6AE9" w:rsidP="00157E48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957C43" w:rsidRPr="00B96128" w:rsidRDefault="00B96128" w:rsidP="00157E48">
      <w:pPr>
        <w:pStyle w:val="Sraopastraipa"/>
        <w:numPr>
          <w:ilvl w:val="0"/>
          <w:numId w:val="5"/>
        </w:numPr>
        <w:spacing w:line="360" w:lineRule="atLeast"/>
        <w:ind w:left="0" w:firstLine="720"/>
        <w:jc w:val="both"/>
        <w:rPr>
          <w:b/>
        </w:rPr>
      </w:pPr>
      <w:r w:rsidRPr="00B96128">
        <w:rPr>
          <w:b/>
          <w:lang w:eastAsia="lt-LT"/>
        </w:rPr>
        <w:t xml:space="preserve"> </w:t>
      </w:r>
      <w:r w:rsidR="00957C43" w:rsidRPr="00B96128">
        <w:rPr>
          <w:b/>
          <w:lang w:eastAsia="lt-LT"/>
        </w:rPr>
        <w:t xml:space="preserve">straipsnis. </w:t>
      </w:r>
      <w:r w:rsidR="00991DFB" w:rsidRPr="00B96128">
        <w:rPr>
          <w:b/>
        </w:rPr>
        <w:t>Į</w:t>
      </w:r>
      <w:r w:rsidR="00957C43" w:rsidRPr="00B96128">
        <w:rPr>
          <w:b/>
        </w:rPr>
        <w:t>statymo priedo pa</w:t>
      </w:r>
      <w:r w:rsidR="00991DFB" w:rsidRPr="00B96128">
        <w:rPr>
          <w:b/>
        </w:rPr>
        <w:t>keitimas</w:t>
      </w:r>
    </w:p>
    <w:p w:rsidR="00957C43" w:rsidRPr="00126CF9" w:rsidRDefault="00B842A3" w:rsidP="00157E48">
      <w:pPr>
        <w:pStyle w:val="Sraopastraipa"/>
        <w:spacing w:line="360" w:lineRule="atLeast"/>
        <w:ind w:left="0" w:firstLine="720"/>
        <w:jc w:val="both"/>
        <w:rPr>
          <w:b/>
          <w:bCs/>
          <w:szCs w:val="24"/>
        </w:rPr>
      </w:pPr>
      <w:r>
        <w:rPr>
          <w:szCs w:val="24"/>
        </w:rPr>
        <w:t xml:space="preserve">Pakeisti Įstatymo priedą ir jį išdėstyti taip: </w:t>
      </w:r>
    </w:p>
    <w:p w:rsidR="00166CA3" w:rsidRDefault="00166CA3" w:rsidP="002462D1">
      <w:pPr>
        <w:ind w:left="6180"/>
      </w:pPr>
      <w:r>
        <w:t>„Lietuvos Respublikos</w:t>
      </w:r>
    </w:p>
    <w:p w:rsidR="00166CA3" w:rsidRDefault="00B842A3" w:rsidP="002462D1">
      <w:pPr>
        <w:ind w:left="6180"/>
      </w:pPr>
      <w:r>
        <w:t>profesijų pensijų kaupimo</w:t>
      </w:r>
    </w:p>
    <w:p w:rsidR="00B842A3" w:rsidRDefault="00B842A3" w:rsidP="002462D1">
      <w:pPr>
        <w:ind w:left="6180"/>
      </w:pPr>
      <w:r>
        <w:t>įstatymo</w:t>
      </w:r>
    </w:p>
    <w:p w:rsidR="00B842A3" w:rsidRDefault="00B842A3" w:rsidP="002462D1">
      <w:pPr>
        <w:ind w:left="6180"/>
      </w:pPr>
      <w:r>
        <w:lastRenderedPageBreak/>
        <w:t>priedas</w:t>
      </w:r>
    </w:p>
    <w:p w:rsidR="00B842A3" w:rsidRDefault="00B842A3" w:rsidP="00157E48">
      <w:pPr>
        <w:spacing w:line="360" w:lineRule="atLeast"/>
        <w:ind w:firstLine="720"/>
      </w:pPr>
    </w:p>
    <w:p w:rsidR="00B842A3" w:rsidRDefault="00B842A3" w:rsidP="00157E48">
      <w:pPr>
        <w:spacing w:line="360" w:lineRule="atLeast"/>
        <w:ind w:firstLine="720"/>
        <w:jc w:val="center"/>
      </w:pPr>
      <w:r>
        <w:t>ĮGYVENDINAMI EUROPOS SĄJUNGOS TEISĖS AKTAI</w:t>
      </w:r>
    </w:p>
    <w:p w:rsidR="008F7DBF" w:rsidRDefault="008F7DBF" w:rsidP="00157E48">
      <w:pPr>
        <w:spacing w:line="360" w:lineRule="atLeast"/>
        <w:ind w:firstLine="720"/>
        <w:jc w:val="both"/>
        <w:rPr>
          <w:b/>
          <w:bCs/>
          <w:szCs w:val="24"/>
          <w:lang w:eastAsia="lt-LT"/>
        </w:rPr>
      </w:pPr>
    </w:p>
    <w:p w:rsidR="00B842A3" w:rsidRPr="00B842A3" w:rsidRDefault="00B842A3" w:rsidP="00157E48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B842A3">
        <w:rPr>
          <w:color w:val="000000"/>
          <w:szCs w:val="24"/>
          <w:lang w:eastAsia="lt-LT"/>
        </w:rPr>
        <w:t xml:space="preserve">1. 1998 m. birželio 29 d. Tarybos direktyva 98/49/EB dėl pagal darbo sutartį dirbančių asmenų ir savarankiškai dirbančių asmenų, judančių Bendrijoje, teisių į papildomą pensiją išsaugojimo </w:t>
      </w:r>
      <w:r w:rsidRPr="00B842A3">
        <w:rPr>
          <w:strike/>
          <w:color w:val="000000"/>
          <w:szCs w:val="24"/>
          <w:lang w:eastAsia="lt-LT"/>
        </w:rPr>
        <w:t>(OL </w:t>
      </w:r>
      <w:r w:rsidRPr="00B842A3">
        <w:rPr>
          <w:i/>
          <w:iCs/>
          <w:strike/>
          <w:color w:val="000000"/>
          <w:szCs w:val="24"/>
          <w:lang w:eastAsia="lt-LT"/>
        </w:rPr>
        <w:t>2004 m. specialusis leidimas</w:t>
      </w:r>
      <w:r w:rsidRPr="00B842A3">
        <w:rPr>
          <w:strike/>
          <w:color w:val="000000"/>
          <w:szCs w:val="24"/>
          <w:lang w:eastAsia="lt-LT"/>
        </w:rPr>
        <w:t>, 5 skyrius, 3 tomas, p. 323)</w:t>
      </w:r>
      <w:r w:rsidRPr="00B842A3">
        <w:rPr>
          <w:color w:val="000000"/>
          <w:szCs w:val="24"/>
          <w:lang w:eastAsia="lt-LT"/>
        </w:rPr>
        <w:t>.</w:t>
      </w:r>
    </w:p>
    <w:p w:rsidR="00B842A3" w:rsidRPr="00B842A3" w:rsidRDefault="00B842A3" w:rsidP="00157E48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0" w:name="part_f1598920f094495d9df72a77917a24ae"/>
      <w:bookmarkEnd w:id="0"/>
      <w:r w:rsidRPr="00B842A3">
        <w:rPr>
          <w:color w:val="000000"/>
          <w:szCs w:val="24"/>
          <w:lang w:eastAsia="lt-LT"/>
        </w:rPr>
        <w:t xml:space="preserve">2. 2006 m. liepos 5 d. Europos Parlamento ir Tarybos direktyva 2006/54/EB dėl moterų ir vyrų lygių galimybių ir vienodo požiūrio į moteris ir vyrus užimtumo bei profesinės veiklos srityje principo įgyvendinimo </w:t>
      </w:r>
      <w:r w:rsidRPr="00B842A3">
        <w:rPr>
          <w:strike/>
          <w:color w:val="000000"/>
          <w:szCs w:val="24"/>
          <w:lang w:eastAsia="lt-LT"/>
        </w:rPr>
        <w:t>(OL 2006 L 204, p. 23)</w:t>
      </w:r>
      <w:r w:rsidRPr="00B842A3">
        <w:rPr>
          <w:color w:val="000000"/>
          <w:szCs w:val="24"/>
          <w:lang w:eastAsia="lt-LT"/>
        </w:rPr>
        <w:t>.</w:t>
      </w:r>
    </w:p>
    <w:p w:rsidR="00B842A3" w:rsidRPr="00B74C3B" w:rsidRDefault="00B842A3" w:rsidP="00157E48">
      <w:pPr>
        <w:spacing w:line="360" w:lineRule="atLeast"/>
        <w:ind w:firstLine="720"/>
        <w:jc w:val="both"/>
        <w:rPr>
          <w:b/>
          <w:color w:val="000000"/>
          <w:szCs w:val="24"/>
          <w:lang w:eastAsia="lt-LT"/>
        </w:rPr>
      </w:pPr>
      <w:bookmarkStart w:id="1" w:name="part_b682d61a0b1a41748ac4ef776e8ad673"/>
      <w:bookmarkEnd w:id="1"/>
      <w:r w:rsidRPr="00B842A3">
        <w:rPr>
          <w:color w:val="000000"/>
          <w:szCs w:val="24"/>
          <w:lang w:eastAsia="lt-LT"/>
        </w:rPr>
        <w:t xml:space="preserve">3. 2008 m. spalio 22 d. Europos Parlamento ir Tarybos direktyva 2008/94/EB dėl darbuotojų apsaugos jų darbdaviui tapus nemokiam </w:t>
      </w:r>
      <w:r w:rsidRPr="00B842A3">
        <w:rPr>
          <w:strike/>
          <w:color w:val="000000"/>
          <w:szCs w:val="24"/>
          <w:lang w:eastAsia="lt-LT"/>
        </w:rPr>
        <w:t>(OL 2008 L 283, p. 36)</w:t>
      </w:r>
      <w:r w:rsidR="00603B4D">
        <w:rPr>
          <w:color w:val="000000"/>
          <w:szCs w:val="24"/>
          <w:lang w:eastAsia="lt-LT"/>
        </w:rPr>
        <w:t xml:space="preserve"> </w:t>
      </w:r>
      <w:bookmarkStart w:id="2" w:name="_GoBack"/>
      <w:r w:rsidR="00603B4D" w:rsidRPr="00B74C3B">
        <w:rPr>
          <w:b/>
          <w:color w:val="000000"/>
          <w:szCs w:val="24"/>
          <w:lang w:eastAsia="lt-LT"/>
        </w:rPr>
        <w:t>su paskutiniais pakeitimais, padarytais 2015 m. spalio 6 d. Europos Parlamento ir Tarybos direktyva (ES) 2015/1794</w:t>
      </w:r>
      <w:r w:rsidRPr="00B74C3B">
        <w:rPr>
          <w:b/>
          <w:color w:val="000000"/>
          <w:szCs w:val="24"/>
          <w:lang w:eastAsia="lt-LT"/>
        </w:rPr>
        <w:t>.</w:t>
      </w:r>
    </w:p>
    <w:p w:rsidR="00B842A3" w:rsidRPr="00B842A3" w:rsidRDefault="00B842A3" w:rsidP="00157E48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3" w:name="part_fc92b1bfc056485d9998716264d9a522"/>
      <w:bookmarkEnd w:id="3"/>
      <w:bookmarkEnd w:id="2"/>
      <w:r w:rsidRPr="00B842A3">
        <w:rPr>
          <w:color w:val="000000"/>
          <w:szCs w:val="24"/>
          <w:lang w:eastAsia="lt-LT"/>
        </w:rPr>
        <w:t xml:space="preserve">4. 2009 m. rugsėjo 16 d. Europos Parlamento ir Tarybos reglamentas (EB) Nr. 1060/2009 dėl kredito reitingų agentūrų </w:t>
      </w:r>
      <w:r w:rsidRPr="00151753">
        <w:rPr>
          <w:strike/>
          <w:color w:val="000000"/>
          <w:szCs w:val="24"/>
          <w:lang w:eastAsia="lt-LT"/>
        </w:rPr>
        <w:t xml:space="preserve">(OL 2009 L 302, p. 1) </w:t>
      </w:r>
      <w:r w:rsidRPr="00B842A3">
        <w:rPr>
          <w:color w:val="000000"/>
          <w:szCs w:val="24"/>
          <w:lang w:eastAsia="lt-LT"/>
        </w:rPr>
        <w:t xml:space="preserve">su paskutiniais pakeitimais, padarytais </w:t>
      </w:r>
      <w:r w:rsidRPr="00B74C3B">
        <w:rPr>
          <w:strike/>
          <w:color w:val="000000"/>
          <w:szCs w:val="24"/>
          <w:lang w:eastAsia="lt-LT"/>
        </w:rPr>
        <w:t>2013 m. gegužės 21 d. Europos Parlamento ir Tarybos reglamentu (ES) Nr. 462/2013</w:t>
      </w:r>
      <w:r w:rsidRPr="00B842A3">
        <w:rPr>
          <w:color w:val="000000"/>
          <w:szCs w:val="24"/>
          <w:lang w:eastAsia="lt-LT"/>
        </w:rPr>
        <w:t xml:space="preserve"> </w:t>
      </w:r>
      <w:r w:rsidRPr="00B842A3">
        <w:rPr>
          <w:strike/>
          <w:color w:val="000000"/>
          <w:szCs w:val="24"/>
          <w:lang w:eastAsia="lt-LT"/>
        </w:rPr>
        <w:t>(OL 2013 L 146, p. 1)</w:t>
      </w:r>
      <w:r w:rsidR="00603B4D">
        <w:rPr>
          <w:strike/>
          <w:color w:val="000000"/>
          <w:szCs w:val="24"/>
          <w:lang w:eastAsia="lt-LT"/>
        </w:rPr>
        <w:t xml:space="preserve"> </w:t>
      </w:r>
      <w:r w:rsidR="00603B4D" w:rsidRPr="00603B4D">
        <w:rPr>
          <w:b/>
          <w:color w:val="000000"/>
          <w:szCs w:val="24"/>
          <w:lang w:eastAsia="lt-LT"/>
        </w:rPr>
        <w:t>2017 m. gruodžio 12 d. Europos Parlamento ir Tarybos reglamentu (ES) 2017/2402</w:t>
      </w:r>
      <w:r w:rsidRPr="00B842A3">
        <w:rPr>
          <w:color w:val="000000"/>
          <w:szCs w:val="24"/>
          <w:lang w:eastAsia="lt-LT"/>
        </w:rPr>
        <w:t>.</w:t>
      </w:r>
    </w:p>
    <w:p w:rsidR="00B842A3" w:rsidRPr="00B842A3" w:rsidRDefault="00B842A3" w:rsidP="00157E48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4" w:name="part_32cf5bca651a4e208a896a9127470bf2"/>
      <w:bookmarkEnd w:id="4"/>
      <w:r w:rsidRPr="00B842A3">
        <w:rPr>
          <w:color w:val="000000"/>
          <w:szCs w:val="24"/>
          <w:lang w:eastAsia="lt-LT"/>
        </w:rPr>
        <w:t xml:space="preserve">5. 2014 m. balandžio 16 d. Europos Parlamento ir Tarybos direktyva 2014/50/ES dėl būtiniausių reikalavimų darbuotojų </w:t>
      </w:r>
      <w:proofErr w:type="spellStart"/>
      <w:r w:rsidRPr="00B842A3">
        <w:rPr>
          <w:color w:val="000000"/>
          <w:szCs w:val="24"/>
          <w:lang w:eastAsia="lt-LT"/>
        </w:rPr>
        <w:t>judumui</w:t>
      </w:r>
      <w:proofErr w:type="spellEnd"/>
      <w:r w:rsidRPr="00B842A3">
        <w:rPr>
          <w:color w:val="000000"/>
          <w:szCs w:val="24"/>
          <w:lang w:eastAsia="lt-LT"/>
        </w:rPr>
        <w:t xml:space="preserve"> tarp valstybių narių didinti gerinant teisių į papildomą pensiją įgijimą ir išsaugojimą </w:t>
      </w:r>
      <w:r w:rsidRPr="00B842A3">
        <w:rPr>
          <w:strike/>
          <w:color w:val="000000"/>
          <w:szCs w:val="24"/>
          <w:lang w:eastAsia="lt-LT"/>
        </w:rPr>
        <w:t>(OL 2014 L 128, p. 1)</w:t>
      </w:r>
      <w:r w:rsidRPr="00B842A3">
        <w:rPr>
          <w:color w:val="000000"/>
          <w:szCs w:val="24"/>
          <w:lang w:eastAsia="lt-LT"/>
        </w:rPr>
        <w:t>.</w:t>
      </w:r>
    </w:p>
    <w:p w:rsidR="00B842A3" w:rsidRPr="00B842A3" w:rsidRDefault="00B842A3" w:rsidP="00157E48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5" w:name="part_ce289e44b4524ffd823a556086973c2a"/>
      <w:bookmarkEnd w:id="5"/>
      <w:r w:rsidRPr="00B842A3">
        <w:rPr>
          <w:color w:val="000000"/>
          <w:szCs w:val="24"/>
          <w:lang w:eastAsia="lt-LT"/>
        </w:rPr>
        <w:t xml:space="preserve">6. 2016 m. gruodžio 14 d. Europos Parlamento ir Tarybos direktyva (ES) 2016/2341 dėl profesinių pensijų įstaigų (PPĮ) veiklos ir priežiūros </w:t>
      </w:r>
      <w:r w:rsidRPr="00B842A3">
        <w:rPr>
          <w:strike/>
          <w:color w:val="000000"/>
          <w:szCs w:val="24"/>
          <w:lang w:eastAsia="lt-LT"/>
        </w:rPr>
        <w:t>(OL 2016 L 354, p. 37)</w:t>
      </w:r>
      <w:r w:rsidRPr="00B842A3">
        <w:rPr>
          <w:color w:val="000000"/>
          <w:szCs w:val="24"/>
          <w:lang w:eastAsia="lt-LT"/>
        </w:rPr>
        <w:t>.</w:t>
      </w:r>
    </w:p>
    <w:p w:rsidR="00B842A3" w:rsidRPr="00B842A3" w:rsidRDefault="00B842A3" w:rsidP="00157E48">
      <w:pPr>
        <w:pStyle w:val="Sraopastraipa"/>
        <w:spacing w:line="360" w:lineRule="atLeast"/>
        <w:ind w:left="0" w:firstLine="720"/>
        <w:jc w:val="both"/>
        <w:rPr>
          <w:b/>
          <w:lang w:eastAsia="lt-LT"/>
        </w:rPr>
      </w:pPr>
      <w:r w:rsidRPr="00A4401F">
        <w:rPr>
          <w:b/>
          <w:szCs w:val="24"/>
        </w:rPr>
        <w:t>7</w:t>
      </w:r>
      <w:r w:rsidRPr="00CF26DB">
        <w:rPr>
          <w:b/>
          <w:szCs w:val="24"/>
        </w:rPr>
        <w:t>.</w:t>
      </w:r>
      <w:r w:rsidRPr="008F7DBF">
        <w:rPr>
          <w:b/>
          <w:lang w:eastAsia="lt-LT"/>
        </w:rPr>
        <w:t xml:space="preserve"> </w:t>
      </w:r>
      <w:r w:rsidRPr="009C73F1">
        <w:rPr>
          <w:b/>
          <w:lang w:eastAsia="lt-LT"/>
        </w:rPr>
        <w:t xml:space="preserve">2019 m. </w:t>
      </w:r>
      <w:r>
        <w:rPr>
          <w:b/>
          <w:lang w:eastAsia="lt-LT"/>
        </w:rPr>
        <w:t>lapkrič</w:t>
      </w:r>
      <w:r w:rsidRPr="009C73F1">
        <w:rPr>
          <w:b/>
          <w:lang w:eastAsia="lt-LT"/>
        </w:rPr>
        <w:t>io 2</w:t>
      </w:r>
      <w:r>
        <w:rPr>
          <w:b/>
          <w:lang w:val="en-US" w:eastAsia="lt-LT"/>
        </w:rPr>
        <w:t>7</w:t>
      </w:r>
      <w:r w:rsidRPr="009C73F1">
        <w:rPr>
          <w:b/>
          <w:lang w:eastAsia="lt-LT"/>
        </w:rPr>
        <w:t xml:space="preserve"> d. Europos Parlamen</w:t>
      </w:r>
      <w:r>
        <w:rPr>
          <w:b/>
          <w:lang w:eastAsia="lt-LT"/>
        </w:rPr>
        <w:t>to ir Tarybos reglamentas (ES) 2019/</w:t>
      </w:r>
      <w:r>
        <w:rPr>
          <w:b/>
          <w:lang w:val="en-US" w:eastAsia="lt-LT"/>
        </w:rPr>
        <w:t>2088</w:t>
      </w:r>
      <w:r w:rsidRPr="00772960">
        <w:rPr>
          <w:b/>
          <w:lang w:eastAsia="lt-LT"/>
        </w:rPr>
        <w:t xml:space="preserve"> </w:t>
      </w:r>
      <w:r w:rsidRPr="00772960">
        <w:rPr>
          <w:b/>
          <w:bCs/>
        </w:rPr>
        <w:t xml:space="preserve">dėl </w:t>
      </w:r>
      <w:r>
        <w:rPr>
          <w:b/>
          <w:bCs/>
        </w:rPr>
        <w:t>su tvarumu susijusios informacijos atskleidimo finansinių paslaugų sektoriuje</w:t>
      </w:r>
      <w:r w:rsidR="00876E10">
        <w:rPr>
          <w:b/>
          <w:bCs/>
        </w:rPr>
        <w:t xml:space="preserve"> </w:t>
      </w:r>
      <w:r w:rsidR="00876E10">
        <w:rPr>
          <w:b/>
          <w:lang w:eastAsia="lt-LT"/>
        </w:rPr>
        <w:t>su paskutiniais pakeitimais</w:t>
      </w:r>
      <w:r w:rsidR="00156D3D">
        <w:rPr>
          <w:b/>
          <w:lang w:eastAsia="lt-LT"/>
        </w:rPr>
        <w:t>,</w:t>
      </w:r>
      <w:r w:rsidR="00876E10">
        <w:rPr>
          <w:b/>
          <w:lang w:eastAsia="lt-LT"/>
        </w:rPr>
        <w:t xml:space="preserve"> padarytais 2020 m. birželio 18 d. Europos Parlamento ir Tarybos reglamentu (ES) 2020/852</w:t>
      </w:r>
      <w:r>
        <w:rPr>
          <w:b/>
          <w:bCs/>
        </w:rPr>
        <w:t>.</w:t>
      </w:r>
      <w:r w:rsidRPr="00126CF9">
        <w:rPr>
          <w:lang w:eastAsia="lt-LT"/>
        </w:rPr>
        <w:t>“</w:t>
      </w:r>
    </w:p>
    <w:p w:rsidR="00B842A3" w:rsidRDefault="00B842A3" w:rsidP="00157E48">
      <w:pPr>
        <w:spacing w:line="360" w:lineRule="atLeast"/>
        <w:ind w:firstLine="720"/>
        <w:jc w:val="both"/>
        <w:rPr>
          <w:b/>
          <w:bCs/>
          <w:szCs w:val="24"/>
          <w:lang w:eastAsia="lt-LT"/>
        </w:rPr>
      </w:pPr>
    </w:p>
    <w:p w:rsidR="00151753" w:rsidRDefault="00151753" w:rsidP="00157E48">
      <w:pPr>
        <w:spacing w:line="360" w:lineRule="atLeast"/>
        <w:ind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5 straipsnis. Įstatymo priedo pakeitimas</w:t>
      </w:r>
    </w:p>
    <w:p w:rsidR="00151753" w:rsidRDefault="00E14B1D" w:rsidP="00157E48">
      <w:pPr>
        <w:pStyle w:val="Sraopastraipa"/>
        <w:spacing w:line="360" w:lineRule="atLeast"/>
        <w:ind w:left="0" w:firstLine="720"/>
        <w:jc w:val="both"/>
        <w:rPr>
          <w:b/>
          <w:bCs/>
          <w:szCs w:val="24"/>
          <w:lang w:eastAsia="lt-LT"/>
        </w:rPr>
      </w:pPr>
      <w:r>
        <w:rPr>
          <w:szCs w:val="24"/>
        </w:rPr>
        <w:t xml:space="preserve">Papildyti </w:t>
      </w:r>
      <w:r w:rsidR="00151753">
        <w:rPr>
          <w:szCs w:val="24"/>
        </w:rPr>
        <w:t xml:space="preserve">Įstatymo priedą </w:t>
      </w:r>
      <w:r>
        <w:rPr>
          <w:szCs w:val="24"/>
        </w:rPr>
        <w:t xml:space="preserve">8 punktu: </w:t>
      </w:r>
    </w:p>
    <w:p w:rsidR="00151753" w:rsidRPr="00126CF9" w:rsidRDefault="00E14B1D" w:rsidP="00157E48">
      <w:pPr>
        <w:spacing w:line="360" w:lineRule="atLeast"/>
        <w:ind w:firstLine="720"/>
        <w:jc w:val="both"/>
        <w:rPr>
          <w:b/>
        </w:rPr>
      </w:pPr>
      <w:r w:rsidRPr="002462D1">
        <w:rPr>
          <w:lang w:eastAsia="lt-LT"/>
        </w:rPr>
        <w:t>„</w:t>
      </w:r>
      <w:r w:rsidR="00151753" w:rsidRPr="00126CF9">
        <w:rPr>
          <w:b/>
          <w:lang w:eastAsia="lt-LT"/>
        </w:rPr>
        <w:t xml:space="preserve">8. </w:t>
      </w:r>
      <w:r w:rsidR="00151753" w:rsidRPr="00126CF9">
        <w:rPr>
          <w:b/>
          <w:bCs/>
          <w:szCs w:val="24"/>
        </w:rPr>
        <w:t xml:space="preserve">2020 m. birželio 18 d. </w:t>
      </w:r>
      <w:r w:rsidR="00151753" w:rsidRPr="00126CF9">
        <w:rPr>
          <w:b/>
          <w:szCs w:val="24"/>
          <w:lang w:eastAsia="lt-LT"/>
        </w:rPr>
        <w:t xml:space="preserve">Europos Parlamento ir Tarybos reglamentas (ES) </w:t>
      </w:r>
      <w:r w:rsidR="00151753" w:rsidRPr="00126CF9">
        <w:rPr>
          <w:b/>
          <w:bCs/>
          <w:szCs w:val="24"/>
        </w:rPr>
        <w:t xml:space="preserve">2020/852 dėl sistemos tvariam investavimui palengvinti sukūrimo, kuriuo iš dalies keičiamas Reglamentas </w:t>
      </w:r>
      <w:r w:rsidR="00151753" w:rsidRPr="00126CF9">
        <w:rPr>
          <w:b/>
          <w:szCs w:val="24"/>
          <w:lang w:eastAsia="lt-LT"/>
        </w:rPr>
        <w:t>(ES) 2019/</w:t>
      </w:r>
      <w:r w:rsidR="00151753">
        <w:rPr>
          <w:b/>
          <w:szCs w:val="24"/>
          <w:lang w:val="en-US" w:eastAsia="lt-LT"/>
        </w:rPr>
        <w:t>2088</w:t>
      </w:r>
      <w:r w:rsidR="00151753" w:rsidRPr="008D668E">
        <w:rPr>
          <w:lang w:eastAsia="lt-LT"/>
        </w:rPr>
        <w:t>.</w:t>
      </w:r>
      <w:r w:rsidR="00151753" w:rsidRPr="00126CF9">
        <w:rPr>
          <w:bCs/>
        </w:rPr>
        <w:t>“</w:t>
      </w:r>
    </w:p>
    <w:p w:rsidR="00634A5A" w:rsidRDefault="00634A5A" w:rsidP="00157E48">
      <w:pPr>
        <w:spacing w:line="360" w:lineRule="atLeast"/>
        <w:ind w:firstLine="720"/>
        <w:jc w:val="both"/>
        <w:rPr>
          <w:b/>
          <w:bCs/>
          <w:szCs w:val="24"/>
          <w:lang w:eastAsia="lt-LT"/>
        </w:rPr>
      </w:pPr>
    </w:p>
    <w:p w:rsidR="00151753" w:rsidRPr="00151753" w:rsidRDefault="00B96128" w:rsidP="00157E48">
      <w:pPr>
        <w:pStyle w:val="Sraopastraipa"/>
        <w:numPr>
          <w:ilvl w:val="0"/>
          <w:numId w:val="10"/>
        </w:numPr>
        <w:spacing w:line="360" w:lineRule="atLeast"/>
        <w:ind w:left="0"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 </w:t>
      </w:r>
      <w:r w:rsidR="00151753" w:rsidRPr="00151753">
        <w:rPr>
          <w:b/>
          <w:bCs/>
          <w:szCs w:val="24"/>
          <w:lang w:eastAsia="lt-LT"/>
        </w:rPr>
        <w:t>straipsnis. Įstatymo įsigaliojimas</w:t>
      </w:r>
    </w:p>
    <w:p w:rsidR="00151753" w:rsidRPr="00151753" w:rsidRDefault="00151753" w:rsidP="00157E48">
      <w:pPr>
        <w:spacing w:line="360" w:lineRule="atLeast"/>
        <w:ind w:firstLine="720"/>
        <w:jc w:val="both"/>
        <w:rPr>
          <w:bCs/>
          <w:szCs w:val="24"/>
          <w:lang w:eastAsia="lt-LT"/>
        </w:rPr>
      </w:pPr>
      <w:r w:rsidRPr="00151753">
        <w:rPr>
          <w:bCs/>
          <w:szCs w:val="24"/>
          <w:lang w:eastAsia="lt-LT"/>
        </w:rPr>
        <w:t>Šio įstatymo 1 straipsnio 2 dalis, 2 straipsnio 2 dalis, 3 str</w:t>
      </w:r>
      <w:r w:rsidR="0017756F">
        <w:rPr>
          <w:bCs/>
          <w:szCs w:val="24"/>
          <w:lang w:eastAsia="lt-LT"/>
        </w:rPr>
        <w:t>aipsnio 2 dalis ir 5 straipsnis</w:t>
      </w:r>
      <w:r w:rsidRPr="00151753">
        <w:rPr>
          <w:bCs/>
          <w:szCs w:val="24"/>
          <w:lang w:eastAsia="lt-LT"/>
        </w:rPr>
        <w:t xml:space="preserve"> įsigalioja 2022 m. sausio 1 d.</w:t>
      </w:r>
    </w:p>
    <w:p w:rsidR="00151753" w:rsidRPr="00151753" w:rsidRDefault="00151753" w:rsidP="00151753">
      <w:pPr>
        <w:spacing w:line="360" w:lineRule="atLeast"/>
        <w:jc w:val="both"/>
        <w:rPr>
          <w:b/>
          <w:bCs/>
          <w:szCs w:val="24"/>
          <w:lang w:eastAsia="lt-LT"/>
        </w:rPr>
      </w:pPr>
    </w:p>
    <w:p w:rsidR="00D9575C" w:rsidRDefault="00D9575C" w:rsidP="00D9575C">
      <w:pPr>
        <w:spacing w:line="360" w:lineRule="auto"/>
        <w:ind w:firstLine="720"/>
        <w:jc w:val="both"/>
        <w:rPr>
          <w:sz w:val="10"/>
          <w:szCs w:val="10"/>
        </w:rPr>
      </w:pPr>
      <w:r>
        <w:rPr>
          <w:i/>
          <w:szCs w:val="24"/>
        </w:rPr>
        <w:t>Skelbiu šį Lietuvos Respublikos Seimo priimtą įstatymą.</w:t>
      </w:r>
    </w:p>
    <w:p w:rsidR="00D9575C" w:rsidRDefault="00D9575C" w:rsidP="00D9575C">
      <w:pPr>
        <w:spacing w:line="360" w:lineRule="auto"/>
        <w:ind w:firstLine="720"/>
        <w:jc w:val="both"/>
        <w:rPr>
          <w:i/>
          <w:szCs w:val="24"/>
        </w:rPr>
      </w:pPr>
    </w:p>
    <w:p w:rsidR="00D9575C" w:rsidRDefault="00D9575C" w:rsidP="00D9575C">
      <w:pPr>
        <w:tabs>
          <w:tab w:val="right" w:pos="9356"/>
        </w:tabs>
        <w:spacing w:line="360" w:lineRule="auto"/>
      </w:pPr>
      <w:r>
        <w:t>Respublikos Prezidentas</w:t>
      </w:r>
    </w:p>
    <w:sectPr w:rsidR="00D9575C" w:rsidSect="002462D1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55" w:rsidRDefault="00C14B55" w:rsidP="00FA64EE">
      <w:r>
        <w:separator/>
      </w:r>
    </w:p>
  </w:endnote>
  <w:endnote w:type="continuationSeparator" w:id="0">
    <w:p w:rsidR="00C14B55" w:rsidRDefault="00C14B55" w:rsidP="00FA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55" w:rsidRDefault="00C14B55" w:rsidP="00FA64EE">
      <w:r>
        <w:separator/>
      </w:r>
    </w:p>
  </w:footnote>
  <w:footnote w:type="continuationSeparator" w:id="0">
    <w:p w:rsidR="00C14B55" w:rsidRDefault="00C14B55" w:rsidP="00FA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00E3"/>
    <w:multiLevelType w:val="hybridMultilevel"/>
    <w:tmpl w:val="155CB6BE"/>
    <w:lvl w:ilvl="0" w:tplc="1ED65C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F03E41"/>
    <w:multiLevelType w:val="hybridMultilevel"/>
    <w:tmpl w:val="A100187C"/>
    <w:lvl w:ilvl="0" w:tplc="74F0B252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C2B28"/>
    <w:multiLevelType w:val="hybridMultilevel"/>
    <w:tmpl w:val="7278CA14"/>
    <w:lvl w:ilvl="0" w:tplc="D32CC4DA">
      <w:start w:val="2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1B4606F7"/>
    <w:multiLevelType w:val="hybridMultilevel"/>
    <w:tmpl w:val="48D21F6A"/>
    <w:lvl w:ilvl="0" w:tplc="1494D3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CE15BD"/>
    <w:multiLevelType w:val="hybridMultilevel"/>
    <w:tmpl w:val="FC2A6124"/>
    <w:lvl w:ilvl="0" w:tplc="A9080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66660C"/>
    <w:multiLevelType w:val="hybridMultilevel"/>
    <w:tmpl w:val="1116EAC0"/>
    <w:lvl w:ilvl="0" w:tplc="DEBED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4123B2"/>
    <w:multiLevelType w:val="hybridMultilevel"/>
    <w:tmpl w:val="272E6240"/>
    <w:lvl w:ilvl="0" w:tplc="F17236B4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E34BDE"/>
    <w:multiLevelType w:val="hybridMultilevel"/>
    <w:tmpl w:val="23FE2A28"/>
    <w:lvl w:ilvl="0" w:tplc="59CEBF0E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2B43A60"/>
    <w:multiLevelType w:val="hybridMultilevel"/>
    <w:tmpl w:val="67965394"/>
    <w:lvl w:ilvl="0" w:tplc="88908B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F61EB"/>
    <w:multiLevelType w:val="hybridMultilevel"/>
    <w:tmpl w:val="6F86EB30"/>
    <w:lvl w:ilvl="0" w:tplc="2F62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3F1812"/>
    <w:multiLevelType w:val="hybridMultilevel"/>
    <w:tmpl w:val="979A60DE"/>
    <w:lvl w:ilvl="0" w:tplc="BACA8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F41280"/>
    <w:multiLevelType w:val="hybridMultilevel"/>
    <w:tmpl w:val="F2844536"/>
    <w:lvl w:ilvl="0" w:tplc="CA8C14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284790"/>
    <w:multiLevelType w:val="hybridMultilevel"/>
    <w:tmpl w:val="9A5086D8"/>
    <w:lvl w:ilvl="0" w:tplc="9418E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5C"/>
    <w:rsid w:val="00024BC9"/>
    <w:rsid w:val="00034AE3"/>
    <w:rsid w:val="000467CE"/>
    <w:rsid w:val="00046ABD"/>
    <w:rsid w:val="00047975"/>
    <w:rsid w:val="00126CF9"/>
    <w:rsid w:val="00132EF3"/>
    <w:rsid w:val="00133170"/>
    <w:rsid w:val="0013564D"/>
    <w:rsid w:val="00147BE3"/>
    <w:rsid w:val="00151753"/>
    <w:rsid w:val="00156D3D"/>
    <w:rsid w:val="00157E48"/>
    <w:rsid w:val="00166CA3"/>
    <w:rsid w:val="0017756F"/>
    <w:rsid w:val="00180A1F"/>
    <w:rsid w:val="001B2488"/>
    <w:rsid w:val="00200EE3"/>
    <w:rsid w:val="002250B6"/>
    <w:rsid w:val="002462D1"/>
    <w:rsid w:val="00250A5A"/>
    <w:rsid w:val="00282506"/>
    <w:rsid w:val="002A700A"/>
    <w:rsid w:val="002D2FCD"/>
    <w:rsid w:val="002D39CF"/>
    <w:rsid w:val="002F5E38"/>
    <w:rsid w:val="003071BB"/>
    <w:rsid w:val="00364E07"/>
    <w:rsid w:val="0037637D"/>
    <w:rsid w:val="0039785C"/>
    <w:rsid w:val="003E45B0"/>
    <w:rsid w:val="003E6427"/>
    <w:rsid w:val="003F1BE2"/>
    <w:rsid w:val="00412CC0"/>
    <w:rsid w:val="004167CF"/>
    <w:rsid w:val="00444E2C"/>
    <w:rsid w:val="00447EB5"/>
    <w:rsid w:val="004A614D"/>
    <w:rsid w:val="004B2FCC"/>
    <w:rsid w:val="004E1056"/>
    <w:rsid w:val="00505B16"/>
    <w:rsid w:val="005104C7"/>
    <w:rsid w:val="00533072"/>
    <w:rsid w:val="00544E57"/>
    <w:rsid w:val="00557FBA"/>
    <w:rsid w:val="00572480"/>
    <w:rsid w:val="0057435A"/>
    <w:rsid w:val="00592D7D"/>
    <w:rsid w:val="005E03F4"/>
    <w:rsid w:val="00603B4D"/>
    <w:rsid w:val="00614F13"/>
    <w:rsid w:val="00634A5A"/>
    <w:rsid w:val="0065022A"/>
    <w:rsid w:val="0065112A"/>
    <w:rsid w:val="00654C52"/>
    <w:rsid w:val="00671478"/>
    <w:rsid w:val="006921D8"/>
    <w:rsid w:val="00695F1D"/>
    <w:rsid w:val="006B52DD"/>
    <w:rsid w:val="006C6B2C"/>
    <w:rsid w:val="006F0E6C"/>
    <w:rsid w:val="006F17C6"/>
    <w:rsid w:val="00710E4F"/>
    <w:rsid w:val="00713350"/>
    <w:rsid w:val="00724496"/>
    <w:rsid w:val="00725C88"/>
    <w:rsid w:val="00777896"/>
    <w:rsid w:val="007A6827"/>
    <w:rsid w:val="007B3BF0"/>
    <w:rsid w:val="008241A4"/>
    <w:rsid w:val="00852D3A"/>
    <w:rsid w:val="008555EE"/>
    <w:rsid w:val="00876E10"/>
    <w:rsid w:val="008D59BA"/>
    <w:rsid w:val="008E41DD"/>
    <w:rsid w:val="008F7DBF"/>
    <w:rsid w:val="009302A7"/>
    <w:rsid w:val="00941E37"/>
    <w:rsid w:val="00957C43"/>
    <w:rsid w:val="0096126C"/>
    <w:rsid w:val="009713B6"/>
    <w:rsid w:val="00991DFB"/>
    <w:rsid w:val="00992438"/>
    <w:rsid w:val="009A043E"/>
    <w:rsid w:val="009E29C3"/>
    <w:rsid w:val="009E5CD8"/>
    <w:rsid w:val="00A11691"/>
    <w:rsid w:val="00A12ED9"/>
    <w:rsid w:val="00A35ED7"/>
    <w:rsid w:val="00A42743"/>
    <w:rsid w:val="00A4401F"/>
    <w:rsid w:val="00A67C51"/>
    <w:rsid w:val="00AC6382"/>
    <w:rsid w:val="00AD01E0"/>
    <w:rsid w:val="00AD301A"/>
    <w:rsid w:val="00AD70CA"/>
    <w:rsid w:val="00B12A0A"/>
    <w:rsid w:val="00B62A67"/>
    <w:rsid w:val="00B744A4"/>
    <w:rsid w:val="00B74C3B"/>
    <w:rsid w:val="00B754A8"/>
    <w:rsid w:val="00B842A3"/>
    <w:rsid w:val="00B925BD"/>
    <w:rsid w:val="00B96128"/>
    <w:rsid w:val="00BC3580"/>
    <w:rsid w:val="00BF04CC"/>
    <w:rsid w:val="00C04399"/>
    <w:rsid w:val="00C07C3F"/>
    <w:rsid w:val="00C125CD"/>
    <w:rsid w:val="00C14B55"/>
    <w:rsid w:val="00C514A2"/>
    <w:rsid w:val="00C55093"/>
    <w:rsid w:val="00C74524"/>
    <w:rsid w:val="00CA060C"/>
    <w:rsid w:val="00CB008A"/>
    <w:rsid w:val="00CB453C"/>
    <w:rsid w:val="00CC66F1"/>
    <w:rsid w:val="00CD2C23"/>
    <w:rsid w:val="00CE0E39"/>
    <w:rsid w:val="00CE7509"/>
    <w:rsid w:val="00CF26DB"/>
    <w:rsid w:val="00CF6AE9"/>
    <w:rsid w:val="00D022E0"/>
    <w:rsid w:val="00D10231"/>
    <w:rsid w:val="00D1764C"/>
    <w:rsid w:val="00D3122F"/>
    <w:rsid w:val="00D81C60"/>
    <w:rsid w:val="00D9575C"/>
    <w:rsid w:val="00DE15A5"/>
    <w:rsid w:val="00DF2E1D"/>
    <w:rsid w:val="00E14B1D"/>
    <w:rsid w:val="00E3408F"/>
    <w:rsid w:val="00E646FE"/>
    <w:rsid w:val="00E66896"/>
    <w:rsid w:val="00EA16A2"/>
    <w:rsid w:val="00EA1C15"/>
    <w:rsid w:val="00EB6946"/>
    <w:rsid w:val="00F0531A"/>
    <w:rsid w:val="00F105E5"/>
    <w:rsid w:val="00F336B5"/>
    <w:rsid w:val="00F802FA"/>
    <w:rsid w:val="00F9310C"/>
    <w:rsid w:val="00F97424"/>
    <w:rsid w:val="00FA64EE"/>
    <w:rsid w:val="00FA665E"/>
    <w:rsid w:val="00FB5ED9"/>
    <w:rsid w:val="00FC3900"/>
    <w:rsid w:val="00FD7FCE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575C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957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575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575C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57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575C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5F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5F1D"/>
    <w:rPr>
      <w:rFonts w:eastAsia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57C4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957C43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FA64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64EE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A64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64EE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575C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957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575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575C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57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575C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5F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5F1D"/>
    <w:rPr>
      <w:rFonts w:eastAsia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57C4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957C43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FA64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64EE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A64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64EE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1E3E-A103-46FC-ADC6-0A20306B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2664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2021-09-03T17:45:00Z</dcterms:created>
  <dc:creator>Viktorija Vėtrinaitė-Liaudanskienė</dc:creator>
  <cp:lastModifiedBy>Jurgita Didikaitė</cp:lastModifiedBy>
  <dcterms:modified xsi:type="dcterms:W3CDTF">2021-09-03T17:46:00Z</dcterms:modified>
  <cp:revision>3</cp:revision>
</cp:coreProperties>
</file>