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DD" w:rsidRPr="00D202E8" w:rsidRDefault="003E52FF" w:rsidP="00A02DBB">
      <w:pPr>
        <w:jc w:val="center"/>
        <w:rPr>
          <w:rFonts w:eastAsia="Times New Roman"/>
          <w:b/>
        </w:rPr>
      </w:pPr>
      <w:r w:rsidRPr="00D202E8">
        <w:rPr>
          <w:rFonts w:eastAsia="Times New Roman"/>
          <w:b/>
          <w:caps/>
        </w:rPr>
        <w:t xml:space="preserve">Direktyvos </w:t>
      </w:r>
      <w:r w:rsidR="008642AB" w:rsidRPr="00D202E8">
        <w:rPr>
          <w:rFonts w:eastAsia="Times New Roman"/>
          <w:b/>
          <w:caps/>
        </w:rPr>
        <w:t>2018/851</w:t>
      </w:r>
      <w:r w:rsidR="00C26805" w:rsidRPr="00D202E8">
        <w:rPr>
          <w:b/>
          <w:bCs/>
        </w:rPr>
        <w:t xml:space="preserve"> </w:t>
      </w:r>
      <w:r w:rsidR="008E5BDD" w:rsidRPr="00D202E8">
        <w:rPr>
          <w:rFonts w:eastAsia="Times New Roman"/>
          <w:b/>
          <w:caps/>
        </w:rPr>
        <w:t xml:space="preserve">IR </w:t>
      </w:r>
      <w:r w:rsidR="00A02DBB" w:rsidRPr="00D202E8">
        <w:rPr>
          <w:b/>
          <w:color w:val="000000"/>
        </w:rPr>
        <w:t xml:space="preserve">LIETUVOS RESPUBLIKOS </w:t>
      </w:r>
      <w:r w:rsidR="00360C9B" w:rsidRPr="002657C8">
        <w:rPr>
          <w:b/>
        </w:rPr>
        <w:t xml:space="preserve">PAKUOČIŲ IR PAKUOČIŲ ATLIEKŲ TVARKYMO </w:t>
      </w:r>
      <w:r w:rsidR="00360C9B" w:rsidRPr="002657C8">
        <w:rPr>
          <w:b/>
          <w:caps/>
        </w:rPr>
        <w:t>ĮSTATYMO</w:t>
      </w:r>
      <w:r w:rsidR="00360C9B">
        <w:rPr>
          <w:b/>
          <w:caps/>
        </w:rPr>
        <w:t xml:space="preserve"> nr. ix-517 </w:t>
      </w:r>
      <w:r w:rsidR="00360C9B">
        <w:rPr>
          <w:b/>
          <w:bCs/>
        </w:rPr>
        <w:t xml:space="preserve">2, </w:t>
      </w:r>
      <w:r w:rsidR="000009D1" w:rsidRPr="00232073">
        <w:rPr>
          <w:b/>
          <w:bCs/>
        </w:rPr>
        <w:t>4, 4</w:t>
      </w:r>
      <w:r w:rsidR="000009D1" w:rsidRPr="00232073">
        <w:rPr>
          <w:b/>
          <w:bCs/>
          <w:vertAlign w:val="superscript"/>
        </w:rPr>
        <w:t>2</w:t>
      </w:r>
      <w:r w:rsidR="000009D1" w:rsidRPr="00232073">
        <w:rPr>
          <w:b/>
          <w:bCs/>
        </w:rPr>
        <w:t>,</w:t>
      </w:r>
      <w:r w:rsidR="000009D1">
        <w:rPr>
          <w:bCs/>
        </w:rPr>
        <w:t xml:space="preserve"> </w:t>
      </w:r>
      <w:r w:rsidR="000009D1">
        <w:rPr>
          <w:b/>
          <w:bCs/>
        </w:rPr>
        <w:t xml:space="preserve">7, 10, </w:t>
      </w:r>
      <w:r w:rsidR="000009D1" w:rsidRPr="00371BB7">
        <w:rPr>
          <w:b/>
          <w:bCs/>
        </w:rPr>
        <w:t>11</w:t>
      </w:r>
      <w:r w:rsidR="000009D1" w:rsidRPr="00371BB7">
        <w:rPr>
          <w:b/>
          <w:bCs/>
          <w:vertAlign w:val="superscript"/>
        </w:rPr>
        <w:t>2</w:t>
      </w:r>
      <w:r w:rsidR="00360C9B" w:rsidRPr="00371BB7">
        <w:rPr>
          <w:b/>
          <w:bCs/>
        </w:rPr>
        <w:t xml:space="preserve"> </w:t>
      </w:r>
      <w:r w:rsidR="00360C9B">
        <w:rPr>
          <w:b/>
          <w:bCs/>
        </w:rPr>
        <w:t>STRAIPSNIŲ</w:t>
      </w:r>
      <w:r w:rsidR="009F4D1F">
        <w:rPr>
          <w:b/>
          <w:bCs/>
        </w:rPr>
        <w:t xml:space="preserve"> IR</w:t>
      </w:r>
      <w:r w:rsidR="001B1C61">
        <w:rPr>
          <w:b/>
          <w:bCs/>
        </w:rPr>
        <w:t xml:space="preserve"> 2 PRIEDO</w:t>
      </w:r>
      <w:r w:rsidR="00360C9B">
        <w:rPr>
          <w:b/>
          <w:bCs/>
        </w:rPr>
        <w:t xml:space="preserve"> PAKEITIMO </w:t>
      </w:r>
      <w:r w:rsidR="008E5BDD" w:rsidRPr="00D202E8">
        <w:rPr>
          <w:b/>
          <w:color w:val="000000"/>
          <w:spacing w:val="1"/>
        </w:rPr>
        <w:t xml:space="preserve">ĮSTATYMO </w:t>
      </w:r>
      <w:r w:rsidR="008E5BDD" w:rsidRPr="00D202E8">
        <w:rPr>
          <w:rFonts w:eastAsia="Times New Roman"/>
          <w:b/>
        </w:rPr>
        <w:t>PROJEKTO ATITIKTIES LENTELĖ</w:t>
      </w:r>
    </w:p>
    <w:p w:rsidR="008E5BDD" w:rsidRPr="00D202E8" w:rsidRDefault="008E5BDD">
      <w:pPr>
        <w:snapToGrid w:val="0"/>
        <w:jc w:val="both"/>
        <w:rPr>
          <w:rFonts w:eastAsia="Times New Roman"/>
          <w:b/>
          <w:sz w:val="22"/>
          <w:szCs w:val="22"/>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5387"/>
        <w:gridCol w:w="6520"/>
        <w:gridCol w:w="3174"/>
      </w:tblGrid>
      <w:tr w:rsidR="008E5BDD" w:rsidRPr="004C516C" w:rsidTr="006310AB">
        <w:tc>
          <w:tcPr>
            <w:tcW w:w="5387" w:type="dxa"/>
            <w:tcBorders>
              <w:top w:val="single" w:sz="2" w:space="0" w:color="000000"/>
              <w:left w:val="single" w:sz="1" w:space="0" w:color="000000"/>
              <w:bottom w:val="single" w:sz="4" w:space="0" w:color="auto"/>
            </w:tcBorders>
          </w:tcPr>
          <w:p w:rsidR="008642AB" w:rsidRPr="004C516C" w:rsidRDefault="008642AB" w:rsidP="008642AB">
            <w:pPr>
              <w:pStyle w:val="TableContents"/>
              <w:snapToGrid w:val="0"/>
              <w:jc w:val="both"/>
              <w:rPr>
                <w:b/>
                <w:sz w:val="22"/>
                <w:szCs w:val="22"/>
              </w:rPr>
            </w:pPr>
            <w:r w:rsidRPr="004C516C">
              <w:rPr>
                <w:b/>
                <w:sz w:val="22"/>
                <w:szCs w:val="22"/>
              </w:rPr>
              <w:t>2018 m. gegužės 30 d. Europos Parlamento ir Tarybos dire</w:t>
            </w:r>
            <w:r w:rsidR="002E3013" w:rsidRPr="004C516C">
              <w:rPr>
                <w:b/>
                <w:sz w:val="22"/>
                <w:szCs w:val="22"/>
              </w:rPr>
              <w:t>ktyva (ES) 2018/851</w:t>
            </w:r>
            <w:r w:rsidR="00312DB4">
              <w:rPr>
                <w:b/>
                <w:sz w:val="22"/>
                <w:szCs w:val="22"/>
              </w:rPr>
              <w:t>,</w:t>
            </w:r>
            <w:r w:rsidR="002E3013" w:rsidRPr="004C516C">
              <w:rPr>
                <w:b/>
                <w:sz w:val="22"/>
                <w:szCs w:val="22"/>
              </w:rPr>
              <w:t xml:space="preserve"> </w:t>
            </w:r>
            <w:r w:rsidR="00A872EC">
              <w:rPr>
                <w:b/>
                <w:sz w:val="22"/>
                <w:szCs w:val="22"/>
              </w:rPr>
              <w:t xml:space="preserve">kuria iš dalies keičiama Direktyva 2008/98/EB </w:t>
            </w:r>
            <w:r w:rsidR="002E3013" w:rsidRPr="004C516C">
              <w:rPr>
                <w:b/>
                <w:sz w:val="22"/>
                <w:szCs w:val="22"/>
              </w:rPr>
              <w:t>dėl atliekų</w:t>
            </w:r>
          </w:p>
        </w:tc>
        <w:tc>
          <w:tcPr>
            <w:tcW w:w="6520" w:type="dxa"/>
            <w:tcBorders>
              <w:top w:val="single" w:sz="2" w:space="0" w:color="000000"/>
              <w:left w:val="single" w:sz="1" w:space="0" w:color="000000"/>
              <w:bottom w:val="single" w:sz="4" w:space="0" w:color="auto"/>
            </w:tcBorders>
          </w:tcPr>
          <w:p w:rsidR="008E5BDD" w:rsidRPr="004C516C" w:rsidRDefault="008E5BDD" w:rsidP="009F4D1F">
            <w:pPr>
              <w:snapToGrid w:val="0"/>
              <w:jc w:val="both"/>
              <w:rPr>
                <w:b/>
                <w:sz w:val="22"/>
                <w:szCs w:val="22"/>
              </w:rPr>
            </w:pPr>
            <w:r w:rsidRPr="004C516C">
              <w:rPr>
                <w:b/>
                <w:sz w:val="22"/>
                <w:szCs w:val="22"/>
              </w:rPr>
              <w:t xml:space="preserve">Lietuvos Respublikos </w:t>
            </w:r>
            <w:r w:rsidR="002E3013" w:rsidRPr="004C516C">
              <w:rPr>
                <w:b/>
                <w:sz w:val="22"/>
                <w:szCs w:val="22"/>
              </w:rPr>
              <w:t xml:space="preserve">pakuočių ir pakuočių </w:t>
            </w:r>
            <w:r w:rsidRPr="004C516C">
              <w:rPr>
                <w:b/>
                <w:sz w:val="22"/>
                <w:szCs w:val="22"/>
              </w:rPr>
              <w:t>atliekų tvarkymo įstatymo</w:t>
            </w:r>
            <w:r w:rsidR="0080159B">
              <w:rPr>
                <w:b/>
                <w:sz w:val="22"/>
                <w:szCs w:val="22"/>
              </w:rPr>
              <w:t xml:space="preserve"> Nr. IX-517 2, </w:t>
            </w:r>
            <w:r w:rsidR="000009D1" w:rsidRPr="000009D1">
              <w:rPr>
                <w:b/>
                <w:bCs/>
                <w:sz w:val="22"/>
              </w:rPr>
              <w:t>4, 4</w:t>
            </w:r>
            <w:r w:rsidR="000009D1" w:rsidRPr="000009D1">
              <w:rPr>
                <w:b/>
                <w:bCs/>
                <w:sz w:val="22"/>
                <w:vertAlign w:val="superscript"/>
              </w:rPr>
              <w:t>2</w:t>
            </w:r>
            <w:r w:rsidR="000009D1" w:rsidRPr="000009D1">
              <w:rPr>
                <w:b/>
                <w:bCs/>
                <w:sz w:val="22"/>
              </w:rPr>
              <w:t>,</w:t>
            </w:r>
            <w:r w:rsidR="000009D1" w:rsidRPr="000009D1">
              <w:rPr>
                <w:bCs/>
                <w:sz w:val="22"/>
              </w:rPr>
              <w:t xml:space="preserve"> </w:t>
            </w:r>
            <w:r w:rsidR="000009D1" w:rsidRPr="000009D1">
              <w:rPr>
                <w:b/>
                <w:bCs/>
                <w:sz w:val="22"/>
              </w:rPr>
              <w:t>7, 10, 11</w:t>
            </w:r>
            <w:r w:rsidR="000009D1" w:rsidRPr="000009D1">
              <w:rPr>
                <w:b/>
                <w:bCs/>
                <w:sz w:val="22"/>
                <w:vertAlign w:val="superscript"/>
              </w:rPr>
              <w:t>2</w:t>
            </w:r>
            <w:r w:rsidR="000009D1" w:rsidRPr="000009D1">
              <w:rPr>
                <w:b/>
                <w:bCs/>
                <w:sz w:val="22"/>
              </w:rPr>
              <w:t xml:space="preserve"> </w:t>
            </w:r>
            <w:r w:rsidR="0080159B">
              <w:rPr>
                <w:b/>
                <w:sz w:val="22"/>
                <w:szCs w:val="22"/>
              </w:rPr>
              <w:t>straipsnių</w:t>
            </w:r>
            <w:r w:rsidR="009F4D1F">
              <w:rPr>
                <w:b/>
                <w:sz w:val="22"/>
                <w:szCs w:val="22"/>
              </w:rPr>
              <w:t xml:space="preserve"> ir </w:t>
            </w:r>
            <w:r w:rsidR="00EE22C6">
              <w:rPr>
                <w:b/>
                <w:sz w:val="22"/>
                <w:szCs w:val="22"/>
              </w:rPr>
              <w:t>2 priedo</w:t>
            </w:r>
            <w:r w:rsidR="0080159B">
              <w:rPr>
                <w:b/>
                <w:sz w:val="22"/>
                <w:szCs w:val="22"/>
              </w:rPr>
              <w:t xml:space="preserve"> pakeitimo </w:t>
            </w:r>
            <w:r w:rsidRPr="004C516C">
              <w:rPr>
                <w:b/>
                <w:sz w:val="22"/>
                <w:szCs w:val="22"/>
              </w:rPr>
              <w:t>įstatymo projektas (toliau – Įstatymo projektas)</w:t>
            </w:r>
          </w:p>
        </w:tc>
        <w:tc>
          <w:tcPr>
            <w:tcW w:w="3174" w:type="dxa"/>
            <w:tcBorders>
              <w:top w:val="single" w:sz="2" w:space="0" w:color="000000"/>
              <w:left w:val="single" w:sz="1" w:space="0" w:color="000000"/>
              <w:bottom w:val="single" w:sz="4" w:space="0" w:color="auto"/>
              <w:right w:val="single" w:sz="1" w:space="0" w:color="000000"/>
            </w:tcBorders>
          </w:tcPr>
          <w:p w:rsidR="008E5BDD" w:rsidRPr="004C516C" w:rsidRDefault="0073648A">
            <w:pPr>
              <w:snapToGrid w:val="0"/>
              <w:jc w:val="both"/>
              <w:rPr>
                <w:b/>
                <w:sz w:val="22"/>
                <w:szCs w:val="22"/>
              </w:rPr>
            </w:pPr>
            <w:r w:rsidRPr="004C516C">
              <w:rPr>
                <w:b/>
                <w:sz w:val="22"/>
                <w:szCs w:val="22"/>
              </w:rPr>
              <w:t>Direktyvos</w:t>
            </w:r>
            <w:r w:rsidR="008E5BDD" w:rsidRPr="004C516C">
              <w:rPr>
                <w:b/>
                <w:sz w:val="22"/>
                <w:szCs w:val="22"/>
              </w:rPr>
              <w:t xml:space="preserve"> perkėlimo ir įgyvendinimo lygis</w:t>
            </w:r>
          </w:p>
        </w:tc>
      </w:tr>
      <w:tr w:rsidR="00C36B7B" w:rsidRPr="004C516C" w:rsidTr="006310AB">
        <w:tc>
          <w:tcPr>
            <w:tcW w:w="5387" w:type="dxa"/>
            <w:tcBorders>
              <w:top w:val="single" w:sz="4" w:space="0" w:color="auto"/>
              <w:left w:val="single" w:sz="4" w:space="0" w:color="auto"/>
              <w:bottom w:val="single" w:sz="4" w:space="0" w:color="auto"/>
              <w:right w:val="single" w:sz="4" w:space="0" w:color="auto"/>
            </w:tcBorders>
          </w:tcPr>
          <w:p w:rsidR="00464401" w:rsidRDefault="00464401" w:rsidP="00F43408">
            <w:pPr>
              <w:jc w:val="both"/>
              <w:rPr>
                <w:b/>
                <w:sz w:val="22"/>
                <w:szCs w:val="22"/>
              </w:rPr>
            </w:pPr>
            <w:r>
              <w:rPr>
                <w:b/>
                <w:sz w:val="22"/>
                <w:szCs w:val="22"/>
              </w:rPr>
              <w:t>1 straipsnio 9 dalis:</w:t>
            </w:r>
          </w:p>
          <w:p w:rsidR="00464401" w:rsidRPr="00464401" w:rsidRDefault="00464401" w:rsidP="00F43408">
            <w:pPr>
              <w:jc w:val="both"/>
              <w:rPr>
                <w:sz w:val="22"/>
                <w:szCs w:val="22"/>
              </w:rPr>
            </w:pPr>
            <w:r w:rsidRPr="00464401">
              <w:rPr>
                <w:sz w:val="22"/>
                <w:szCs w:val="22"/>
              </w:rPr>
              <w:t>Įterpiamas šis straipsnis:</w:t>
            </w:r>
          </w:p>
          <w:p w:rsidR="00C36B7B" w:rsidRPr="00464401" w:rsidRDefault="00C36B7B" w:rsidP="00F43408">
            <w:pPr>
              <w:jc w:val="both"/>
              <w:rPr>
                <w:sz w:val="22"/>
                <w:szCs w:val="22"/>
              </w:rPr>
            </w:pPr>
            <w:r w:rsidRPr="00464401">
              <w:rPr>
                <w:sz w:val="22"/>
                <w:szCs w:val="22"/>
              </w:rPr>
              <w:t>8a straipsnis</w:t>
            </w:r>
          </w:p>
          <w:p w:rsidR="00C36B7B" w:rsidRPr="004C516C" w:rsidRDefault="00C36B7B" w:rsidP="00F43408">
            <w:pPr>
              <w:jc w:val="both"/>
              <w:rPr>
                <w:b/>
                <w:sz w:val="22"/>
                <w:szCs w:val="22"/>
              </w:rPr>
            </w:pPr>
            <w:r w:rsidRPr="004C516C">
              <w:rPr>
                <w:b/>
                <w:sz w:val="22"/>
                <w:szCs w:val="22"/>
              </w:rPr>
              <w:t>Bendrieji didesnės gamintojo atsakomybės sistemos būtiniausi reikalavimai</w:t>
            </w:r>
          </w:p>
          <w:p w:rsidR="00C36B7B" w:rsidRPr="004C516C" w:rsidRDefault="00C36B7B" w:rsidP="002E3013">
            <w:pPr>
              <w:jc w:val="both"/>
              <w:rPr>
                <w:sz w:val="22"/>
                <w:szCs w:val="22"/>
              </w:rPr>
            </w:pPr>
            <w:r w:rsidRPr="004C516C">
              <w:rPr>
                <w:sz w:val="22"/>
                <w:szCs w:val="22"/>
              </w:rPr>
              <w:t>1. Kai pagal 8 straipsnio 1 dalį, be kita ko, vadovaujantis kitais Sąjungos teisėkūros procedūra priimamais aktais, įdiegiamos didesnės gamintojo atsakomybės sistemos, valstyb</w:t>
            </w:r>
            <w:r w:rsidR="00F43408" w:rsidRPr="004C516C">
              <w:rPr>
                <w:sz w:val="22"/>
                <w:szCs w:val="22"/>
              </w:rPr>
              <w:t>ės narės:</w:t>
            </w:r>
          </w:p>
          <w:p w:rsidR="00C36B7B" w:rsidRPr="004C516C" w:rsidRDefault="00C36B7B" w:rsidP="002E3013">
            <w:pPr>
              <w:pStyle w:val="TableContents"/>
              <w:jc w:val="both"/>
              <w:rPr>
                <w:b/>
                <w:sz w:val="22"/>
                <w:szCs w:val="22"/>
              </w:rPr>
            </w:pPr>
            <w:r w:rsidRPr="004C516C">
              <w:rPr>
                <w:sz w:val="22"/>
                <w:szCs w:val="22"/>
              </w:rPr>
              <w:t>a) aiškiai apibrėžia visų atitinkamų susijusių subjektų, be kita ko, valstybės narės rinkai produktus teikiančių produktų gamintojų, jų vardu didesnės gamintojo atsakomybės įpareigojimus įgyvendinančių organizacijų, privačiųjų arba viešųjų atliekų tvarkymo veiklos vykdytojų, vietos valdžios institucijų ir, kai tikslinga, pakartotinio naudojimo ir parengimo pakartotiniam naudojimui veiklos vykdytojų, taip pat socialinės ekonomikos įmonių, funkcijas ir atsakomybę;</w:t>
            </w:r>
          </w:p>
        </w:tc>
        <w:tc>
          <w:tcPr>
            <w:tcW w:w="6520" w:type="dxa"/>
            <w:tcBorders>
              <w:top w:val="single" w:sz="4" w:space="0" w:color="auto"/>
              <w:left w:val="single" w:sz="4" w:space="0" w:color="auto"/>
              <w:bottom w:val="single" w:sz="4" w:space="0" w:color="auto"/>
              <w:right w:val="single" w:sz="4" w:space="0" w:color="auto"/>
            </w:tcBorders>
          </w:tcPr>
          <w:p w:rsidR="00C36B7B" w:rsidRPr="008B3F6C" w:rsidRDefault="00C36B7B" w:rsidP="00C36B7B">
            <w:pPr>
              <w:jc w:val="both"/>
              <w:rPr>
                <w:b/>
                <w:color w:val="000000"/>
                <w:sz w:val="22"/>
                <w:szCs w:val="22"/>
              </w:rPr>
            </w:pPr>
            <w:r w:rsidRPr="008B3F6C">
              <w:rPr>
                <w:b/>
                <w:color w:val="000000"/>
                <w:sz w:val="22"/>
                <w:szCs w:val="22"/>
              </w:rPr>
              <w:t>Įstatymo projektas</w:t>
            </w:r>
          </w:p>
          <w:p w:rsidR="002E3013" w:rsidRPr="004C516C" w:rsidRDefault="008B3F6C" w:rsidP="002E3013">
            <w:pPr>
              <w:jc w:val="both"/>
              <w:rPr>
                <w:b/>
                <w:sz w:val="22"/>
                <w:szCs w:val="22"/>
              </w:rPr>
            </w:pPr>
            <w:r>
              <w:rPr>
                <w:b/>
                <w:sz w:val="22"/>
                <w:szCs w:val="22"/>
              </w:rPr>
              <w:t>4</w:t>
            </w:r>
            <w:r w:rsidR="002E3013" w:rsidRPr="004C516C">
              <w:rPr>
                <w:b/>
                <w:sz w:val="22"/>
                <w:szCs w:val="22"/>
              </w:rPr>
              <w:t xml:space="preserve"> straipsnis. 7 straipsnio pakeitimas</w:t>
            </w:r>
          </w:p>
          <w:p w:rsidR="002E3013" w:rsidRPr="004C516C" w:rsidRDefault="002E3013" w:rsidP="002E3013">
            <w:pPr>
              <w:jc w:val="both"/>
              <w:rPr>
                <w:rFonts w:eastAsia="TimesNewRomanPSMT"/>
                <w:bCs/>
                <w:kern w:val="2"/>
                <w:sz w:val="22"/>
                <w:szCs w:val="22"/>
              </w:rPr>
            </w:pPr>
            <w:r w:rsidRPr="004C516C">
              <w:rPr>
                <w:rFonts w:eastAsia="TimesNewRomanPSMT"/>
                <w:bCs/>
                <w:kern w:val="2"/>
                <w:sz w:val="22"/>
                <w:szCs w:val="22"/>
              </w:rPr>
              <w:t>1. Pakeisti 7 straipsnio 1 dalies 2 punktą ir jį išdėstyti taip:</w:t>
            </w:r>
          </w:p>
          <w:p w:rsidR="002E3013" w:rsidRPr="004C516C" w:rsidRDefault="002E3013" w:rsidP="002E3013">
            <w:pPr>
              <w:jc w:val="both"/>
              <w:rPr>
                <w:sz w:val="22"/>
                <w:szCs w:val="22"/>
              </w:rPr>
            </w:pPr>
            <w:r w:rsidRPr="004C516C">
              <w:rPr>
                <w:sz w:val="22"/>
                <w:szCs w:val="22"/>
              </w:rPr>
              <w:t xml:space="preserve">„2) </w:t>
            </w:r>
            <w:r w:rsidR="008B3F6C" w:rsidRPr="008B3F6C">
              <w:rPr>
                <w:sz w:val="22"/>
              </w:rPr>
              <w:t>organizuoti rūšiuojamąjį surinkimą, vežimą, paruošimą naudoti</w:t>
            </w:r>
            <w:r w:rsidR="008B3F6C" w:rsidRPr="008B3F6C">
              <w:rPr>
                <w:b/>
                <w:sz w:val="22"/>
              </w:rPr>
              <w:t xml:space="preserve">, </w:t>
            </w:r>
            <w:r w:rsidR="008B3F6C" w:rsidRPr="008B3F6C">
              <w:rPr>
                <w:sz w:val="22"/>
              </w:rPr>
              <w:t>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jeigu tiekia Lietuvos Respublikai vidaus rinkai gaminius, už kurių daugkartines pakuotes pagal šio įstatymo 11 straipsnio 1 dalį nustatytas užstatas, dalyvauti užstato už daugkartines pakuotes sistemoje;</w:t>
            </w:r>
            <w:r w:rsidRPr="004C516C">
              <w:rPr>
                <w:sz w:val="22"/>
                <w:szCs w:val="22"/>
              </w:rPr>
              <w:t>“</w:t>
            </w:r>
          </w:p>
          <w:p w:rsidR="002E3013" w:rsidRDefault="002E3013" w:rsidP="00C36B7B">
            <w:pPr>
              <w:jc w:val="both"/>
              <w:rPr>
                <w:color w:val="000000"/>
                <w:sz w:val="22"/>
                <w:szCs w:val="22"/>
              </w:rPr>
            </w:pPr>
            <w:r w:rsidRPr="004C516C">
              <w:rPr>
                <w:color w:val="000000"/>
                <w:sz w:val="22"/>
                <w:szCs w:val="22"/>
              </w:rPr>
              <w:t>&lt;...&gt;</w:t>
            </w:r>
          </w:p>
          <w:p w:rsidR="00D55363" w:rsidRDefault="00D55363" w:rsidP="00C36B7B">
            <w:pPr>
              <w:jc w:val="both"/>
              <w:rPr>
                <w:color w:val="000000"/>
                <w:sz w:val="22"/>
                <w:szCs w:val="22"/>
              </w:rPr>
            </w:pPr>
          </w:p>
          <w:p w:rsidR="00D55363" w:rsidRPr="004C516C" w:rsidRDefault="00D55363" w:rsidP="00D55363">
            <w:pPr>
              <w:jc w:val="both"/>
              <w:rPr>
                <w:color w:val="000000"/>
                <w:sz w:val="22"/>
                <w:szCs w:val="22"/>
              </w:rPr>
            </w:pPr>
            <w:r>
              <w:rPr>
                <w:i/>
                <w:sz w:val="22"/>
                <w:szCs w:val="20"/>
              </w:rPr>
              <w:t xml:space="preserve">Pastaba: </w:t>
            </w:r>
            <w:r w:rsidRPr="00CA2409">
              <w:rPr>
                <w:i/>
                <w:sz w:val="22"/>
                <w:szCs w:val="20"/>
              </w:rPr>
              <w:t xml:space="preserve">šios nuostatos taip pat bus perkeltos </w:t>
            </w:r>
            <w:r>
              <w:rPr>
                <w:i/>
                <w:sz w:val="22"/>
                <w:szCs w:val="20"/>
              </w:rPr>
              <w:t>Atliekų tvarkymo</w:t>
            </w:r>
            <w:r w:rsidRPr="00CA2409">
              <w:rPr>
                <w:i/>
                <w:sz w:val="22"/>
                <w:szCs w:val="20"/>
              </w:rPr>
              <w:t xml:space="preserve"> </w:t>
            </w:r>
            <w:r>
              <w:rPr>
                <w:i/>
                <w:sz w:val="22"/>
                <w:szCs w:val="20"/>
              </w:rPr>
              <w:t xml:space="preserve">įstatymo pakeitimo </w:t>
            </w:r>
            <w:r w:rsidRPr="00CA2409">
              <w:rPr>
                <w:i/>
                <w:sz w:val="22"/>
                <w:szCs w:val="20"/>
              </w:rPr>
              <w:t>projektu</w:t>
            </w:r>
            <w:r>
              <w:rPr>
                <w:i/>
                <w:sz w:val="22"/>
                <w:szCs w:val="20"/>
              </w:rPr>
              <w:t>.</w:t>
            </w:r>
          </w:p>
        </w:tc>
        <w:tc>
          <w:tcPr>
            <w:tcW w:w="3174" w:type="dxa"/>
            <w:tcBorders>
              <w:top w:val="single" w:sz="4" w:space="0" w:color="auto"/>
              <w:left w:val="single" w:sz="4" w:space="0" w:color="auto"/>
              <w:bottom w:val="single" w:sz="4" w:space="0" w:color="auto"/>
              <w:right w:val="single" w:sz="4" w:space="0" w:color="auto"/>
            </w:tcBorders>
          </w:tcPr>
          <w:p w:rsidR="00C36B7B" w:rsidRPr="004C516C" w:rsidRDefault="00D55363" w:rsidP="00CE73F2">
            <w:pPr>
              <w:pStyle w:val="BodyText"/>
              <w:rPr>
                <w:sz w:val="22"/>
                <w:szCs w:val="22"/>
              </w:rPr>
            </w:pPr>
            <w:r>
              <w:rPr>
                <w:sz w:val="22"/>
                <w:szCs w:val="22"/>
              </w:rPr>
              <w:t>Dalinis</w:t>
            </w:r>
          </w:p>
          <w:p w:rsidR="00C36B7B" w:rsidRPr="004C516C" w:rsidRDefault="00C36B7B" w:rsidP="00CE73F2">
            <w:pPr>
              <w:pStyle w:val="BodyText"/>
              <w:rPr>
                <w:sz w:val="22"/>
                <w:szCs w:val="22"/>
              </w:rPr>
            </w:pPr>
          </w:p>
        </w:tc>
      </w:tr>
      <w:tr w:rsidR="000F4C1E" w:rsidRPr="004C516C" w:rsidTr="006310AB">
        <w:tc>
          <w:tcPr>
            <w:tcW w:w="5387" w:type="dxa"/>
            <w:tcBorders>
              <w:top w:val="single" w:sz="4" w:space="0" w:color="auto"/>
              <w:left w:val="single" w:sz="4" w:space="0" w:color="auto"/>
              <w:bottom w:val="single" w:sz="4" w:space="0" w:color="auto"/>
              <w:right w:val="single" w:sz="4" w:space="0" w:color="auto"/>
            </w:tcBorders>
          </w:tcPr>
          <w:p w:rsidR="00464401" w:rsidRDefault="00464401" w:rsidP="00464401">
            <w:pPr>
              <w:jc w:val="both"/>
              <w:rPr>
                <w:b/>
                <w:sz w:val="22"/>
                <w:szCs w:val="22"/>
              </w:rPr>
            </w:pPr>
            <w:r>
              <w:rPr>
                <w:b/>
                <w:sz w:val="22"/>
                <w:szCs w:val="22"/>
              </w:rPr>
              <w:t>1 straipsnio 9 dalis:</w:t>
            </w:r>
          </w:p>
          <w:p w:rsidR="00464401" w:rsidRPr="00464401" w:rsidRDefault="00464401" w:rsidP="00464401">
            <w:pPr>
              <w:jc w:val="both"/>
              <w:rPr>
                <w:sz w:val="22"/>
                <w:szCs w:val="22"/>
              </w:rPr>
            </w:pPr>
            <w:r w:rsidRPr="00464401">
              <w:rPr>
                <w:sz w:val="22"/>
                <w:szCs w:val="22"/>
              </w:rPr>
              <w:t>Įterpiamas šis straipsnis:</w:t>
            </w:r>
          </w:p>
          <w:p w:rsidR="000F4C1E" w:rsidRPr="004C516C" w:rsidRDefault="000F4C1E" w:rsidP="00C77833">
            <w:pPr>
              <w:jc w:val="both"/>
              <w:rPr>
                <w:b/>
                <w:sz w:val="22"/>
                <w:szCs w:val="22"/>
              </w:rPr>
            </w:pPr>
            <w:r w:rsidRPr="004C516C">
              <w:rPr>
                <w:b/>
                <w:sz w:val="22"/>
                <w:szCs w:val="22"/>
              </w:rPr>
              <w:t>8a straipsnis</w:t>
            </w:r>
          </w:p>
          <w:p w:rsidR="000F4C1E" w:rsidRPr="004C516C" w:rsidRDefault="000F4C1E" w:rsidP="00C77833">
            <w:pPr>
              <w:jc w:val="both"/>
              <w:rPr>
                <w:b/>
                <w:sz w:val="22"/>
                <w:szCs w:val="22"/>
              </w:rPr>
            </w:pPr>
            <w:r w:rsidRPr="004C516C">
              <w:rPr>
                <w:b/>
                <w:sz w:val="22"/>
                <w:szCs w:val="22"/>
              </w:rPr>
              <w:t>Bendrieji didesnės gamintojo atsakomybės sistemos būtiniausi reikalavimai</w:t>
            </w:r>
          </w:p>
          <w:p w:rsidR="000F4C1E" w:rsidRPr="004C516C" w:rsidRDefault="000F4C1E" w:rsidP="00C77833">
            <w:pPr>
              <w:jc w:val="both"/>
              <w:rPr>
                <w:sz w:val="22"/>
                <w:szCs w:val="22"/>
              </w:rPr>
            </w:pPr>
            <w:r w:rsidRPr="004C516C">
              <w:rPr>
                <w:sz w:val="22"/>
                <w:szCs w:val="22"/>
              </w:rPr>
              <w:t xml:space="preserve">8a straipsnio 2 dalis: </w:t>
            </w:r>
          </w:p>
          <w:p w:rsidR="000F4C1E" w:rsidRPr="004C516C" w:rsidRDefault="00F43408" w:rsidP="001E5C08">
            <w:pPr>
              <w:widowControl/>
              <w:suppressAutoHyphens w:val="0"/>
              <w:autoSpaceDE w:val="0"/>
              <w:autoSpaceDN w:val="0"/>
              <w:adjustRightInd w:val="0"/>
              <w:jc w:val="both"/>
              <w:rPr>
                <w:rFonts w:eastAsia="Times New Roman"/>
                <w:iCs/>
                <w:sz w:val="22"/>
                <w:szCs w:val="22"/>
              </w:rPr>
            </w:pPr>
            <w:r w:rsidRPr="004C516C">
              <w:rPr>
                <w:sz w:val="22"/>
                <w:szCs w:val="22"/>
              </w:rPr>
              <w:t xml:space="preserve">2. </w:t>
            </w:r>
            <w:r w:rsidR="000F4C1E" w:rsidRPr="004C516C">
              <w:rPr>
                <w:sz w:val="22"/>
                <w:szCs w:val="22"/>
              </w:rPr>
              <w:t xml:space="preserve">Valstybės narės imasi reikiamų priemonių siekdamos užtikrinti, kad atliekų turėtojai, kuriems taikomos pagal 8 straipsnio 1 dalį nustatytos didesnės gamintojo atsakomybės sistemos, būtų informuoti apie atliekų </w:t>
            </w:r>
            <w:r w:rsidR="000F4C1E" w:rsidRPr="004C516C">
              <w:rPr>
                <w:color w:val="000000"/>
                <w:sz w:val="22"/>
                <w:szCs w:val="22"/>
              </w:rPr>
              <w:t>prevencijos priemones</w:t>
            </w:r>
            <w:r w:rsidR="000F4C1E" w:rsidRPr="004C516C">
              <w:rPr>
                <w:sz w:val="22"/>
                <w:szCs w:val="22"/>
              </w:rPr>
              <w:t xml:space="preserve">, pakartotinio naudojimo ir </w:t>
            </w:r>
            <w:r w:rsidR="000F4C1E" w:rsidRPr="004C516C">
              <w:rPr>
                <w:color w:val="000000"/>
                <w:sz w:val="22"/>
                <w:szCs w:val="22"/>
              </w:rPr>
              <w:t>parengimo pakartotiniam naudojimui centrus</w:t>
            </w:r>
            <w:r w:rsidR="000F4C1E" w:rsidRPr="004C516C">
              <w:rPr>
                <w:sz w:val="22"/>
                <w:szCs w:val="22"/>
              </w:rPr>
              <w:t xml:space="preserve">, grąžinimo ir </w:t>
            </w:r>
            <w:r w:rsidR="000F4C1E" w:rsidRPr="004C516C">
              <w:rPr>
                <w:sz w:val="22"/>
                <w:szCs w:val="22"/>
              </w:rPr>
              <w:lastRenderedPageBreak/>
              <w:t>surinkimo sistemas ir šiukšlinimo prevenciją. Valstybės narės taip pat imasi priemonių (ekonominių iniciatyvų ar reguliavimo nuostatų, kai tikslinga), kad atliekų turėtojus paskatintų prisiimti atsakomybę už savo atliekų pateikimą įdiegtoms atskiro atliekų surinkimo sistemoms.</w:t>
            </w:r>
          </w:p>
        </w:tc>
        <w:tc>
          <w:tcPr>
            <w:tcW w:w="6520" w:type="dxa"/>
            <w:tcBorders>
              <w:top w:val="single" w:sz="4" w:space="0" w:color="auto"/>
              <w:left w:val="single" w:sz="4" w:space="0" w:color="auto"/>
              <w:bottom w:val="single" w:sz="4" w:space="0" w:color="auto"/>
              <w:right w:val="single" w:sz="4" w:space="0" w:color="auto"/>
            </w:tcBorders>
          </w:tcPr>
          <w:p w:rsidR="000F4C1E" w:rsidRPr="008B3F6C" w:rsidRDefault="000F4C1E" w:rsidP="00C77833">
            <w:pPr>
              <w:jc w:val="both"/>
              <w:rPr>
                <w:b/>
                <w:color w:val="000000"/>
                <w:sz w:val="22"/>
                <w:szCs w:val="22"/>
              </w:rPr>
            </w:pPr>
            <w:r w:rsidRPr="008B3F6C">
              <w:rPr>
                <w:b/>
                <w:color w:val="000000"/>
                <w:sz w:val="22"/>
                <w:szCs w:val="22"/>
              </w:rPr>
              <w:lastRenderedPageBreak/>
              <w:t>Įstatymo projektas</w:t>
            </w:r>
          </w:p>
          <w:p w:rsidR="002E3013" w:rsidRPr="004C516C" w:rsidRDefault="008B3F6C" w:rsidP="002E3013">
            <w:pPr>
              <w:jc w:val="both"/>
              <w:rPr>
                <w:b/>
                <w:sz w:val="22"/>
                <w:szCs w:val="22"/>
              </w:rPr>
            </w:pPr>
            <w:r>
              <w:rPr>
                <w:b/>
                <w:sz w:val="22"/>
                <w:szCs w:val="22"/>
              </w:rPr>
              <w:t>4</w:t>
            </w:r>
            <w:r w:rsidR="002E3013" w:rsidRPr="004C516C">
              <w:rPr>
                <w:b/>
                <w:sz w:val="22"/>
                <w:szCs w:val="22"/>
              </w:rPr>
              <w:t xml:space="preserve"> straipsnis. 7 straipsnio pakeitimas</w:t>
            </w:r>
          </w:p>
          <w:p w:rsidR="000869D4" w:rsidRPr="004C516C" w:rsidRDefault="000869D4" w:rsidP="000F4C1E">
            <w:pPr>
              <w:jc w:val="both"/>
              <w:rPr>
                <w:rFonts w:eastAsia="Calibri"/>
                <w:sz w:val="22"/>
                <w:szCs w:val="22"/>
                <w:lang w:eastAsia="en-US"/>
              </w:rPr>
            </w:pPr>
            <w:r w:rsidRPr="004C516C">
              <w:rPr>
                <w:rFonts w:eastAsia="Calibri"/>
                <w:sz w:val="22"/>
                <w:szCs w:val="22"/>
                <w:lang w:eastAsia="en-US"/>
              </w:rPr>
              <w:t>&lt;...&gt;</w:t>
            </w:r>
          </w:p>
          <w:p w:rsidR="002E3013" w:rsidRPr="004C516C" w:rsidRDefault="002E3013" w:rsidP="002E3013">
            <w:pPr>
              <w:jc w:val="both"/>
              <w:rPr>
                <w:rFonts w:eastAsia="TimesNewRomanPSMT"/>
                <w:bCs/>
                <w:kern w:val="2"/>
                <w:sz w:val="22"/>
                <w:szCs w:val="22"/>
              </w:rPr>
            </w:pPr>
            <w:r w:rsidRPr="004C516C">
              <w:rPr>
                <w:rFonts w:eastAsia="TimesNewRomanPSMT"/>
                <w:bCs/>
                <w:kern w:val="2"/>
                <w:sz w:val="22"/>
                <w:szCs w:val="22"/>
              </w:rPr>
              <w:t>2. Pakeisti 7 straipsnio 1 dalies 3 punktą ir jį išdėstyti taip:</w:t>
            </w:r>
          </w:p>
          <w:p w:rsidR="002E3013" w:rsidRPr="004C516C" w:rsidRDefault="002E3013" w:rsidP="002E3013">
            <w:pPr>
              <w:jc w:val="both"/>
              <w:rPr>
                <w:sz w:val="22"/>
                <w:szCs w:val="22"/>
              </w:rPr>
            </w:pPr>
            <w:r w:rsidRPr="004C516C">
              <w:rPr>
                <w:sz w:val="22"/>
                <w:szCs w:val="22"/>
              </w:rPr>
              <w:t xml:space="preserve">„3) </w:t>
            </w:r>
            <w:r w:rsidR="008B3F6C" w:rsidRPr="008B3F6C">
              <w:rPr>
                <w:sz w:val="22"/>
                <w:szCs w:val="22"/>
              </w:rPr>
              <w:t>aplinkos ministro nustatyta tvarka šviesti ir informuoti visuomenę pakuočių atliekų prevencijos ir</w:t>
            </w:r>
            <w:r w:rsidR="008B3F6C" w:rsidRPr="008B3F6C">
              <w:rPr>
                <w:b/>
                <w:sz w:val="22"/>
                <w:szCs w:val="22"/>
              </w:rPr>
              <w:t xml:space="preserve"> </w:t>
            </w:r>
            <w:r w:rsidR="008B3F6C" w:rsidRPr="008B3F6C">
              <w:rPr>
                <w:sz w:val="22"/>
                <w:szCs w:val="22"/>
              </w:rPr>
              <w:t xml:space="preserve">tvarkymo klausimais: apie netinkamo pakuočių atliekų tvarkymo žalą aplinkai ir žmonių sveikatai, pakuočių </w:t>
            </w:r>
            <w:r w:rsidR="008B3F6C" w:rsidRPr="008B3F6C">
              <w:rPr>
                <w:bCs/>
                <w:sz w:val="22"/>
              </w:rPr>
              <w:t>pakartotinio naudojimo, paruošimo pakartotinai naudoti ir kitas</w:t>
            </w:r>
            <w:r w:rsidR="008B3F6C" w:rsidRPr="008B3F6C">
              <w:rPr>
                <w:sz w:val="22"/>
                <w:szCs w:val="22"/>
              </w:rPr>
              <w:t xml:space="preserve"> atliekų tvarkymo galimybes</w:t>
            </w:r>
            <w:r w:rsidR="008B3F6C" w:rsidRPr="008B3F6C">
              <w:rPr>
                <w:b/>
                <w:bCs/>
                <w:sz w:val="22"/>
                <w:szCs w:val="22"/>
              </w:rPr>
              <w:t xml:space="preserve">, </w:t>
            </w:r>
            <w:r w:rsidR="008B3F6C" w:rsidRPr="008B3F6C">
              <w:rPr>
                <w:bCs/>
                <w:sz w:val="22"/>
                <w:szCs w:val="22"/>
              </w:rPr>
              <w:t>šiukšlinimo prevenciją</w:t>
            </w:r>
            <w:r w:rsidR="008B3F6C" w:rsidRPr="008B3F6C">
              <w:rPr>
                <w:sz w:val="22"/>
                <w:szCs w:val="22"/>
              </w:rPr>
              <w:t xml:space="preserve"> ir pan.;</w:t>
            </w:r>
            <w:r w:rsidRPr="004C516C">
              <w:rPr>
                <w:sz w:val="22"/>
                <w:szCs w:val="22"/>
              </w:rPr>
              <w:t>“</w:t>
            </w:r>
          </w:p>
          <w:p w:rsidR="000869D4" w:rsidRPr="004C516C" w:rsidRDefault="000869D4" w:rsidP="000F4C1E">
            <w:pPr>
              <w:jc w:val="both"/>
              <w:rPr>
                <w:rFonts w:eastAsia="Calibri"/>
                <w:sz w:val="22"/>
                <w:szCs w:val="22"/>
                <w:lang w:eastAsia="en-US"/>
              </w:rPr>
            </w:pPr>
          </w:p>
          <w:p w:rsidR="000F4C1E" w:rsidRPr="004C516C" w:rsidRDefault="002120E4" w:rsidP="002120E4">
            <w:pPr>
              <w:jc w:val="both"/>
              <w:rPr>
                <w:sz w:val="22"/>
                <w:szCs w:val="22"/>
              </w:rPr>
            </w:pPr>
            <w:r>
              <w:rPr>
                <w:i/>
                <w:sz w:val="22"/>
                <w:szCs w:val="20"/>
              </w:rPr>
              <w:t xml:space="preserve">Pastaba: </w:t>
            </w:r>
            <w:r w:rsidRPr="00CA2409">
              <w:rPr>
                <w:i/>
                <w:sz w:val="22"/>
                <w:szCs w:val="20"/>
              </w:rPr>
              <w:t xml:space="preserve">šios nuostatos taip pat bus perkeltos </w:t>
            </w:r>
            <w:r>
              <w:rPr>
                <w:i/>
                <w:sz w:val="22"/>
                <w:szCs w:val="20"/>
              </w:rPr>
              <w:t>Atliekų tvarkymo</w:t>
            </w:r>
            <w:r w:rsidRPr="00CA2409">
              <w:rPr>
                <w:i/>
                <w:sz w:val="22"/>
                <w:szCs w:val="20"/>
              </w:rPr>
              <w:t xml:space="preserve"> </w:t>
            </w:r>
            <w:r>
              <w:rPr>
                <w:i/>
                <w:sz w:val="22"/>
                <w:szCs w:val="20"/>
              </w:rPr>
              <w:t xml:space="preserve">įstatymo pakeitimo </w:t>
            </w:r>
            <w:r w:rsidRPr="00CA2409">
              <w:rPr>
                <w:i/>
                <w:sz w:val="22"/>
                <w:szCs w:val="20"/>
              </w:rPr>
              <w:t>projektu</w:t>
            </w:r>
            <w:r w:rsidRPr="002120E4">
              <w:rPr>
                <w:i/>
                <w:sz w:val="22"/>
                <w:szCs w:val="22"/>
              </w:rPr>
              <w:t xml:space="preserve"> </w:t>
            </w:r>
            <w:r>
              <w:rPr>
                <w:i/>
                <w:sz w:val="22"/>
                <w:szCs w:val="22"/>
              </w:rPr>
              <w:t>ir</w:t>
            </w:r>
            <w:r w:rsidRPr="002120E4">
              <w:rPr>
                <w:i/>
                <w:sz w:val="22"/>
                <w:szCs w:val="22"/>
              </w:rPr>
              <w:t xml:space="preserve"> Lietuvos Respublikos aplinkos ministro 2012 m. </w:t>
            </w:r>
            <w:r w:rsidRPr="002120E4">
              <w:rPr>
                <w:i/>
                <w:sz w:val="22"/>
                <w:szCs w:val="22"/>
              </w:rPr>
              <w:lastRenderedPageBreak/>
              <w:t>birželio 28 d. įsakym</w:t>
            </w:r>
            <w:r>
              <w:rPr>
                <w:i/>
                <w:sz w:val="22"/>
                <w:szCs w:val="22"/>
              </w:rPr>
              <w:t>o</w:t>
            </w:r>
            <w:r w:rsidRPr="002120E4">
              <w:rPr>
                <w:i/>
                <w:sz w:val="22"/>
                <w:szCs w:val="22"/>
              </w:rPr>
              <w:t xml:space="preserve"> Nr. D1-554 „Dėl Reikalavimų visuomenės švietimui ir informavimui atliekų, kurioms taikomas gamintojo atsakomybės principas, tvarkymo klausimais tvarkos aprašo patvirtinimo“</w:t>
            </w:r>
            <w:r>
              <w:rPr>
                <w:i/>
                <w:sz w:val="22"/>
                <w:szCs w:val="22"/>
              </w:rPr>
              <w:t xml:space="preserve"> pakeitimo projektu.</w:t>
            </w:r>
          </w:p>
        </w:tc>
        <w:tc>
          <w:tcPr>
            <w:tcW w:w="3174" w:type="dxa"/>
            <w:tcBorders>
              <w:top w:val="single" w:sz="4" w:space="0" w:color="auto"/>
              <w:left w:val="single" w:sz="4" w:space="0" w:color="auto"/>
              <w:bottom w:val="single" w:sz="4" w:space="0" w:color="auto"/>
              <w:right w:val="single" w:sz="4" w:space="0" w:color="auto"/>
            </w:tcBorders>
          </w:tcPr>
          <w:p w:rsidR="000F4C1E" w:rsidRPr="004C516C" w:rsidRDefault="0049200E" w:rsidP="000F4C1E">
            <w:pPr>
              <w:rPr>
                <w:sz w:val="22"/>
                <w:szCs w:val="22"/>
              </w:rPr>
            </w:pPr>
            <w:r w:rsidRPr="004C516C">
              <w:rPr>
                <w:sz w:val="22"/>
                <w:szCs w:val="22"/>
              </w:rPr>
              <w:lastRenderedPageBreak/>
              <w:t>Dalinis</w:t>
            </w:r>
          </w:p>
          <w:p w:rsidR="0049200E" w:rsidRPr="004C516C" w:rsidRDefault="0049200E" w:rsidP="00D860A8">
            <w:pPr>
              <w:jc w:val="both"/>
              <w:rPr>
                <w:sz w:val="22"/>
                <w:szCs w:val="22"/>
              </w:rPr>
            </w:pPr>
          </w:p>
        </w:tc>
      </w:tr>
      <w:tr w:rsidR="00AF7947" w:rsidRPr="004C516C" w:rsidTr="006310AB">
        <w:tc>
          <w:tcPr>
            <w:tcW w:w="5387" w:type="dxa"/>
            <w:tcBorders>
              <w:top w:val="single" w:sz="4" w:space="0" w:color="auto"/>
              <w:left w:val="single" w:sz="4" w:space="0" w:color="auto"/>
              <w:bottom w:val="single" w:sz="4" w:space="0" w:color="auto"/>
              <w:right w:val="single" w:sz="4" w:space="0" w:color="auto"/>
            </w:tcBorders>
          </w:tcPr>
          <w:p w:rsidR="00464401" w:rsidRDefault="00464401" w:rsidP="00464401">
            <w:pPr>
              <w:jc w:val="both"/>
              <w:rPr>
                <w:b/>
                <w:sz w:val="22"/>
                <w:szCs w:val="22"/>
              </w:rPr>
            </w:pPr>
            <w:r>
              <w:rPr>
                <w:b/>
                <w:sz w:val="22"/>
                <w:szCs w:val="22"/>
              </w:rPr>
              <w:lastRenderedPageBreak/>
              <w:t>1 straipsnio 9 dalis:</w:t>
            </w:r>
          </w:p>
          <w:p w:rsidR="00464401" w:rsidRPr="00464401" w:rsidRDefault="00464401" w:rsidP="00464401">
            <w:pPr>
              <w:jc w:val="both"/>
              <w:rPr>
                <w:sz w:val="22"/>
                <w:szCs w:val="22"/>
              </w:rPr>
            </w:pPr>
            <w:r w:rsidRPr="00464401">
              <w:rPr>
                <w:sz w:val="22"/>
                <w:szCs w:val="22"/>
              </w:rPr>
              <w:t>Įterpiamas šis straipsnis:</w:t>
            </w:r>
          </w:p>
          <w:p w:rsidR="00464401" w:rsidRPr="00464401" w:rsidRDefault="00464401" w:rsidP="00464401">
            <w:pPr>
              <w:jc w:val="both"/>
              <w:rPr>
                <w:sz w:val="22"/>
                <w:szCs w:val="22"/>
              </w:rPr>
            </w:pPr>
            <w:r w:rsidRPr="00464401">
              <w:rPr>
                <w:sz w:val="22"/>
                <w:szCs w:val="22"/>
              </w:rPr>
              <w:t>8a straipsnis</w:t>
            </w:r>
          </w:p>
          <w:p w:rsidR="00AF7947" w:rsidRPr="004C516C" w:rsidRDefault="00AF7947" w:rsidP="008F37CC">
            <w:pPr>
              <w:jc w:val="both"/>
              <w:rPr>
                <w:b/>
                <w:sz w:val="22"/>
                <w:szCs w:val="22"/>
              </w:rPr>
            </w:pPr>
            <w:r w:rsidRPr="004C516C">
              <w:rPr>
                <w:b/>
                <w:sz w:val="22"/>
                <w:szCs w:val="22"/>
              </w:rPr>
              <w:t>Bendrieji didesnės gamintojo atsakomybės sistemos būtiniausi reikalavimai</w:t>
            </w:r>
          </w:p>
          <w:p w:rsidR="00AF7947" w:rsidRPr="004C516C" w:rsidRDefault="001D3B78" w:rsidP="008F37CC">
            <w:pPr>
              <w:widowControl/>
              <w:suppressAutoHyphens w:val="0"/>
              <w:autoSpaceDE w:val="0"/>
              <w:autoSpaceDN w:val="0"/>
              <w:adjustRightInd w:val="0"/>
              <w:jc w:val="both"/>
              <w:rPr>
                <w:rFonts w:eastAsia="Times New Roman"/>
                <w:iCs/>
                <w:sz w:val="22"/>
                <w:szCs w:val="22"/>
              </w:rPr>
            </w:pPr>
            <w:r>
              <w:rPr>
                <w:rFonts w:eastAsia="Times New Roman"/>
                <w:iCs/>
                <w:sz w:val="22"/>
                <w:szCs w:val="22"/>
              </w:rPr>
              <w:t xml:space="preserve">8a straipsnio </w:t>
            </w:r>
            <w:r w:rsidR="00AF7947" w:rsidRPr="004C516C">
              <w:rPr>
                <w:rFonts w:eastAsia="Times New Roman"/>
                <w:iCs/>
                <w:sz w:val="22"/>
                <w:szCs w:val="22"/>
              </w:rPr>
              <w:t xml:space="preserve">3 </w:t>
            </w:r>
            <w:r>
              <w:rPr>
                <w:rFonts w:eastAsia="Times New Roman"/>
                <w:iCs/>
                <w:sz w:val="22"/>
                <w:szCs w:val="22"/>
              </w:rPr>
              <w:t>dalis</w:t>
            </w:r>
            <w:r w:rsidR="00AF7947" w:rsidRPr="004C516C">
              <w:rPr>
                <w:rFonts w:eastAsia="Times New Roman"/>
                <w:iCs/>
                <w:sz w:val="22"/>
                <w:szCs w:val="22"/>
              </w:rPr>
              <w:t>:</w:t>
            </w:r>
          </w:p>
          <w:p w:rsidR="00AF7947" w:rsidRPr="004C516C" w:rsidRDefault="00AF7947" w:rsidP="008F37CC">
            <w:pPr>
              <w:jc w:val="both"/>
              <w:rPr>
                <w:sz w:val="22"/>
                <w:szCs w:val="22"/>
              </w:rPr>
            </w:pPr>
            <w:r w:rsidRPr="004C516C">
              <w:rPr>
                <w:sz w:val="22"/>
                <w:szCs w:val="22"/>
              </w:rPr>
              <w:t>Valstybės narės imasi reikiamų priemonių siekdamos užtikrinti, kad visi produktų gamintojai arba organizacijos, produktų gamintojų vardu įgyvendinančios didesnės produktų gamintojų atsakomybės įpareigojimus:</w:t>
            </w:r>
          </w:p>
          <w:p w:rsidR="001D3B78" w:rsidRDefault="001D3B78" w:rsidP="00471643">
            <w:pPr>
              <w:jc w:val="both"/>
              <w:rPr>
                <w:sz w:val="22"/>
              </w:rPr>
            </w:pPr>
            <w:r w:rsidRPr="001D3B78">
              <w:rPr>
                <w:sz w:val="22"/>
              </w:rPr>
              <w:t xml:space="preserve">a) būtų aiškiai apsibrėžę geografinę, produktų ir medžiagų aprėptį ir neapsiribotų tik tomis vietomis, kur jiems pelningiausia rinkti ir tvarkyti atliekas; </w:t>
            </w:r>
          </w:p>
          <w:p w:rsidR="001D3B78" w:rsidRDefault="001D3B78" w:rsidP="00471643">
            <w:pPr>
              <w:jc w:val="both"/>
              <w:rPr>
                <w:sz w:val="22"/>
              </w:rPr>
            </w:pPr>
            <w:r w:rsidRPr="001D3B78">
              <w:rPr>
                <w:sz w:val="22"/>
              </w:rPr>
              <w:t>b) užtikrintų pakankamą atliekų surinkimo sistemų prieinamumą a punkte nurodytose vietose;</w:t>
            </w:r>
          </w:p>
          <w:p w:rsidR="001D3B78" w:rsidRPr="001D3B78" w:rsidRDefault="001D3B78" w:rsidP="00471643">
            <w:pPr>
              <w:jc w:val="both"/>
              <w:rPr>
                <w:sz w:val="20"/>
              </w:rPr>
            </w:pPr>
            <w:r w:rsidRPr="001D3B78">
              <w:rPr>
                <w:sz w:val="22"/>
              </w:rPr>
              <w:t>c) turėtų reikiamų finansinių priemonių arba finansinių ir organizacinių priemonių jiems taikomiems didesnės gamintojo atsakomybės įpareigojimams vykdyti;</w:t>
            </w:r>
          </w:p>
          <w:p w:rsidR="00471643" w:rsidRPr="00471643" w:rsidRDefault="00AF7947" w:rsidP="00471643">
            <w:pPr>
              <w:jc w:val="both"/>
              <w:rPr>
                <w:sz w:val="22"/>
                <w:szCs w:val="22"/>
              </w:rPr>
            </w:pPr>
            <w:r w:rsidRPr="004C516C">
              <w:rPr>
                <w:sz w:val="22"/>
                <w:szCs w:val="22"/>
              </w:rPr>
              <w:t xml:space="preserve">d) įdiegtų tinkamą savikontrolės mechanizmą </w:t>
            </w:r>
            <w:r w:rsidR="00471643">
              <w:rPr>
                <w:sz w:val="22"/>
                <w:szCs w:val="22"/>
              </w:rPr>
              <w:t>ir</w:t>
            </w:r>
            <w:r w:rsidR="00471643" w:rsidRPr="00471643">
              <w:rPr>
                <w:sz w:val="22"/>
                <w:szCs w:val="22"/>
              </w:rPr>
              <w:t xml:space="preserve">, kai taikytina, reguliariai atliktų nepriklausomą auditą, kurio metu būtų įvertinama: </w:t>
            </w:r>
          </w:p>
          <w:p w:rsidR="00471643" w:rsidRDefault="001D3B78" w:rsidP="00471643">
            <w:pPr>
              <w:jc w:val="both"/>
              <w:rPr>
                <w:sz w:val="22"/>
                <w:szCs w:val="22"/>
              </w:rPr>
            </w:pPr>
            <w:r>
              <w:rPr>
                <w:sz w:val="22"/>
                <w:szCs w:val="22"/>
              </w:rPr>
              <w:t xml:space="preserve">   </w:t>
            </w:r>
            <w:r w:rsidR="00471643" w:rsidRPr="00471643">
              <w:rPr>
                <w:sz w:val="22"/>
                <w:szCs w:val="22"/>
              </w:rPr>
              <w:t>i) organizacijos finansų valdymas, įskaitant atitiktį 4 dalies a ir b punktuose nustatytiems reikalavimams</w:t>
            </w:r>
            <w:r w:rsidR="00471643">
              <w:rPr>
                <w:sz w:val="22"/>
                <w:szCs w:val="22"/>
              </w:rPr>
              <w:t>;</w:t>
            </w:r>
          </w:p>
          <w:p w:rsidR="001D3B78" w:rsidRDefault="001D3B78" w:rsidP="00471643">
            <w:pPr>
              <w:jc w:val="both"/>
              <w:rPr>
                <w:sz w:val="22"/>
              </w:rPr>
            </w:pPr>
            <w:r>
              <w:rPr>
                <w:sz w:val="22"/>
              </w:rPr>
              <w:t xml:space="preserve">   </w:t>
            </w:r>
            <w:proofErr w:type="spellStart"/>
            <w:r w:rsidRPr="001D3B78">
              <w:rPr>
                <w:sz w:val="22"/>
              </w:rPr>
              <w:t>ii</w:t>
            </w:r>
            <w:proofErr w:type="spellEnd"/>
            <w:r w:rsidRPr="001D3B78">
              <w:rPr>
                <w:sz w:val="22"/>
              </w:rPr>
              <w:t xml:space="preserve">) pagal šio straipsnio 1 dalies c punktą ir Reglamento (EB) Nr. 1013/2006 reikalavimus surinktų ir ataskaitose pateikiamų duomenų kokybė; </w:t>
            </w:r>
          </w:p>
          <w:p w:rsidR="001D3B78" w:rsidRDefault="001D3B78" w:rsidP="00471643">
            <w:pPr>
              <w:jc w:val="both"/>
              <w:rPr>
                <w:sz w:val="22"/>
              </w:rPr>
            </w:pPr>
            <w:r w:rsidRPr="001D3B78">
              <w:rPr>
                <w:sz w:val="22"/>
              </w:rPr>
              <w:t xml:space="preserve">e) viešai skelbtų prieinamą informaciją apie 1 dalies b punkte nurodytų atliekų tvarkymo tikslų pasiekimą ir, kai didesnės gamintojo atsakomybės įpareigojimai vykdomi kolektyviai, taip pat informaciją apie: </w:t>
            </w:r>
          </w:p>
          <w:p w:rsidR="001D3B78" w:rsidRDefault="001D3B78" w:rsidP="00471643">
            <w:pPr>
              <w:jc w:val="both"/>
              <w:rPr>
                <w:sz w:val="22"/>
              </w:rPr>
            </w:pPr>
            <w:r>
              <w:rPr>
                <w:sz w:val="22"/>
              </w:rPr>
              <w:t xml:space="preserve">   </w:t>
            </w:r>
            <w:r w:rsidRPr="001D3B78">
              <w:rPr>
                <w:sz w:val="22"/>
              </w:rPr>
              <w:t xml:space="preserve">i) organizacijos savininkus ir narius; </w:t>
            </w:r>
          </w:p>
          <w:p w:rsidR="001D3B78" w:rsidRDefault="001D3B78" w:rsidP="00471643">
            <w:pPr>
              <w:jc w:val="both"/>
              <w:rPr>
                <w:sz w:val="22"/>
              </w:rPr>
            </w:pPr>
            <w:r>
              <w:rPr>
                <w:sz w:val="22"/>
              </w:rPr>
              <w:t xml:space="preserve">   </w:t>
            </w:r>
            <w:proofErr w:type="spellStart"/>
            <w:r w:rsidRPr="001D3B78">
              <w:rPr>
                <w:sz w:val="22"/>
              </w:rPr>
              <w:t>ii</w:t>
            </w:r>
            <w:proofErr w:type="spellEnd"/>
            <w:r w:rsidRPr="001D3B78">
              <w:rPr>
                <w:sz w:val="22"/>
              </w:rPr>
              <w:t xml:space="preserve">) produktų gamintojų mokamus finansinius įnašus už </w:t>
            </w:r>
            <w:r w:rsidRPr="001D3B78">
              <w:rPr>
                <w:sz w:val="22"/>
              </w:rPr>
              <w:lastRenderedPageBreak/>
              <w:t>parduotą vienetą arba už ri</w:t>
            </w:r>
            <w:r>
              <w:rPr>
                <w:sz w:val="22"/>
              </w:rPr>
              <w:t>nkai pateiktų produktų toną; ir</w:t>
            </w:r>
          </w:p>
          <w:p w:rsidR="00AF7947" w:rsidRPr="004C516C" w:rsidRDefault="001D3B78" w:rsidP="00471643">
            <w:pPr>
              <w:jc w:val="both"/>
              <w:rPr>
                <w:sz w:val="22"/>
                <w:szCs w:val="22"/>
              </w:rPr>
            </w:pPr>
            <w:r>
              <w:rPr>
                <w:sz w:val="22"/>
              </w:rPr>
              <w:t xml:space="preserve">   </w:t>
            </w:r>
            <w:proofErr w:type="spellStart"/>
            <w:r w:rsidRPr="001D3B78">
              <w:rPr>
                <w:sz w:val="22"/>
              </w:rPr>
              <w:t>iii</w:t>
            </w:r>
            <w:proofErr w:type="spellEnd"/>
            <w:r w:rsidRPr="001D3B78">
              <w:rPr>
                <w:sz w:val="22"/>
              </w:rPr>
              <w:t>) atliekų tvarkymo veiklos vykdytojų atrankos procedūrą.</w:t>
            </w:r>
          </w:p>
        </w:tc>
        <w:tc>
          <w:tcPr>
            <w:tcW w:w="6520" w:type="dxa"/>
            <w:tcBorders>
              <w:top w:val="single" w:sz="4" w:space="0" w:color="auto"/>
              <w:left w:val="single" w:sz="4" w:space="0" w:color="auto"/>
              <w:bottom w:val="single" w:sz="4" w:space="0" w:color="auto"/>
              <w:right w:val="single" w:sz="4" w:space="0" w:color="auto"/>
            </w:tcBorders>
          </w:tcPr>
          <w:p w:rsidR="00AF7947" w:rsidRPr="008B3F6C" w:rsidRDefault="00AF7947" w:rsidP="008F37CC">
            <w:pPr>
              <w:tabs>
                <w:tab w:val="left" w:pos="567"/>
              </w:tabs>
              <w:jc w:val="both"/>
              <w:rPr>
                <w:b/>
                <w:color w:val="000000"/>
                <w:sz w:val="22"/>
                <w:szCs w:val="22"/>
              </w:rPr>
            </w:pPr>
            <w:r w:rsidRPr="008B3F6C">
              <w:rPr>
                <w:b/>
                <w:color w:val="000000"/>
                <w:sz w:val="22"/>
                <w:szCs w:val="22"/>
              </w:rPr>
              <w:lastRenderedPageBreak/>
              <w:t>Įstatymo projektas</w:t>
            </w:r>
          </w:p>
          <w:p w:rsidR="00471643" w:rsidRPr="005D4252" w:rsidRDefault="008B3F6C" w:rsidP="00471643">
            <w:pPr>
              <w:tabs>
                <w:tab w:val="left" w:pos="540"/>
              </w:tabs>
              <w:jc w:val="both"/>
              <w:rPr>
                <w:b/>
                <w:sz w:val="22"/>
              </w:rPr>
            </w:pPr>
            <w:r>
              <w:rPr>
                <w:b/>
                <w:sz w:val="22"/>
              </w:rPr>
              <w:t>6</w:t>
            </w:r>
            <w:r w:rsidR="00471643" w:rsidRPr="005D4252">
              <w:rPr>
                <w:b/>
                <w:sz w:val="22"/>
              </w:rPr>
              <w:t xml:space="preserve"> straipsnis. 11</w:t>
            </w:r>
            <w:r w:rsidR="00471643" w:rsidRPr="005D4252">
              <w:rPr>
                <w:b/>
                <w:sz w:val="22"/>
                <w:vertAlign w:val="superscript"/>
              </w:rPr>
              <w:t>2</w:t>
            </w:r>
            <w:r w:rsidR="00471643" w:rsidRPr="005D4252">
              <w:rPr>
                <w:b/>
                <w:sz w:val="22"/>
              </w:rPr>
              <w:t xml:space="preserve"> straipsnio pakeitimas</w:t>
            </w:r>
          </w:p>
          <w:p w:rsidR="00471643" w:rsidRPr="005D4252" w:rsidRDefault="00471643" w:rsidP="00471643">
            <w:pPr>
              <w:tabs>
                <w:tab w:val="left" w:pos="540"/>
              </w:tabs>
              <w:jc w:val="both"/>
              <w:rPr>
                <w:sz w:val="22"/>
              </w:rPr>
            </w:pPr>
            <w:r w:rsidRPr="005D4252">
              <w:rPr>
                <w:sz w:val="22"/>
              </w:rPr>
              <w:t>Papildyti 11</w:t>
            </w:r>
            <w:r w:rsidRPr="005D4252">
              <w:rPr>
                <w:sz w:val="22"/>
                <w:vertAlign w:val="superscript"/>
              </w:rPr>
              <w:t>2</w:t>
            </w:r>
            <w:r w:rsidRPr="005D4252">
              <w:rPr>
                <w:sz w:val="22"/>
              </w:rPr>
              <w:t xml:space="preserve"> straipsnį 11 dalimi:</w:t>
            </w:r>
          </w:p>
          <w:p w:rsidR="00471643" w:rsidRDefault="00471643" w:rsidP="00471643">
            <w:pPr>
              <w:tabs>
                <w:tab w:val="left" w:pos="567"/>
              </w:tabs>
              <w:jc w:val="both"/>
              <w:rPr>
                <w:sz w:val="22"/>
                <w:lang w:eastAsia="en-GB"/>
              </w:rPr>
            </w:pPr>
            <w:r w:rsidRPr="005D4252">
              <w:rPr>
                <w:sz w:val="22"/>
              </w:rPr>
              <w:t xml:space="preserve">„11. </w:t>
            </w:r>
            <w:r w:rsidR="008B3F6C" w:rsidRPr="008B3F6C">
              <w:rPr>
                <w:sz w:val="22"/>
              </w:rPr>
              <w:t xml:space="preserve">Užstato už vienkartines pakuotes sistemos administratorius privalo savo interneto svetainėje kiekvienais metais skelbti </w:t>
            </w:r>
            <w:r w:rsidR="008B3F6C" w:rsidRPr="008B3F6C">
              <w:rPr>
                <w:color w:val="000000"/>
                <w:sz w:val="22"/>
              </w:rPr>
              <w:t xml:space="preserve">auditoriaus faktinių pastebėjimų ataskaitą dėl </w:t>
            </w:r>
            <w:r w:rsidR="008B3F6C" w:rsidRPr="008B3F6C">
              <w:rPr>
                <w:sz w:val="22"/>
              </w:rPr>
              <w:t>užstato už vienkartines pakuotes sistemos administratoriaus</w:t>
            </w:r>
            <w:r w:rsidR="008B3F6C" w:rsidRPr="008B3F6C">
              <w:rPr>
                <w:color w:val="000000"/>
                <w:sz w:val="22"/>
              </w:rPr>
              <w:t xml:space="preserve"> veiklos atitikties </w:t>
            </w:r>
            <w:r w:rsidR="008B3F6C" w:rsidRPr="008B3F6C">
              <w:rPr>
                <w:sz w:val="22"/>
              </w:rPr>
              <w:t xml:space="preserve">užstato už vienkartines pakuotes sistemos </w:t>
            </w:r>
            <w:r w:rsidR="008B3F6C" w:rsidRPr="008B3F6C">
              <w:rPr>
                <w:color w:val="000000"/>
                <w:sz w:val="22"/>
              </w:rPr>
              <w:t xml:space="preserve">organizavimo plane numatytoms priemonėms, </w:t>
            </w:r>
            <w:r w:rsidR="008B3F6C" w:rsidRPr="008B3F6C">
              <w:rPr>
                <w:sz w:val="22"/>
              </w:rPr>
              <w:t xml:space="preserve">užstato už vienkartines pakuotes sistemos </w:t>
            </w:r>
            <w:r w:rsidR="008B3F6C" w:rsidRPr="008B3F6C">
              <w:rPr>
                <w:color w:val="000000"/>
                <w:sz w:val="22"/>
              </w:rPr>
              <w:t xml:space="preserve">finansavimo schemai, visuomenės švietimo ir informavimo </w:t>
            </w:r>
            <w:r w:rsidR="008B3F6C" w:rsidRPr="008B3F6C">
              <w:rPr>
                <w:sz w:val="22"/>
              </w:rPr>
              <w:t>užstato už vienkartines pakuotes sistemos</w:t>
            </w:r>
            <w:r w:rsidR="008B3F6C" w:rsidRPr="008B3F6C">
              <w:rPr>
                <w:color w:val="000000"/>
                <w:sz w:val="22"/>
              </w:rPr>
              <w:t xml:space="preserve"> klausimais programai, kurią auditorius parengė pagal institucijos, kurią aplinkos ministras įgaliotojo vykdyti užstato už vienkartines pakuotes sistemos administratoriaus veiklos priežiūrą, patvirtintą ir su Lietuvos auditorių rūmais suderintą techninę užduotį, ir </w:t>
            </w:r>
            <w:r w:rsidR="008B3F6C" w:rsidRPr="008B3F6C">
              <w:rPr>
                <w:sz w:val="22"/>
              </w:rPr>
              <w:t xml:space="preserve">auditoriaus išvadą apie </w:t>
            </w:r>
            <w:r w:rsidR="008B3F6C" w:rsidRPr="008B3F6C">
              <w:rPr>
                <w:color w:val="000000"/>
                <w:sz w:val="22"/>
              </w:rPr>
              <w:t>šio administratoriaus</w:t>
            </w:r>
            <w:r w:rsidR="008B3F6C" w:rsidRPr="008B3F6C">
              <w:rPr>
                <w:sz w:val="22"/>
              </w:rPr>
              <w:t xml:space="preserve"> metinę finansinę ataskaitą. Šie auditoriaus dokumentai </w:t>
            </w:r>
            <w:r w:rsidR="008B3F6C" w:rsidRPr="008B3F6C">
              <w:rPr>
                <w:sz w:val="22"/>
                <w:lang w:eastAsia="en-GB"/>
              </w:rPr>
              <w:t xml:space="preserve">turi būti nuolat viešai prieinami </w:t>
            </w:r>
            <w:r w:rsidR="008B3F6C" w:rsidRPr="008B3F6C">
              <w:rPr>
                <w:sz w:val="22"/>
              </w:rPr>
              <w:t>užstato už vienkartines pakuotes sistemos administratorius</w:t>
            </w:r>
            <w:r w:rsidR="008B3F6C" w:rsidRPr="008B3F6C">
              <w:rPr>
                <w:sz w:val="22"/>
                <w:lang w:eastAsia="en-GB"/>
              </w:rPr>
              <w:t xml:space="preserve"> interneto svetainėje</w:t>
            </w:r>
            <w:r w:rsidRPr="005D4252">
              <w:rPr>
                <w:sz w:val="22"/>
                <w:lang w:eastAsia="en-GB"/>
              </w:rPr>
              <w:t>.</w:t>
            </w:r>
            <w:r w:rsidR="008B3F6C">
              <w:rPr>
                <w:sz w:val="22"/>
                <w:lang w:eastAsia="en-GB"/>
              </w:rPr>
              <w:t>“</w:t>
            </w:r>
          </w:p>
          <w:p w:rsidR="00AF7947" w:rsidRDefault="00AF7947" w:rsidP="00352BA0">
            <w:pPr>
              <w:jc w:val="both"/>
              <w:rPr>
                <w:sz w:val="22"/>
              </w:rPr>
            </w:pPr>
          </w:p>
          <w:p w:rsidR="001D3B78" w:rsidRPr="00352BA0" w:rsidRDefault="001D3B78" w:rsidP="00C93E1C">
            <w:pPr>
              <w:jc w:val="both"/>
              <w:rPr>
                <w:sz w:val="22"/>
              </w:rPr>
            </w:pPr>
            <w:r>
              <w:rPr>
                <w:rFonts w:eastAsia="Calibri"/>
                <w:i/>
                <w:sz w:val="22"/>
                <w:lang w:eastAsia="en-US"/>
              </w:rPr>
              <w:t xml:space="preserve">Pastaba: </w:t>
            </w:r>
            <w:r w:rsidRPr="00CA2409">
              <w:rPr>
                <w:rFonts w:eastAsia="Calibri"/>
                <w:i/>
                <w:sz w:val="22"/>
                <w:lang w:eastAsia="en-US"/>
              </w:rPr>
              <w:t>reikalavimai, susiję su g</w:t>
            </w:r>
            <w:r w:rsidRPr="00CA2409">
              <w:rPr>
                <w:rFonts w:eastAsia="Calibri"/>
                <w:i/>
                <w:sz w:val="22"/>
                <w:szCs w:val="22"/>
                <w:lang w:eastAsia="en-US"/>
              </w:rPr>
              <w:t>amintojo atsakomybės principo įgyvendinimu, nustatyti</w:t>
            </w:r>
            <w:r w:rsidRPr="00CA2409">
              <w:rPr>
                <w:rFonts w:eastAsia="Calibri"/>
                <w:i/>
                <w:sz w:val="22"/>
                <w:lang w:eastAsia="en-US"/>
              </w:rPr>
              <w:t xml:space="preserve"> A</w:t>
            </w:r>
            <w:r w:rsidR="00C93E1C">
              <w:rPr>
                <w:rFonts w:eastAsia="Calibri"/>
                <w:i/>
                <w:sz w:val="22"/>
                <w:lang w:eastAsia="en-US"/>
              </w:rPr>
              <w:t>tliekų tvarkymo įstatymo</w:t>
            </w:r>
            <w:r w:rsidRPr="00CA2409">
              <w:rPr>
                <w:rFonts w:eastAsia="Calibri"/>
                <w:i/>
                <w:sz w:val="22"/>
                <w:lang w:eastAsia="en-US"/>
              </w:rPr>
              <w:t xml:space="preserve"> </w:t>
            </w:r>
            <w:r w:rsidRPr="00CA2409">
              <w:rPr>
                <w:i/>
                <w:sz w:val="22"/>
              </w:rPr>
              <w:t>34</w:t>
            </w:r>
            <w:r w:rsidRPr="00CA2409">
              <w:rPr>
                <w:i/>
                <w:sz w:val="22"/>
                <w:vertAlign w:val="superscript"/>
              </w:rPr>
              <w:t>1</w:t>
            </w:r>
            <w:r w:rsidRPr="00CA2409">
              <w:rPr>
                <w:i/>
                <w:sz w:val="22"/>
              </w:rPr>
              <w:t>-34</w:t>
            </w:r>
            <w:r w:rsidRPr="00CA2409">
              <w:rPr>
                <w:i/>
                <w:sz w:val="22"/>
                <w:vertAlign w:val="superscript"/>
              </w:rPr>
              <w:t xml:space="preserve">29 </w:t>
            </w:r>
            <w:r w:rsidRPr="00CA2409">
              <w:rPr>
                <w:i/>
                <w:sz w:val="22"/>
              </w:rPr>
              <w:t>s</w:t>
            </w:r>
            <w:r>
              <w:rPr>
                <w:i/>
                <w:sz w:val="22"/>
              </w:rPr>
              <w:t>traipsn</w:t>
            </w:r>
            <w:r w:rsidRPr="00CA2409">
              <w:rPr>
                <w:i/>
                <w:sz w:val="22"/>
              </w:rPr>
              <w:t>iuose ir P</w:t>
            </w:r>
            <w:r w:rsidR="00C93E1C">
              <w:rPr>
                <w:i/>
                <w:sz w:val="22"/>
              </w:rPr>
              <w:t>akuočių ir pakuočių atliekų tvarkymo įstatymo</w:t>
            </w:r>
            <w:r w:rsidRPr="00CA2409">
              <w:rPr>
                <w:i/>
                <w:sz w:val="22"/>
              </w:rPr>
              <w:t xml:space="preserve"> 7 ir 10 straipsniuose, reglamentuojančiuose gamintojams ir importuotojams tenkančias pareigas, atsakomybes ir t. t.</w:t>
            </w:r>
          </w:p>
        </w:tc>
        <w:tc>
          <w:tcPr>
            <w:tcW w:w="3174" w:type="dxa"/>
            <w:tcBorders>
              <w:top w:val="single" w:sz="4" w:space="0" w:color="auto"/>
              <w:left w:val="single" w:sz="4" w:space="0" w:color="auto"/>
              <w:bottom w:val="single" w:sz="4" w:space="0" w:color="auto"/>
              <w:right w:val="single" w:sz="4" w:space="0" w:color="auto"/>
            </w:tcBorders>
          </w:tcPr>
          <w:p w:rsidR="00AF7947" w:rsidRPr="004C516C" w:rsidRDefault="008B3F6C" w:rsidP="008F37CC">
            <w:pPr>
              <w:jc w:val="both"/>
              <w:rPr>
                <w:sz w:val="22"/>
                <w:szCs w:val="22"/>
              </w:rPr>
            </w:pPr>
            <w:r>
              <w:rPr>
                <w:sz w:val="22"/>
                <w:szCs w:val="22"/>
              </w:rPr>
              <w:t>Visiškas</w:t>
            </w:r>
          </w:p>
        </w:tc>
      </w:tr>
      <w:tr w:rsidR="000869D4" w:rsidRPr="004C516C" w:rsidTr="006310AB">
        <w:tc>
          <w:tcPr>
            <w:tcW w:w="5387" w:type="dxa"/>
            <w:tcBorders>
              <w:top w:val="single" w:sz="4" w:space="0" w:color="auto"/>
              <w:left w:val="single" w:sz="4" w:space="0" w:color="auto"/>
              <w:bottom w:val="single" w:sz="4" w:space="0" w:color="auto"/>
              <w:right w:val="single" w:sz="4" w:space="0" w:color="auto"/>
            </w:tcBorders>
          </w:tcPr>
          <w:p w:rsidR="00464401" w:rsidRDefault="00464401" w:rsidP="00464401">
            <w:pPr>
              <w:jc w:val="both"/>
              <w:rPr>
                <w:b/>
                <w:sz w:val="22"/>
                <w:szCs w:val="22"/>
              </w:rPr>
            </w:pPr>
            <w:r>
              <w:rPr>
                <w:b/>
                <w:sz w:val="22"/>
                <w:szCs w:val="22"/>
              </w:rPr>
              <w:lastRenderedPageBreak/>
              <w:t>1 straipsnio 9 dalis:</w:t>
            </w:r>
          </w:p>
          <w:p w:rsidR="00464401" w:rsidRPr="00464401" w:rsidRDefault="00464401" w:rsidP="00464401">
            <w:pPr>
              <w:jc w:val="both"/>
              <w:rPr>
                <w:sz w:val="22"/>
                <w:szCs w:val="22"/>
              </w:rPr>
            </w:pPr>
            <w:r w:rsidRPr="00464401">
              <w:rPr>
                <w:sz w:val="22"/>
                <w:szCs w:val="22"/>
              </w:rPr>
              <w:t>Įterpiamas šis straipsnis:</w:t>
            </w:r>
          </w:p>
          <w:p w:rsidR="00464401" w:rsidRPr="00464401" w:rsidRDefault="00464401" w:rsidP="00464401">
            <w:pPr>
              <w:jc w:val="both"/>
              <w:rPr>
                <w:sz w:val="22"/>
                <w:szCs w:val="22"/>
              </w:rPr>
            </w:pPr>
            <w:r w:rsidRPr="00464401">
              <w:rPr>
                <w:sz w:val="22"/>
                <w:szCs w:val="22"/>
              </w:rPr>
              <w:t>8a straipsnis</w:t>
            </w:r>
          </w:p>
          <w:p w:rsidR="000869D4" w:rsidRPr="004C516C" w:rsidRDefault="000869D4" w:rsidP="000869D4">
            <w:pPr>
              <w:jc w:val="both"/>
              <w:rPr>
                <w:b/>
                <w:sz w:val="22"/>
                <w:szCs w:val="22"/>
              </w:rPr>
            </w:pPr>
            <w:r w:rsidRPr="004C516C">
              <w:rPr>
                <w:b/>
                <w:sz w:val="22"/>
                <w:szCs w:val="22"/>
              </w:rPr>
              <w:t>Bendrieji didesnės gamintojo atsakomybės sistemos būtiniausi reikalavimai</w:t>
            </w:r>
          </w:p>
          <w:p w:rsidR="000869D4" w:rsidRPr="004C516C" w:rsidRDefault="008B3F6C" w:rsidP="000869D4">
            <w:pPr>
              <w:widowControl/>
              <w:suppressAutoHyphens w:val="0"/>
              <w:autoSpaceDE w:val="0"/>
              <w:autoSpaceDN w:val="0"/>
              <w:adjustRightInd w:val="0"/>
              <w:jc w:val="both"/>
              <w:rPr>
                <w:rFonts w:eastAsia="Times New Roman"/>
                <w:iCs/>
                <w:sz w:val="22"/>
                <w:szCs w:val="22"/>
              </w:rPr>
            </w:pPr>
            <w:r>
              <w:rPr>
                <w:rFonts w:eastAsia="Times New Roman"/>
                <w:iCs/>
                <w:sz w:val="22"/>
                <w:szCs w:val="22"/>
              </w:rPr>
              <w:t xml:space="preserve">8a straipsnio </w:t>
            </w:r>
            <w:r w:rsidR="00F43408" w:rsidRPr="004C516C">
              <w:rPr>
                <w:rFonts w:eastAsia="Times New Roman"/>
                <w:iCs/>
                <w:sz w:val="22"/>
                <w:szCs w:val="22"/>
              </w:rPr>
              <w:t>4 dalis</w:t>
            </w:r>
            <w:r w:rsidR="008325A2">
              <w:rPr>
                <w:rFonts w:eastAsia="Times New Roman"/>
                <w:iCs/>
                <w:sz w:val="22"/>
                <w:szCs w:val="22"/>
              </w:rPr>
              <w:t xml:space="preserve"> a punktas</w:t>
            </w:r>
            <w:r w:rsidR="00F43408" w:rsidRPr="004C516C">
              <w:rPr>
                <w:rFonts w:eastAsia="Times New Roman"/>
                <w:iCs/>
                <w:sz w:val="22"/>
                <w:szCs w:val="22"/>
              </w:rPr>
              <w:t>:</w:t>
            </w:r>
          </w:p>
          <w:p w:rsidR="000869D4" w:rsidRPr="004C516C" w:rsidRDefault="00F43408" w:rsidP="000869D4">
            <w:pPr>
              <w:jc w:val="both"/>
              <w:rPr>
                <w:sz w:val="22"/>
                <w:szCs w:val="22"/>
              </w:rPr>
            </w:pPr>
            <w:r w:rsidRPr="004C516C">
              <w:rPr>
                <w:sz w:val="22"/>
                <w:szCs w:val="22"/>
              </w:rPr>
              <w:t>4.</w:t>
            </w:r>
            <w:r w:rsidR="00AF7947" w:rsidRPr="004C516C">
              <w:rPr>
                <w:sz w:val="22"/>
                <w:szCs w:val="22"/>
              </w:rPr>
              <w:t xml:space="preserve"> </w:t>
            </w:r>
            <w:r w:rsidR="000869D4" w:rsidRPr="004C516C">
              <w:rPr>
                <w:sz w:val="22"/>
                <w:szCs w:val="22"/>
              </w:rPr>
              <w:t>Valstybės narės imasi reikiamų priemonių siekdamos užtikrinti, kad finansiniai įnašai, produktų gamintojų mokami siekiant vykdyti didesnės gamintojo atsakomybės įpareigojimus:</w:t>
            </w:r>
          </w:p>
          <w:p w:rsidR="000869D4" w:rsidRPr="004C516C" w:rsidRDefault="000869D4" w:rsidP="000869D4">
            <w:pPr>
              <w:jc w:val="both"/>
              <w:rPr>
                <w:sz w:val="22"/>
                <w:szCs w:val="22"/>
              </w:rPr>
            </w:pPr>
            <w:r w:rsidRPr="004C516C">
              <w:rPr>
                <w:sz w:val="22"/>
                <w:szCs w:val="22"/>
              </w:rPr>
              <w:t>a) padengtų šias su gamintojo atitinkamos valstybės narės rinkai pateikiamais produktais susijusias išlaidas:</w:t>
            </w:r>
          </w:p>
          <w:p w:rsidR="000869D4" w:rsidRPr="004C516C" w:rsidRDefault="000869D4" w:rsidP="000869D4">
            <w:pPr>
              <w:jc w:val="both"/>
              <w:rPr>
                <w:sz w:val="22"/>
                <w:szCs w:val="22"/>
              </w:rPr>
            </w:pPr>
            <w:r w:rsidRPr="004C516C">
              <w:rPr>
                <w:sz w:val="22"/>
                <w:szCs w:val="22"/>
              </w:rPr>
              <w:t>— atskiro atliekų surinkimo, jų gabenimo ir apdorojimo, įskaitant apdorojimą, būtiną Sąjungos atliekų tvarkymo tikslams pasiekti, išlaidas, taip pat išlaidas, reikalingas kitiems 1 dalies b punkte nurodytiems kiekybiniams ir kokybiniams tikslams pasiekti, atsižvelgiant į pajamas, gaunamas pakartotinai panaudojus produktus, pardavus iš produktų gautas antrines žaliavas ir pirkėjui nepareikalavus grąžinti užstato,</w:t>
            </w:r>
          </w:p>
          <w:p w:rsidR="000869D4" w:rsidRPr="004C516C" w:rsidRDefault="000869D4" w:rsidP="000869D4">
            <w:pPr>
              <w:jc w:val="both"/>
              <w:rPr>
                <w:sz w:val="22"/>
                <w:szCs w:val="22"/>
              </w:rPr>
            </w:pPr>
            <w:r w:rsidRPr="004C516C">
              <w:rPr>
                <w:sz w:val="22"/>
                <w:szCs w:val="22"/>
              </w:rPr>
              <w:t>— tinkamos informacijos atliekų turėtojams teikimo pagal 2 dalį išlaidas,</w:t>
            </w:r>
          </w:p>
          <w:p w:rsidR="000869D4" w:rsidRPr="004C516C" w:rsidRDefault="000869D4" w:rsidP="000869D4">
            <w:pPr>
              <w:jc w:val="both"/>
              <w:rPr>
                <w:sz w:val="22"/>
                <w:szCs w:val="22"/>
              </w:rPr>
            </w:pPr>
            <w:r w:rsidRPr="004C516C">
              <w:rPr>
                <w:sz w:val="22"/>
                <w:szCs w:val="22"/>
              </w:rPr>
              <w:t>— duomenų rinkimo ir ataskaitų teikimo pagal 1 dalies c punktą išlaidas.</w:t>
            </w:r>
          </w:p>
          <w:p w:rsidR="000869D4" w:rsidRPr="004C516C" w:rsidRDefault="000869D4" w:rsidP="000869D4">
            <w:pPr>
              <w:jc w:val="both"/>
              <w:rPr>
                <w:b/>
                <w:sz w:val="22"/>
                <w:szCs w:val="22"/>
              </w:rPr>
            </w:pPr>
            <w:r w:rsidRPr="004C516C">
              <w:rPr>
                <w:sz w:val="22"/>
                <w:szCs w:val="22"/>
              </w:rPr>
              <w:t>Šis punktas netaikomas didesnės gamintojo atsakomybės sistemoms, nustatytoms pagal Direktyvą 2000/53/EB, 2006/66/EB arba 2012/19/ES;</w:t>
            </w:r>
          </w:p>
        </w:tc>
        <w:tc>
          <w:tcPr>
            <w:tcW w:w="6520" w:type="dxa"/>
            <w:tcBorders>
              <w:top w:val="single" w:sz="4" w:space="0" w:color="auto"/>
              <w:left w:val="single" w:sz="4" w:space="0" w:color="auto"/>
              <w:bottom w:val="single" w:sz="4" w:space="0" w:color="auto"/>
              <w:right w:val="single" w:sz="4" w:space="0" w:color="auto"/>
            </w:tcBorders>
          </w:tcPr>
          <w:p w:rsidR="00E86886" w:rsidRPr="00612973" w:rsidRDefault="00E86886" w:rsidP="000869D4">
            <w:pPr>
              <w:widowControl/>
              <w:suppressAutoHyphens w:val="0"/>
              <w:spacing w:line="276" w:lineRule="auto"/>
              <w:jc w:val="both"/>
              <w:rPr>
                <w:rFonts w:eastAsia="Calibri"/>
                <w:b/>
                <w:sz w:val="22"/>
                <w:szCs w:val="22"/>
                <w:lang w:eastAsia="en-US"/>
              </w:rPr>
            </w:pPr>
            <w:r w:rsidRPr="00612973">
              <w:rPr>
                <w:rFonts w:eastAsia="Calibri"/>
                <w:b/>
                <w:sz w:val="22"/>
                <w:szCs w:val="22"/>
                <w:lang w:eastAsia="en-US"/>
              </w:rPr>
              <w:t xml:space="preserve">Įstatymo </w:t>
            </w:r>
            <w:proofErr w:type="spellStart"/>
            <w:r w:rsidRPr="00612973">
              <w:rPr>
                <w:rFonts w:eastAsia="Calibri"/>
                <w:b/>
                <w:sz w:val="22"/>
                <w:szCs w:val="22"/>
                <w:lang w:eastAsia="en-US"/>
              </w:rPr>
              <w:t>prokektas</w:t>
            </w:r>
            <w:proofErr w:type="spellEnd"/>
          </w:p>
          <w:p w:rsidR="006C5159" w:rsidRPr="004C516C" w:rsidRDefault="00612973" w:rsidP="006C5159">
            <w:pPr>
              <w:jc w:val="both"/>
              <w:rPr>
                <w:b/>
                <w:sz w:val="22"/>
                <w:szCs w:val="22"/>
              </w:rPr>
            </w:pPr>
            <w:r>
              <w:rPr>
                <w:b/>
                <w:sz w:val="22"/>
                <w:szCs w:val="22"/>
              </w:rPr>
              <w:t>4</w:t>
            </w:r>
            <w:r w:rsidR="006C5159" w:rsidRPr="004C516C">
              <w:rPr>
                <w:b/>
                <w:sz w:val="22"/>
                <w:szCs w:val="22"/>
              </w:rPr>
              <w:t xml:space="preserve"> straipsnis. 7 straipsnio pakeitimas</w:t>
            </w:r>
          </w:p>
          <w:p w:rsidR="00B1578F" w:rsidRPr="004C516C" w:rsidRDefault="00B1578F" w:rsidP="006C5159">
            <w:pPr>
              <w:jc w:val="both"/>
              <w:rPr>
                <w:sz w:val="22"/>
                <w:szCs w:val="22"/>
              </w:rPr>
            </w:pPr>
            <w:r w:rsidRPr="004C516C">
              <w:rPr>
                <w:sz w:val="22"/>
                <w:szCs w:val="22"/>
              </w:rPr>
              <w:t>&lt;...&gt;</w:t>
            </w:r>
          </w:p>
          <w:p w:rsidR="006C5159" w:rsidRPr="004C516C" w:rsidRDefault="006C5159" w:rsidP="006C5159">
            <w:pPr>
              <w:jc w:val="both"/>
              <w:rPr>
                <w:rFonts w:eastAsia="TimesNewRomanPSMT"/>
                <w:bCs/>
                <w:kern w:val="2"/>
                <w:sz w:val="22"/>
                <w:szCs w:val="22"/>
              </w:rPr>
            </w:pPr>
            <w:r w:rsidRPr="004C516C">
              <w:rPr>
                <w:sz w:val="22"/>
                <w:szCs w:val="22"/>
              </w:rPr>
              <w:t xml:space="preserve">3. </w:t>
            </w:r>
            <w:r w:rsidRPr="004C516C">
              <w:rPr>
                <w:rFonts w:eastAsia="TimesNewRomanPSMT"/>
                <w:bCs/>
                <w:kern w:val="2"/>
                <w:sz w:val="22"/>
                <w:szCs w:val="22"/>
              </w:rPr>
              <w:t>Pakeisti 7 straipsnio 1 dalies 4 punktą ir jį išdėstyti taip:</w:t>
            </w:r>
          </w:p>
          <w:p w:rsidR="006C5159" w:rsidRPr="004C516C" w:rsidRDefault="006C5159" w:rsidP="006C5159">
            <w:pPr>
              <w:jc w:val="both"/>
              <w:rPr>
                <w:sz w:val="22"/>
                <w:szCs w:val="22"/>
              </w:rPr>
            </w:pPr>
            <w:r w:rsidRPr="004C516C">
              <w:rPr>
                <w:sz w:val="22"/>
                <w:szCs w:val="22"/>
              </w:rPr>
              <w:t xml:space="preserve">„4) </w:t>
            </w:r>
            <w:r w:rsidR="00612973" w:rsidRPr="00612973">
              <w:rPr>
                <w:sz w:val="22"/>
                <w:szCs w:val="22"/>
              </w:rPr>
              <w:t>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w:t>
            </w:r>
            <w:r w:rsidR="00612973" w:rsidRPr="00612973">
              <w:rPr>
                <w:b/>
                <w:sz w:val="22"/>
                <w:szCs w:val="22"/>
              </w:rPr>
              <w:t xml:space="preserve"> </w:t>
            </w:r>
            <w:r w:rsidR="00612973" w:rsidRPr="00612973">
              <w:rPr>
                <w:sz w:val="22"/>
                <w:szCs w:val="22"/>
              </w:rPr>
              <w:t>informavimo organizavimo ir vykdymo išlaidas;</w:t>
            </w:r>
            <w:r w:rsidRPr="004C516C">
              <w:rPr>
                <w:sz w:val="22"/>
                <w:szCs w:val="22"/>
              </w:rPr>
              <w:t>“</w:t>
            </w:r>
          </w:p>
          <w:p w:rsidR="000869D4" w:rsidRDefault="001B7081" w:rsidP="006530AA">
            <w:pPr>
              <w:widowControl/>
              <w:suppressAutoHyphens w:val="0"/>
              <w:spacing w:line="276" w:lineRule="auto"/>
              <w:jc w:val="both"/>
              <w:rPr>
                <w:rFonts w:eastAsia="Calibri"/>
                <w:b/>
                <w:bCs/>
                <w:sz w:val="22"/>
                <w:szCs w:val="22"/>
                <w:lang w:eastAsia="en-US"/>
              </w:rPr>
            </w:pPr>
            <w:r w:rsidRPr="004C516C">
              <w:rPr>
                <w:rFonts w:eastAsia="Calibri"/>
                <w:b/>
                <w:bCs/>
                <w:sz w:val="22"/>
                <w:szCs w:val="22"/>
                <w:lang w:eastAsia="en-US"/>
              </w:rPr>
              <w:t>&lt;</w:t>
            </w:r>
            <w:r w:rsidRPr="00D860A8">
              <w:rPr>
                <w:rFonts w:eastAsia="Calibri"/>
                <w:bCs/>
                <w:sz w:val="22"/>
                <w:szCs w:val="22"/>
                <w:lang w:eastAsia="en-US"/>
              </w:rPr>
              <w:t>...</w:t>
            </w:r>
            <w:r w:rsidRPr="004C516C">
              <w:rPr>
                <w:rFonts w:eastAsia="Calibri"/>
                <w:b/>
                <w:bCs/>
                <w:sz w:val="22"/>
                <w:szCs w:val="22"/>
                <w:lang w:eastAsia="en-US"/>
              </w:rPr>
              <w:t>&gt;</w:t>
            </w:r>
          </w:p>
          <w:p w:rsidR="008B3F6C" w:rsidRPr="004C516C" w:rsidRDefault="008B3F6C" w:rsidP="00612973">
            <w:pPr>
              <w:widowControl/>
              <w:suppressAutoHyphens w:val="0"/>
              <w:jc w:val="both"/>
              <w:rPr>
                <w:rFonts w:eastAsia="Calibri"/>
                <w:b/>
                <w:bCs/>
                <w:sz w:val="22"/>
                <w:szCs w:val="22"/>
                <w:lang w:eastAsia="en-US"/>
              </w:rPr>
            </w:pPr>
            <w:r>
              <w:rPr>
                <w:rFonts w:eastAsia="Calibri"/>
                <w:i/>
                <w:sz w:val="22"/>
                <w:lang w:eastAsia="en-US"/>
              </w:rPr>
              <w:t xml:space="preserve">Pastaba: </w:t>
            </w:r>
            <w:r w:rsidRPr="00CA2409">
              <w:rPr>
                <w:rFonts w:eastAsia="Calibri"/>
                <w:i/>
                <w:sz w:val="22"/>
                <w:lang w:eastAsia="en-US"/>
              </w:rPr>
              <w:t>reikalavimai, susiję su g</w:t>
            </w:r>
            <w:r w:rsidRPr="00CA2409">
              <w:rPr>
                <w:rFonts w:eastAsia="Calibri"/>
                <w:i/>
                <w:sz w:val="22"/>
                <w:szCs w:val="22"/>
                <w:lang w:eastAsia="en-US"/>
              </w:rPr>
              <w:t>amintojo atsakomybės principo įgyvendinimu, nustatyti</w:t>
            </w:r>
            <w:r w:rsidRPr="00CA2409">
              <w:rPr>
                <w:rFonts w:eastAsia="Calibri"/>
                <w:i/>
                <w:sz w:val="22"/>
                <w:lang w:eastAsia="en-US"/>
              </w:rPr>
              <w:t xml:space="preserve"> A</w:t>
            </w:r>
            <w:r>
              <w:rPr>
                <w:rFonts w:eastAsia="Calibri"/>
                <w:i/>
                <w:sz w:val="22"/>
                <w:lang w:eastAsia="en-US"/>
              </w:rPr>
              <w:t>tliekų tvarkymo įstatymo</w:t>
            </w:r>
            <w:r w:rsidRPr="00CA2409">
              <w:rPr>
                <w:rFonts w:eastAsia="Calibri"/>
                <w:i/>
                <w:sz w:val="22"/>
                <w:lang w:eastAsia="en-US"/>
              </w:rPr>
              <w:t xml:space="preserve"> </w:t>
            </w:r>
            <w:r w:rsidRPr="00CA2409">
              <w:rPr>
                <w:i/>
                <w:sz w:val="22"/>
              </w:rPr>
              <w:t>34</w:t>
            </w:r>
            <w:r w:rsidRPr="00CA2409">
              <w:rPr>
                <w:i/>
                <w:sz w:val="22"/>
                <w:vertAlign w:val="superscript"/>
              </w:rPr>
              <w:t>1</w:t>
            </w:r>
            <w:r w:rsidRPr="00CA2409">
              <w:rPr>
                <w:i/>
                <w:sz w:val="22"/>
              </w:rPr>
              <w:t>-34</w:t>
            </w:r>
            <w:r w:rsidRPr="00CA2409">
              <w:rPr>
                <w:i/>
                <w:sz w:val="22"/>
                <w:vertAlign w:val="superscript"/>
              </w:rPr>
              <w:t xml:space="preserve">29 </w:t>
            </w:r>
            <w:r w:rsidRPr="00CA2409">
              <w:rPr>
                <w:i/>
                <w:sz w:val="22"/>
              </w:rPr>
              <w:t>s</w:t>
            </w:r>
            <w:r>
              <w:rPr>
                <w:i/>
                <w:sz w:val="22"/>
              </w:rPr>
              <w:t>traipsn</w:t>
            </w:r>
            <w:r w:rsidRPr="00CA2409">
              <w:rPr>
                <w:i/>
                <w:sz w:val="22"/>
              </w:rPr>
              <w:t>iuose ir P</w:t>
            </w:r>
            <w:r>
              <w:rPr>
                <w:i/>
                <w:sz w:val="22"/>
              </w:rPr>
              <w:t>akuočių ir pakuočių atliekų tvarkymo įstatymo</w:t>
            </w:r>
            <w:r w:rsidRPr="00CA2409">
              <w:rPr>
                <w:i/>
                <w:sz w:val="22"/>
              </w:rPr>
              <w:t xml:space="preserve"> 7 ir 10 straipsniuose, reglamentuojančiuose gamintojams ir importuotojams tenkančias pareigas, atsakomybes ir t. t.</w:t>
            </w:r>
          </w:p>
        </w:tc>
        <w:tc>
          <w:tcPr>
            <w:tcW w:w="3174" w:type="dxa"/>
            <w:tcBorders>
              <w:top w:val="single" w:sz="4" w:space="0" w:color="auto"/>
              <w:left w:val="single" w:sz="4" w:space="0" w:color="auto"/>
              <w:bottom w:val="single" w:sz="4" w:space="0" w:color="auto"/>
              <w:right w:val="single" w:sz="4" w:space="0" w:color="auto"/>
            </w:tcBorders>
          </w:tcPr>
          <w:p w:rsidR="000869D4" w:rsidRPr="004C516C" w:rsidRDefault="006C5159" w:rsidP="00CE73F2">
            <w:pPr>
              <w:pStyle w:val="BodyText"/>
              <w:rPr>
                <w:sz w:val="22"/>
                <w:szCs w:val="22"/>
              </w:rPr>
            </w:pPr>
            <w:r w:rsidRPr="004C516C">
              <w:rPr>
                <w:sz w:val="22"/>
                <w:szCs w:val="22"/>
              </w:rPr>
              <w:t>Visiškas</w:t>
            </w:r>
          </w:p>
        </w:tc>
      </w:tr>
      <w:tr w:rsidR="000F4C1E" w:rsidRPr="004C516C" w:rsidTr="006310AB">
        <w:tc>
          <w:tcPr>
            <w:tcW w:w="5387" w:type="dxa"/>
            <w:tcBorders>
              <w:top w:val="single" w:sz="4" w:space="0" w:color="auto"/>
              <w:left w:val="single" w:sz="4" w:space="0" w:color="auto"/>
              <w:bottom w:val="single" w:sz="4" w:space="0" w:color="auto"/>
              <w:right w:val="single" w:sz="4" w:space="0" w:color="auto"/>
            </w:tcBorders>
          </w:tcPr>
          <w:p w:rsidR="00464401" w:rsidRDefault="00464401" w:rsidP="00464401">
            <w:pPr>
              <w:jc w:val="both"/>
              <w:rPr>
                <w:b/>
                <w:sz w:val="22"/>
                <w:szCs w:val="22"/>
              </w:rPr>
            </w:pPr>
            <w:r>
              <w:rPr>
                <w:b/>
                <w:sz w:val="22"/>
                <w:szCs w:val="22"/>
              </w:rPr>
              <w:t>1 straipsnio 9 dalis:</w:t>
            </w:r>
          </w:p>
          <w:p w:rsidR="00464401" w:rsidRPr="00464401" w:rsidRDefault="00464401" w:rsidP="00464401">
            <w:pPr>
              <w:jc w:val="both"/>
              <w:rPr>
                <w:sz w:val="22"/>
                <w:szCs w:val="22"/>
              </w:rPr>
            </w:pPr>
            <w:r w:rsidRPr="00464401">
              <w:rPr>
                <w:sz w:val="22"/>
                <w:szCs w:val="22"/>
              </w:rPr>
              <w:t>Įterpiamas šis straipsnis:</w:t>
            </w:r>
          </w:p>
          <w:p w:rsidR="00464401" w:rsidRPr="00464401" w:rsidRDefault="00464401" w:rsidP="00464401">
            <w:pPr>
              <w:jc w:val="both"/>
              <w:rPr>
                <w:sz w:val="22"/>
                <w:szCs w:val="22"/>
              </w:rPr>
            </w:pPr>
            <w:r w:rsidRPr="00464401">
              <w:rPr>
                <w:sz w:val="22"/>
                <w:szCs w:val="22"/>
              </w:rPr>
              <w:t>8a straipsnis</w:t>
            </w:r>
          </w:p>
          <w:p w:rsidR="000F4C1E" w:rsidRPr="004C516C" w:rsidRDefault="000F4C1E" w:rsidP="00C77833">
            <w:pPr>
              <w:jc w:val="both"/>
              <w:rPr>
                <w:b/>
                <w:sz w:val="22"/>
                <w:szCs w:val="22"/>
              </w:rPr>
            </w:pPr>
            <w:r w:rsidRPr="004C516C">
              <w:rPr>
                <w:b/>
                <w:sz w:val="22"/>
                <w:szCs w:val="22"/>
              </w:rPr>
              <w:t>Bendrieji didesnės gamintojo atsakomybės sistemos būtiniausi reikalavimai</w:t>
            </w:r>
          </w:p>
          <w:p w:rsidR="000F4C1E" w:rsidRPr="004C516C" w:rsidRDefault="000F4C1E" w:rsidP="001E5C08">
            <w:pPr>
              <w:widowControl/>
              <w:suppressAutoHyphens w:val="0"/>
              <w:autoSpaceDE w:val="0"/>
              <w:autoSpaceDN w:val="0"/>
              <w:adjustRightInd w:val="0"/>
              <w:jc w:val="both"/>
              <w:rPr>
                <w:rFonts w:eastAsia="Times New Roman"/>
                <w:iCs/>
                <w:sz w:val="22"/>
                <w:szCs w:val="22"/>
              </w:rPr>
            </w:pPr>
            <w:r w:rsidRPr="004C516C">
              <w:rPr>
                <w:rFonts w:eastAsia="Times New Roman"/>
                <w:iCs/>
                <w:sz w:val="22"/>
                <w:szCs w:val="22"/>
              </w:rPr>
              <w:t>4 dalies b punktas:</w:t>
            </w:r>
          </w:p>
          <w:p w:rsidR="008B7FF0" w:rsidRPr="004C516C" w:rsidRDefault="008B7FF0" w:rsidP="001E5C08">
            <w:pPr>
              <w:widowControl/>
              <w:suppressAutoHyphens w:val="0"/>
              <w:autoSpaceDE w:val="0"/>
              <w:autoSpaceDN w:val="0"/>
              <w:adjustRightInd w:val="0"/>
              <w:jc w:val="both"/>
              <w:rPr>
                <w:sz w:val="22"/>
                <w:szCs w:val="22"/>
              </w:rPr>
            </w:pPr>
            <w:r w:rsidRPr="004C516C">
              <w:rPr>
                <w:sz w:val="22"/>
                <w:szCs w:val="22"/>
              </w:rPr>
              <w:t>&lt;...&gt;</w:t>
            </w:r>
          </w:p>
          <w:p w:rsidR="000F4C1E" w:rsidRPr="004C516C" w:rsidRDefault="000F4C1E" w:rsidP="001E5C08">
            <w:pPr>
              <w:widowControl/>
              <w:suppressAutoHyphens w:val="0"/>
              <w:autoSpaceDE w:val="0"/>
              <w:autoSpaceDN w:val="0"/>
              <w:adjustRightInd w:val="0"/>
              <w:jc w:val="both"/>
              <w:rPr>
                <w:rFonts w:eastAsia="Times New Roman"/>
                <w:iCs/>
                <w:sz w:val="22"/>
                <w:szCs w:val="22"/>
              </w:rPr>
            </w:pPr>
            <w:r w:rsidRPr="004C516C">
              <w:rPr>
                <w:sz w:val="22"/>
                <w:szCs w:val="22"/>
              </w:rPr>
              <w:lastRenderedPageBreak/>
              <w:t xml:space="preserve">b) tais atvejais, kai didesnės gamintojo atsakomybės įpareigojimai vykdomi kolektyviai, būtų moduliuojami, kai įmanoma, už kiekvieną produktą arba panašių produktų grupę, konkrečiai atsižvelgiant į jų patvarumą, </w:t>
            </w:r>
            <w:proofErr w:type="spellStart"/>
            <w:r w:rsidRPr="004C516C">
              <w:rPr>
                <w:sz w:val="22"/>
                <w:szCs w:val="22"/>
              </w:rPr>
              <w:t>taisomumą</w:t>
            </w:r>
            <w:proofErr w:type="spellEnd"/>
            <w:r w:rsidRPr="004C516C">
              <w:rPr>
                <w:sz w:val="22"/>
                <w:szCs w:val="22"/>
              </w:rPr>
              <w:t xml:space="preserve">, tinkamumą pakartotinai naudoti ir </w:t>
            </w:r>
            <w:proofErr w:type="spellStart"/>
            <w:r w:rsidRPr="004C516C">
              <w:rPr>
                <w:sz w:val="22"/>
                <w:szCs w:val="22"/>
              </w:rPr>
              <w:t>perdirbamumą</w:t>
            </w:r>
            <w:proofErr w:type="spellEnd"/>
            <w:r w:rsidRPr="004C516C">
              <w:rPr>
                <w:sz w:val="22"/>
                <w:szCs w:val="22"/>
              </w:rPr>
              <w:t>, taip pat į tai, ar juose yra pavojingų medžiagų, tokiu būdu laikantis gyvavimo ciklo požiūrio, būtų suderinti su atitinkamų Sąjungos teisės aktų reikalavimais ir, kai esama suderintų kriterijų, būtų jais pagrįsti, kad būtų užtikrintas skl</w:t>
            </w:r>
            <w:r w:rsidR="008B7FF0" w:rsidRPr="004C516C">
              <w:rPr>
                <w:sz w:val="22"/>
                <w:szCs w:val="22"/>
              </w:rPr>
              <w:t>andus vidaus rinkos veikimas; &lt;...&gt;</w:t>
            </w:r>
          </w:p>
        </w:tc>
        <w:tc>
          <w:tcPr>
            <w:tcW w:w="6520" w:type="dxa"/>
            <w:tcBorders>
              <w:top w:val="single" w:sz="4" w:space="0" w:color="auto"/>
              <w:left w:val="single" w:sz="4" w:space="0" w:color="auto"/>
              <w:bottom w:val="single" w:sz="4" w:space="0" w:color="auto"/>
              <w:right w:val="single" w:sz="4" w:space="0" w:color="auto"/>
            </w:tcBorders>
          </w:tcPr>
          <w:p w:rsidR="000F4C1E" w:rsidRPr="008325A2" w:rsidRDefault="000F4C1E" w:rsidP="00C77833">
            <w:pPr>
              <w:jc w:val="both"/>
              <w:rPr>
                <w:b/>
                <w:color w:val="000000"/>
                <w:sz w:val="22"/>
                <w:szCs w:val="22"/>
              </w:rPr>
            </w:pPr>
            <w:r w:rsidRPr="008325A2">
              <w:rPr>
                <w:b/>
                <w:color w:val="000000"/>
                <w:sz w:val="22"/>
                <w:szCs w:val="22"/>
              </w:rPr>
              <w:lastRenderedPageBreak/>
              <w:t>Įstatymo projektas</w:t>
            </w:r>
          </w:p>
          <w:p w:rsidR="006C5159" w:rsidRPr="004C516C" w:rsidRDefault="008325A2" w:rsidP="006C5159">
            <w:pPr>
              <w:jc w:val="both"/>
              <w:rPr>
                <w:b/>
                <w:sz w:val="22"/>
                <w:szCs w:val="22"/>
              </w:rPr>
            </w:pPr>
            <w:r>
              <w:rPr>
                <w:b/>
                <w:sz w:val="22"/>
                <w:szCs w:val="22"/>
              </w:rPr>
              <w:t>5</w:t>
            </w:r>
            <w:r w:rsidR="006C5159" w:rsidRPr="004C516C">
              <w:rPr>
                <w:b/>
                <w:sz w:val="22"/>
                <w:szCs w:val="22"/>
              </w:rPr>
              <w:t xml:space="preserve"> straipsnis. 1</w:t>
            </w:r>
            <w:r w:rsidR="006C5159" w:rsidRPr="004C516C">
              <w:rPr>
                <w:b/>
                <w:spacing w:val="1"/>
                <w:sz w:val="22"/>
                <w:szCs w:val="22"/>
              </w:rPr>
              <w:t>0 straipsnio pakeitimas</w:t>
            </w:r>
          </w:p>
          <w:p w:rsidR="006C5159" w:rsidRPr="004C516C" w:rsidRDefault="006C5159" w:rsidP="006C5159">
            <w:pPr>
              <w:widowControl/>
              <w:suppressAutoHyphens w:val="0"/>
              <w:spacing w:line="276" w:lineRule="auto"/>
              <w:jc w:val="both"/>
              <w:rPr>
                <w:rFonts w:eastAsia="MS Mincho"/>
                <w:i/>
                <w:iCs/>
                <w:sz w:val="22"/>
                <w:szCs w:val="22"/>
                <w:lang w:eastAsia="en-US"/>
              </w:rPr>
            </w:pPr>
            <w:r w:rsidRPr="004C516C">
              <w:rPr>
                <w:rFonts w:eastAsia="Calibri"/>
                <w:bCs/>
                <w:color w:val="000000"/>
                <w:sz w:val="22"/>
                <w:szCs w:val="22"/>
                <w:lang w:eastAsia="en-US" w:bidi="en-US"/>
              </w:rPr>
              <w:t>&lt;...&gt;</w:t>
            </w:r>
          </w:p>
          <w:p w:rsidR="00BA0F7D" w:rsidRPr="00BA0F7D" w:rsidRDefault="00BA0F7D" w:rsidP="00BA0F7D">
            <w:pPr>
              <w:jc w:val="both"/>
              <w:rPr>
                <w:rFonts w:eastAsia="TimesNewRomanPSMT"/>
                <w:bCs/>
                <w:kern w:val="2"/>
                <w:sz w:val="22"/>
              </w:rPr>
            </w:pPr>
            <w:r w:rsidRPr="00BA0F7D">
              <w:rPr>
                <w:rFonts w:eastAsia="TimesNewRomanPSMT"/>
                <w:bCs/>
                <w:kern w:val="2"/>
                <w:sz w:val="22"/>
              </w:rPr>
              <w:t>3. Papildyti 10 straipsnį 10 dalimi:</w:t>
            </w:r>
          </w:p>
          <w:p w:rsidR="00BA0F7D" w:rsidRPr="00BA0F7D" w:rsidRDefault="00BA0F7D" w:rsidP="00BA0F7D">
            <w:pPr>
              <w:jc w:val="both"/>
              <w:rPr>
                <w:rFonts w:eastAsia="TimesNewRomanPSMT"/>
                <w:bCs/>
                <w:kern w:val="2"/>
                <w:sz w:val="22"/>
              </w:rPr>
            </w:pPr>
            <w:r w:rsidRPr="00BA0F7D">
              <w:rPr>
                <w:rFonts w:eastAsia="TimesNewRomanPSMT"/>
                <w:bCs/>
                <w:kern w:val="2"/>
                <w:sz w:val="22"/>
              </w:rPr>
              <w:t xml:space="preserve">„10. </w:t>
            </w:r>
            <w:r w:rsidR="008325A2" w:rsidRPr="008325A2">
              <w:rPr>
                <w:sz w:val="22"/>
                <w:szCs w:val="22"/>
              </w:rPr>
              <w:t xml:space="preserve">Nustatydama įmokų už pakuočių atliekų tvarkymą, kurias organizacijai turi mokėti organizacijos nariai ir pavedimo davėjai (toliau – organizacijos įkainiai), dydžius, organizacija privalo juos </w:t>
            </w:r>
            <w:r w:rsidR="008325A2" w:rsidRPr="008325A2">
              <w:rPr>
                <w:sz w:val="22"/>
                <w:szCs w:val="22"/>
              </w:rPr>
              <w:lastRenderedPageBreak/>
              <w:t>diferencijuoti atsižvelgdama į pakuotėms pagaminti naudotų medžiagų rūšis, kurioms Vyriausybė ar jos įgaliota institucija nustatė pakuočių atliekų tvarkymo užduotis, ir atitinkamos pakuočių rūšies tinkamumą pa</w:t>
            </w:r>
            <w:r w:rsidR="008325A2" w:rsidRPr="008325A2">
              <w:rPr>
                <w:sz w:val="22"/>
                <w:szCs w:val="22"/>
              </w:rPr>
              <w:t>kartotinai naudoti ir perdirbti</w:t>
            </w:r>
            <w:r w:rsidRPr="008325A2">
              <w:rPr>
                <w:sz w:val="22"/>
                <w:szCs w:val="22"/>
              </w:rPr>
              <w:t>.</w:t>
            </w:r>
            <w:r w:rsidRPr="00BA0F7D">
              <w:rPr>
                <w:sz w:val="22"/>
              </w:rPr>
              <w:t>“</w:t>
            </w:r>
          </w:p>
          <w:p w:rsidR="00BA0F7D" w:rsidRPr="00BA0F7D" w:rsidRDefault="00BA0F7D" w:rsidP="00BA0F7D">
            <w:pPr>
              <w:jc w:val="both"/>
              <w:rPr>
                <w:rFonts w:eastAsia="TimesNewRomanPSMT"/>
                <w:bCs/>
                <w:kern w:val="2"/>
                <w:sz w:val="22"/>
              </w:rPr>
            </w:pPr>
            <w:r w:rsidRPr="00BA0F7D">
              <w:rPr>
                <w:rFonts w:eastAsia="TimesNewRomanPSMT"/>
                <w:bCs/>
                <w:kern w:val="2"/>
                <w:sz w:val="22"/>
              </w:rPr>
              <w:t>4. Papildyti 10 straipsnį 11 dalimi:</w:t>
            </w:r>
          </w:p>
          <w:p w:rsidR="00BA0F7D" w:rsidRPr="00BA0F7D" w:rsidRDefault="00BA0F7D" w:rsidP="00BA0F7D">
            <w:pPr>
              <w:tabs>
                <w:tab w:val="left" w:pos="540"/>
              </w:tabs>
              <w:jc w:val="both"/>
              <w:rPr>
                <w:sz w:val="22"/>
              </w:rPr>
            </w:pPr>
            <w:r w:rsidRPr="00BA0F7D">
              <w:rPr>
                <w:rFonts w:eastAsia="TimesNewRomanPSMT"/>
                <w:bCs/>
                <w:kern w:val="2"/>
                <w:sz w:val="22"/>
              </w:rPr>
              <w:t xml:space="preserve">„11. </w:t>
            </w:r>
            <w:r w:rsidR="008325A2" w:rsidRPr="008325A2">
              <w:rPr>
                <w:sz w:val="22"/>
              </w:rPr>
              <w:t xml:space="preserve">Nustatydama organizacijos įkainių dydžius, organizacija, </w:t>
            </w:r>
            <w:r w:rsidR="008325A2" w:rsidRPr="008325A2">
              <w:rPr>
                <w:rStyle w:val="clear3"/>
                <w:color w:val="000000"/>
                <w:sz w:val="22"/>
              </w:rPr>
              <w:t>vadovaudamasi aplinkos ministro tvirtinamais pagrindiniais kriterijais, kuriais diferencijuojami įkainių dydžiai,</w:t>
            </w:r>
            <w:r w:rsidR="008325A2" w:rsidRPr="008325A2">
              <w:rPr>
                <w:sz w:val="22"/>
              </w:rPr>
              <w:t xml:space="preserve"> jei įmanoma, juos diferencijuoja atsižvelgdama į pakuočių savybes: patvarumą, </w:t>
            </w:r>
            <w:proofErr w:type="spellStart"/>
            <w:r w:rsidR="008325A2" w:rsidRPr="008325A2">
              <w:rPr>
                <w:sz w:val="22"/>
              </w:rPr>
              <w:t>taisomumą</w:t>
            </w:r>
            <w:proofErr w:type="spellEnd"/>
            <w:r w:rsidR="008325A2" w:rsidRPr="008325A2">
              <w:rPr>
                <w:sz w:val="22"/>
              </w:rPr>
              <w:t xml:space="preserve"> ir į tai, </w:t>
            </w:r>
            <w:r w:rsidR="008325A2" w:rsidRPr="008325A2">
              <w:rPr>
                <w:sz w:val="22"/>
                <w:szCs w:val="22"/>
              </w:rPr>
              <w:t>ar pakuotėse yra pavojingų medžiagų</w:t>
            </w:r>
            <w:r w:rsidRPr="00BA0F7D">
              <w:rPr>
                <w:sz w:val="22"/>
              </w:rPr>
              <w:t>.“</w:t>
            </w:r>
          </w:p>
          <w:p w:rsidR="00D860A8" w:rsidRPr="00D860A8" w:rsidRDefault="00D860A8" w:rsidP="00D860A8">
            <w:pPr>
              <w:jc w:val="both"/>
              <w:rPr>
                <w:rFonts w:eastAsia="TimesNewRomanPSMT"/>
                <w:bCs/>
                <w:kern w:val="2"/>
                <w:sz w:val="22"/>
              </w:rPr>
            </w:pPr>
            <w:r w:rsidRPr="00D860A8">
              <w:rPr>
                <w:rFonts w:eastAsia="TimesNewRomanPSMT"/>
                <w:bCs/>
                <w:kern w:val="2"/>
                <w:sz w:val="22"/>
              </w:rPr>
              <w:t>5. Papildyti 10 straipsnį 12 dalimi:</w:t>
            </w:r>
          </w:p>
          <w:p w:rsidR="0050030A" w:rsidRDefault="00D860A8" w:rsidP="00D860A8">
            <w:pPr>
              <w:tabs>
                <w:tab w:val="left" w:pos="540"/>
              </w:tabs>
              <w:jc w:val="both"/>
              <w:rPr>
                <w:rFonts w:eastAsia="Calibri"/>
                <w:sz w:val="22"/>
              </w:rPr>
            </w:pPr>
            <w:r w:rsidRPr="00D860A8">
              <w:rPr>
                <w:rFonts w:eastAsia="Calibri"/>
                <w:sz w:val="22"/>
              </w:rPr>
              <w:t xml:space="preserve">„12. </w:t>
            </w:r>
            <w:r w:rsidR="008325A2" w:rsidRPr="008325A2">
              <w:rPr>
                <w:rFonts w:eastAsia="Calibri"/>
                <w:sz w:val="22"/>
              </w:rPr>
              <w:t>Aplinkos ministras nustato pagrindinius kriterijus, kuriais vadovaujantis, atsižvelgus į pakuočių savybes, diferencijuojami organizacijų įkainių dydžiai</w:t>
            </w:r>
            <w:r w:rsidRPr="00D860A8">
              <w:rPr>
                <w:rFonts w:eastAsia="Calibri"/>
                <w:sz w:val="22"/>
              </w:rPr>
              <w:t>.“</w:t>
            </w:r>
          </w:p>
          <w:p w:rsidR="008325A2" w:rsidRDefault="008325A2" w:rsidP="00D860A8">
            <w:pPr>
              <w:tabs>
                <w:tab w:val="left" w:pos="540"/>
              </w:tabs>
              <w:jc w:val="both"/>
              <w:rPr>
                <w:rFonts w:eastAsia="Calibri"/>
                <w:sz w:val="22"/>
              </w:rPr>
            </w:pPr>
          </w:p>
          <w:p w:rsidR="008325A2" w:rsidRPr="004C516C" w:rsidRDefault="008325A2" w:rsidP="00D71055">
            <w:pPr>
              <w:tabs>
                <w:tab w:val="left" w:pos="540"/>
              </w:tabs>
              <w:jc w:val="both"/>
              <w:rPr>
                <w:sz w:val="22"/>
                <w:szCs w:val="22"/>
              </w:rPr>
            </w:pPr>
            <w:r>
              <w:rPr>
                <w:i/>
                <w:sz w:val="22"/>
                <w:szCs w:val="20"/>
              </w:rPr>
              <w:t xml:space="preserve">Pastaba: </w:t>
            </w:r>
            <w:r w:rsidRPr="00CA2409">
              <w:rPr>
                <w:i/>
                <w:sz w:val="22"/>
                <w:szCs w:val="20"/>
              </w:rPr>
              <w:t xml:space="preserve">šios nuostatos taip pat bus perkeltos </w:t>
            </w:r>
            <w:r>
              <w:rPr>
                <w:i/>
                <w:sz w:val="22"/>
                <w:szCs w:val="20"/>
              </w:rPr>
              <w:t>Atliekų tvarkymo</w:t>
            </w:r>
            <w:r w:rsidRPr="00CA2409">
              <w:rPr>
                <w:i/>
                <w:sz w:val="22"/>
                <w:szCs w:val="20"/>
              </w:rPr>
              <w:t xml:space="preserve"> </w:t>
            </w:r>
            <w:r>
              <w:rPr>
                <w:i/>
                <w:sz w:val="22"/>
                <w:szCs w:val="20"/>
              </w:rPr>
              <w:t xml:space="preserve">įstatymo pakeitimo </w:t>
            </w:r>
            <w:r w:rsidRPr="00CA2409">
              <w:rPr>
                <w:i/>
                <w:sz w:val="22"/>
                <w:szCs w:val="20"/>
              </w:rPr>
              <w:t>projektu</w:t>
            </w:r>
            <w:r w:rsidR="00D71055">
              <w:rPr>
                <w:i/>
                <w:sz w:val="22"/>
                <w:szCs w:val="20"/>
              </w:rPr>
              <w:t xml:space="preserve"> ir aplinkos ministro įsakymo projektu</w:t>
            </w:r>
            <w:bookmarkStart w:id="0" w:name="_GoBack"/>
            <w:bookmarkEnd w:id="0"/>
            <w:r w:rsidR="00D71055">
              <w:rPr>
                <w:i/>
                <w:sz w:val="22"/>
                <w:szCs w:val="20"/>
              </w:rPr>
              <w:t xml:space="preserve">, kuriuo bus nustatyti </w:t>
            </w:r>
            <w:r w:rsidR="00D71055" w:rsidRPr="00D71055">
              <w:rPr>
                <w:rFonts w:eastAsia="Calibri"/>
                <w:i/>
                <w:sz w:val="22"/>
              </w:rPr>
              <w:t>pagrindini</w:t>
            </w:r>
            <w:r w:rsidR="00D71055">
              <w:rPr>
                <w:rFonts w:eastAsia="Calibri"/>
                <w:i/>
                <w:sz w:val="22"/>
              </w:rPr>
              <w:t>ai</w:t>
            </w:r>
            <w:r w:rsidR="00D71055" w:rsidRPr="00D71055">
              <w:rPr>
                <w:rFonts w:eastAsia="Calibri"/>
                <w:i/>
                <w:sz w:val="22"/>
              </w:rPr>
              <w:t xml:space="preserve"> kriterij</w:t>
            </w:r>
            <w:r w:rsidR="00D71055">
              <w:rPr>
                <w:rFonts w:eastAsia="Calibri"/>
                <w:i/>
                <w:sz w:val="22"/>
              </w:rPr>
              <w:t>ai</w:t>
            </w:r>
            <w:r w:rsidR="00D71055" w:rsidRPr="00D71055">
              <w:rPr>
                <w:rFonts w:eastAsia="Calibri"/>
                <w:i/>
                <w:sz w:val="22"/>
              </w:rPr>
              <w:t>, kuriais vadovaujantis, atsižvelgus į pakuočių savybes, diferencijuojami organizacijų įkainių dydžiai</w:t>
            </w:r>
            <w:r>
              <w:rPr>
                <w:i/>
                <w:sz w:val="22"/>
                <w:szCs w:val="20"/>
              </w:rPr>
              <w:t>.</w:t>
            </w:r>
          </w:p>
        </w:tc>
        <w:tc>
          <w:tcPr>
            <w:tcW w:w="3174" w:type="dxa"/>
            <w:tcBorders>
              <w:top w:val="single" w:sz="4" w:space="0" w:color="auto"/>
              <w:left w:val="single" w:sz="4" w:space="0" w:color="auto"/>
              <w:bottom w:val="single" w:sz="4" w:space="0" w:color="auto"/>
              <w:right w:val="single" w:sz="4" w:space="0" w:color="auto"/>
            </w:tcBorders>
          </w:tcPr>
          <w:p w:rsidR="000F4C1E" w:rsidRPr="004C516C" w:rsidRDefault="000F4C1E" w:rsidP="00CE73F2">
            <w:pPr>
              <w:pStyle w:val="BodyText"/>
              <w:rPr>
                <w:sz w:val="22"/>
                <w:szCs w:val="22"/>
              </w:rPr>
            </w:pPr>
            <w:r w:rsidRPr="004C516C">
              <w:rPr>
                <w:sz w:val="22"/>
                <w:szCs w:val="22"/>
              </w:rPr>
              <w:lastRenderedPageBreak/>
              <w:t>Dalinis</w:t>
            </w:r>
          </w:p>
          <w:p w:rsidR="0011188A" w:rsidRPr="004C516C" w:rsidRDefault="0011188A" w:rsidP="00D71055">
            <w:pPr>
              <w:pStyle w:val="BodyText"/>
              <w:jc w:val="both"/>
              <w:rPr>
                <w:sz w:val="22"/>
                <w:szCs w:val="22"/>
              </w:rPr>
            </w:pPr>
          </w:p>
        </w:tc>
      </w:tr>
    </w:tbl>
    <w:p w:rsidR="00700EF5" w:rsidRDefault="00700EF5">
      <w:pPr>
        <w:pStyle w:val="WW-BodyText3"/>
        <w:jc w:val="both"/>
      </w:pPr>
    </w:p>
    <w:sectPr w:rsidR="00700EF5" w:rsidSect="000E377F">
      <w:headerReference w:type="even" r:id="rId8"/>
      <w:headerReference w:type="default" r:id="rId9"/>
      <w:footnotePr>
        <w:pos w:val="beneathText"/>
      </w:footnotePr>
      <w:pgSz w:w="16837" w:h="11905" w:orient="landscape"/>
      <w:pgMar w:top="993" w:right="67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76" w:rsidRDefault="00E34C76">
      <w:r>
        <w:separator/>
      </w:r>
    </w:p>
  </w:endnote>
  <w:endnote w:type="continuationSeparator" w:id="0">
    <w:p w:rsidR="00E34C76" w:rsidRDefault="00E3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TimesNewRomanPSM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76" w:rsidRDefault="00E34C76">
      <w:r>
        <w:separator/>
      </w:r>
    </w:p>
  </w:footnote>
  <w:footnote w:type="continuationSeparator" w:id="0">
    <w:p w:rsidR="00E34C76" w:rsidRDefault="00E3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BB" w:rsidRDefault="00A02D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2DBB" w:rsidRDefault="00A02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BB" w:rsidRDefault="00A02D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055">
      <w:rPr>
        <w:rStyle w:val="PageNumber"/>
        <w:noProof/>
      </w:rPr>
      <w:t>3</w:t>
    </w:r>
    <w:r>
      <w:rPr>
        <w:rStyle w:val="PageNumber"/>
      </w:rPr>
      <w:fldChar w:fldCharType="end"/>
    </w:r>
  </w:p>
  <w:p w:rsidR="00A02DBB" w:rsidRDefault="00A02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6">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3">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4">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9">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8">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9">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7">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7"/>
  </w:num>
  <w:num w:numId="3">
    <w:abstractNumId w:val="1"/>
  </w:num>
  <w:num w:numId="4">
    <w:abstractNumId w:val="9"/>
  </w:num>
  <w:num w:numId="5">
    <w:abstractNumId w:val="26"/>
  </w:num>
  <w:num w:numId="6">
    <w:abstractNumId w:val="23"/>
  </w:num>
  <w:num w:numId="7">
    <w:abstractNumId w:val="28"/>
  </w:num>
  <w:num w:numId="8">
    <w:abstractNumId w:val="36"/>
  </w:num>
  <w:num w:numId="9">
    <w:abstractNumId w:val="35"/>
  </w:num>
  <w:num w:numId="10">
    <w:abstractNumId w:val="8"/>
  </w:num>
  <w:num w:numId="11">
    <w:abstractNumId w:val="29"/>
  </w:num>
  <w:num w:numId="12">
    <w:abstractNumId w:val="0"/>
  </w:num>
  <w:num w:numId="13">
    <w:abstractNumId w:val="11"/>
  </w:num>
  <w:num w:numId="14">
    <w:abstractNumId w:val="10"/>
  </w:num>
  <w:num w:numId="15">
    <w:abstractNumId w:val="33"/>
  </w:num>
  <w:num w:numId="16">
    <w:abstractNumId w:val="24"/>
  </w:num>
  <w:num w:numId="17">
    <w:abstractNumId w:val="22"/>
  </w:num>
  <w:num w:numId="18">
    <w:abstractNumId w:val="25"/>
  </w:num>
  <w:num w:numId="19">
    <w:abstractNumId w:val="30"/>
  </w:num>
  <w:num w:numId="20">
    <w:abstractNumId w:val="19"/>
  </w:num>
  <w:num w:numId="21">
    <w:abstractNumId w:val="16"/>
  </w:num>
  <w:num w:numId="22">
    <w:abstractNumId w:val="14"/>
  </w:num>
  <w:num w:numId="23">
    <w:abstractNumId w:val="34"/>
  </w:num>
  <w:num w:numId="24">
    <w:abstractNumId w:val="27"/>
  </w:num>
  <w:num w:numId="25">
    <w:abstractNumId w:val="31"/>
  </w:num>
  <w:num w:numId="26">
    <w:abstractNumId w:val="6"/>
  </w:num>
  <w:num w:numId="27">
    <w:abstractNumId w:val="3"/>
  </w:num>
  <w:num w:numId="28">
    <w:abstractNumId w:val="12"/>
  </w:num>
  <w:num w:numId="29">
    <w:abstractNumId w:val="21"/>
  </w:num>
  <w:num w:numId="30">
    <w:abstractNumId w:val="32"/>
  </w:num>
  <w:num w:numId="31">
    <w:abstractNumId w:val="17"/>
  </w:num>
  <w:num w:numId="32">
    <w:abstractNumId w:val="13"/>
  </w:num>
  <w:num w:numId="33">
    <w:abstractNumId w:val="15"/>
  </w:num>
  <w:num w:numId="34">
    <w:abstractNumId w:val="20"/>
  </w:num>
  <w:num w:numId="35">
    <w:abstractNumId w:val="18"/>
  </w:num>
  <w:num w:numId="36">
    <w:abstractNumId w:val="5"/>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A6"/>
    <w:rsid w:val="000009D1"/>
    <w:rsid w:val="00045875"/>
    <w:rsid w:val="00056080"/>
    <w:rsid w:val="00083A89"/>
    <w:rsid w:val="000869D4"/>
    <w:rsid w:val="0009147C"/>
    <w:rsid w:val="000C685C"/>
    <w:rsid w:val="000D13B9"/>
    <w:rsid w:val="000E377F"/>
    <w:rsid w:val="000F4C1E"/>
    <w:rsid w:val="00107739"/>
    <w:rsid w:val="0011188A"/>
    <w:rsid w:val="00137127"/>
    <w:rsid w:val="0014313B"/>
    <w:rsid w:val="0015134A"/>
    <w:rsid w:val="00183FD5"/>
    <w:rsid w:val="001A1812"/>
    <w:rsid w:val="001B1C61"/>
    <w:rsid w:val="001B400E"/>
    <w:rsid w:val="001B7081"/>
    <w:rsid w:val="001C6E0D"/>
    <w:rsid w:val="001D3B78"/>
    <w:rsid w:val="001E5C08"/>
    <w:rsid w:val="00205806"/>
    <w:rsid w:val="002067E6"/>
    <w:rsid w:val="002120E4"/>
    <w:rsid w:val="00217DDF"/>
    <w:rsid w:val="002272DA"/>
    <w:rsid w:val="00266DFC"/>
    <w:rsid w:val="002A376D"/>
    <w:rsid w:val="002B4393"/>
    <w:rsid w:val="002C075B"/>
    <w:rsid w:val="002E3013"/>
    <w:rsid w:val="00302B6C"/>
    <w:rsid w:val="00312DB4"/>
    <w:rsid w:val="00337486"/>
    <w:rsid w:val="00340887"/>
    <w:rsid w:val="00346860"/>
    <w:rsid w:val="00352BA0"/>
    <w:rsid w:val="00360C9B"/>
    <w:rsid w:val="00396381"/>
    <w:rsid w:val="003B60AD"/>
    <w:rsid w:val="003C21E4"/>
    <w:rsid w:val="003D1779"/>
    <w:rsid w:val="003E52FF"/>
    <w:rsid w:val="00436438"/>
    <w:rsid w:val="0046188D"/>
    <w:rsid w:val="00461C2E"/>
    <w:rsid w:val="00464401"/>
    <w:rsid w:val="00471643"/>
    <w:rsid w:val="0049200E"/>
    <w:rsid w:val="004949D2"/>
    <w:rsid w:val="004C2C04"/>
    <w:rsid w:val="004C3FAD"/>
    <w:rsid w:val="004C516C"/>
    <w:rsid w:val="004C599E"/>
    <w:rsid w:val="0050030A"/>
    <w:rsid w:val="005B2ABC"/>
    <w:rsid w:val="005D4252"/>
    <w:rsid w:val="005D4D3A"/>
    <w:rsid w:val="00612973"/>
    <w:rsid w:val="00617CF8"/>
    <w:rsid w:val="006310AB"/>
    <w:rsid w:val="00643C05"/>
    <w:rsid w:val="006530AA"/>
    <w:rsid w:val="006913B7"/>
    <w:rsid w:val="00693E90"/>
    <w:rsid w:val="0069772A"/>
    <w:rsid w:val="006C5159"/>
    <w:rsid w:val="006D5E45"/>
    <w:rsid w:val="006D7D46"/>
    <w:rsid w:val="006F1905"/>
    <w:rsid w:val="00700EF5"/>
    <w:rsid w:val="00714595"/>
    <w:rsid w:val="00735FB2"/>
    <w:rsid w:val="0073648A"/>
    <w:rsid w:val="00747F2D"/>
    <w:rsid w:val="007572CF"/>
    <w:rsid w:val="00781584"/>
    <w:rsid w:val="007D6966"/>
    <w:rsid w:val="007E0CDF"/>
    <w:rsid w:val="0080159B"/>
    <w:rsid w:val="00801606"/>
    <w:rsid w:val="008325A2"/>
    <w:rsid w:val="00855174"/>
    <w:rsid w:val="008640E9"/>
    <w:rsid w:val="008642AB"/>
    <w:rsid w:val="00870D56"/>
    <w:rsid w:val="0088453A"/>
    <w:rsid w:val="0088717B"/>
    <w:rsid w:val="008B3F6C"/>
    <w:rsid w:val="008B7FF0"/>
    <w:rsid w:val="008E1696"/>
    <w:rsid w:val="008E3665"/>
    <w:rsid w:val="008E4106"/>
    <w:rsid w:val="008E5BDD"/>
    <w:rsid w:val="009002D3"/>
    <w:rsid w:val="00902F17"/>
    <w:rsid w:val="0091428C"/>
    <w:rsid w:val="00964A42"/>
    <w:rsid w:val="00967BE1"/>
    <w:rsid w:val="0097461A"/>
    <w:rsid w:val="00996C3C"/>
    <w:rsid w:val="009A15B3"/>
    <w:rsid w:val="009C4ACB"/>
    <w:rsid w:val="009F4D1F"/>
    <w:rsid w:val="00A02DBB"/>
    <w:rsid w:val="00A14165"/>
    <w:rsid w:val="00A2720C"/>
    <w:rsid w:val="00A53525"/>
    <w:rsid w:val="00A81969"/>
    <w:rsid w:val="00A872EC"/>
    <w:rsid w:val="00AE1275"/>
    <w:rsid w:val="00AF7947"/>
    <w:rsid w:val="00B05306"/>
    <w:rsid w:val="00B1578F"/>
    <w:rsid w:val="00B5155C"/>
    <w:rsid w:val="00B81E5E"/>
    <w:rsid w:val="00BA0F7D"/>
    <w:rsid w:val="00C21B21"/>
    <w:rsid w:val="00C26805"/>
    <w:rsid w:val="00C36B7B"/>
    <w:rsid w:val="00C379BB"/>
    <w:rsid w:val="00C511B2"/>
    <w:rsid w:val="00C640E8"/>
    <w:rsid w:val="00C77833"/>
    <w:rsid w:val="00C77C97"/>
    <w:rsid w:val="00C93E1C"/>
    <w:rsid w:val="00CE5F65"/>
    <w:rsid w:val="00CE73F2"/>
    <w:rsid w:val="00D1504A"/>
    <w:rsid w:val="00D202E8"/>
    <w:rsid w:val="00D46911"/>
    <w:rsid w:val="00D51712"/>
    <w:rsid w:val="00D55363"/>
    <w:rsid w:val="00D71055"/>
    <w:rsid w:val="00D860A8"/>
    <w:rsid w:val="00D92364"/>
    <w:rsid w:val="00D974CA"/>
    <w:rsid w:val="00DE6790"/>
    <w:rsid w:val="00E01D0C"/>
    <w:rsid w:val="00E04735"/>
    <w:rsid w:val="00E311A6"/>
    <w:rsid w:val="00E34C76"/>
    <w:rsid w:val="00E3502D"/>
    <w:rsid w:val="00E52527"/>
    <w:rsid w:val="00E71355"/>
    <w:rsid w:val="00E860CE"/>
    <w:rsid w:val="00E86886"/>
    <w:rsid w:val="00E94847"/>
    <w:rsid w:val="00EA71DB"/>
    <w:rsid w:val="00EB15E9"/>
    <w:rsid w:val="00EE22C6"/>
    <w:rsid w:val="00EE64C4"/>
    <w:rsid w:val="00F43408"/>
    <w:rsid w:val="00F66DFC"/>
    <w:rsid w:val="00FA3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uiPriority w:val="99"/>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character" w:customStyle="1" w:styleId="clear3">
    <w:name w:val="clear3"/>
    <w:basedOn w:val="DefaultParagraphFont"/>
    <w:rsid w:val="00832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uiPriority w:val="99"/>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character" w:customStyle="1" w:styleId="clear3">
    <w:name w:val="clear3"/>
    <w:basedOn w:val="DefaultParagraphFont"/>
    <w:rsid w:val="0083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7138</Words>
  <Characters>4069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2003 M</vt:lpstr>
    </vt:vector>
  </TitlesOfParts>
  <Company>AM</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Neringa Paškauskaitė</dc:creator>
  <cp:lastModifiedBy>Neringa Paškauskaitė</cp:lastModifiedBy>
  <cp:revision>8</cp:revision>
  <cp:lastPrinted>2010-09-24T10:11:00Z</cp:lastPrinted>
  <dcterms:created xsi:type="dcterms:W3CDTF">2020-11-09T15:40:00Z</dcterms:created>
  <dcterms:modified xsi:type="dcterms:W3CDTF">2020-11-09T16:16:00Z</dcterms:modified>
</cp:coreProperties>
</file>