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82A69" w14:textId="77777777" w:rsidR="00BD4B3F" w:rsidRDefault="00BD4B3F">
      <w:pPr>
        <w:tabs>
          <w:tab w:val="center" w:pos="4153"/>
          <w:tab w:val="right" w:pos="8306"/>
        </w:tabs>
      </w:pPr>
    </w:p>
    <w:p w14:paraId="77806047" w14:textId="77777777" w:rsidR="003B38FA" w:rsidRDefault="001465C1" w:rsidP="003B38FA">
      <w:pPr>
        <w:ind w:left="7230" w:right="140"/>
        <w:rPr>
          <w:rFonts w:ascii="&amp;quot" w:hAnsi="&amp;quot"/>
          <w:b/>
          <w:bCs/>
          <w:color w:val="000000"/>
          <w:szCs w:val="24"/>
        </w:rPr>
      </w:pPr>
      <w:r>
        <w:rPr>
          <w:rFonts w:ascii="&amp;quot" w:hAnsi="&amp;quot"/>
          <w:b/>
          <w:bCs/>
          <w:color w:val="000000"/>
          <w:szCs w:val="24"/>
        </w:rPr>
        <w:t>Projekt</w:t>
      </w:r>
      <w:r w:rsidR="003B38FA">
        <w:rPr>
          <w:rFonts w:ascii="&amp;quot" w:hAnsi="&amp;quot"/>
          <w:b/>
          <w:bCs/>
          <w:color w:val="000000"/>
          <w:szCs w:val="24"/>
        </w:rPr>
        <w:t xml:space="preserve">o </w:t>
      </w:r>
    </w:p>
    <w:p w14:paraId="26FFA7F5" w14:textId="20C3181A" w:rsidR="00BD4B3F" w:rsidRDefault="003B38FA" w:rsidP="003B38FA">
      <w:pPr>
        <w:ind w:left="7230" w:right="140"/>
        <w:rPr>
          <w:rFonts w:ascii="&amp;quot" w:hAnsi="&amp;quot"/>
          <w:b/>
          <w:bCs/>
          <w:color w:val="000000"/>
          <w:szCs w:val="24"/>
        </w:rPr>
      </w:pPr>
      <w:r>
        <w:rPr>
          <w:rFonts w:ascii="&amp;quot" w:hAnsi="&amp;quot"/>
          <w:b/>
          <w:bCs/>
          <w:color w:val="000000"/>
          <w:szCs w:val="24"/>
        </w:rPr>
        <w:t>lyginamasis variantas</w:t>
      </w:r>
    </w:p>
    <w:p w14:paraId="38DB2E9E" w14:textId="77777777" w:rsidR="00BD4B3F" w:rsidRDefault="00BD4B3F" w:rsidP="003B38FA">
      <w:pPr>
        <w:tabs>
          <w:tab w:val="center" w:pos="4153"/>
          <w:tab w:val="right" w:pos="8306"/>
        </w:tabs>
        <w:ind w:left="6379"/>
        <w:jc w:val="center"/>
        <w:rPr>
          <w:lang w:eastAsia="lt-LT"/>
        </w:rPr>
      </w:pPr>
    </w:p>
    <w:p w14:paraId="4B9845F7" w14:textId="77777777" w:rsidR="00BD4B3F" w:rsidRDefault="00BD4B3F">
      <w:pPr>
        <w:jc w:val="center"/>
        <w:rPr>
          <w:sz w:val="10"/>
          <w:szCs w:val="10"/>
        </w:rPr>
      </w:pPr>
    </w:p>
    <w:p w14:paraId="2BC0FFBB" w14:textId="77777777" w:rsidR="00BD4B3F" w:rsidRDefault="001465C1">
      <w:pPr>
        <w:keepNext/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Lietuvos Respublikos Vyriausybė</w:t>
      </w:r>
    </w:p>
    <w:p w14:paraId="261F6B19" w14:textId="77777777" w:rsidR="00BD4B3F" w:rsidRDefault="00BD4B3F">
      <w:pPr>
        <w:jc w:val="center"/>
        <w:rPr>
          <w:caps/>
          <w:szCs w:val="24"/>
          <w:lang w:eastAsia="lt-LT"/>
        </w:rPr>
      </w:pPr>
    </w:p>
    <w:p w14:paraId="1E5C6079" w14:textId="77777777" w:rsidR="00BD4B3F" w:rsidRDefault="001465C1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58EDB2E2" w14:textId="3808DEDE" w:rsidR="00BD4B3F" w:rsidRDefault="001465C1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DĖL LIETUVOS RESPUBLIKOS VYRIAUSYBĖS 202</w:t>
      </w:r>
      <w:r w:rsidR="00E61DC6">
        <w:rPr>
          <w:b/>
          <w:caps/>
          <w:lang w:eastAsia="lt-LT"/>
        </w:rPr>
        <w:t>1</w:t>
      </w:r>
      <w:r>
        <w:rPr>
          <w:b/>
          <w:caps/>
          <w:lang w:eastAsia="lt-LT"/>
        </w:rPr>
        <w:t xml:space="preserve"> M. </w:t>
      </w:r>
      <w:r w:rsidR="00E61DC6">
        <w:rPr>
          <w:b/>
          <w:caps/>
          <w:lang w:eastAsia="lt-LT"/>
        </w:rPr>
        <w:t>KOVO</w:t>
      </w:r>
      <w:r>
        <w:rPr>
          <w:b/>
          <w:caps/>
          <w:lang w:eastAsia="lt-LT"/>
        </w:rPr>
        <w:t xml:space="preserve"> </w:t>
      </w:r>
      <w:r w:rsidR="00E61DC6">
        <w:rPr>
          <w:b/>
          <w:caps/>
          <w:lang w:eastAsia="lt-LT"/>
        </w:rPr>
        <w:t>3</w:t>
      </w:r>
      <w:r>
        <w:rPr>
          <w:b/>
          <w:caps/>
          <w:lang w:eastAsia="lt-LT"/>
        </w:rPr>
        <w:t xml:space="preserve">1 D. NUTARIMO nR. </w:t>
      </w:r>
      <w:r w:rsidR="00E61DC6">
        <w:rPr>
          <w:b/>
          <w:caps/>
          <w:lang w:eastAsia="lt-LT"/>
        </w:rPr>
        <w:t>188</w:t>
      </w:r>
      <w:r>
        <w:rPr>
          <w:b/>
          <w:caps/>
          <w:lang w:eastAsia="lt-LT"/>
        </w:rPr>
        <w:t xml:space="preserve"> „</w:t>
      </w:r>
      <w:r w:rsidR="00E61DC6" w:rsidRPr="00E61DC6">
        <w:rPr>
          <w:b/>
          <w:bCs/>
          <w:caps/>
          <w:lang w:eastAsia="lt-LT"/>
        </w:rPr>
        <w:t>DĖL PRELIMINARAUS VALSTYBĖS FINANSUOJAMŲ PIRMOSIOS PAKOPOS IR VIENTISŲJŲ STUDIJŲ, ANTROSIOS PAKOPOS, DOKTORANTŪROS, PROFESINIŲ STUDIJŲ VIETŲ, Į KURIAS 2021 METAIS PRIIMAMI STUDENTAI, SKAIČIAUS, STUDIJŲ STIPENDIJŲ SKAIČIAUS IR SKIRIAMO VALSTYBĖS FINANSAVIMO PAGAL STUDIJŲ KRYPČIŲ GRUPES, MOKSLO, MENO SRITIS SĄRAŠŲ PATVIRTINIMO</w:t>
      </w:r>
      <w:r>
        <w:rPr>
          <w:b/>
          <w:caps/>
          <w:lang w:eastAsia="lt-LT"/>
        </w:rPr>
        <w:t>“ PAKEITIMO</w:t>
      </w:r>
    </w:p>
    <w:p w14:paraId="31F47965" w14:textId="77777777" w:rsidR="00BD4B3F" w:rsidRDefault="00BD4B3F">
      <w:pPr>
        <w:jc w:val="center"/>
        <w:rPr>
          <w:b/>
          <w:caps/>
          <w:lang w:eastAsia="lt-LT"/>
        </w:rPr>
      </w:pPr>
    </w:p>
    <w:p w14:paraId="0AE1E3BF" w14:textId="7ED7D099" w:rsidR="00BD4B3F" w:rsidRDefault="001465C1">
      <w:pPr>
        <w:jc w:val="center"/>
        <w:rPr>
          <w:lang w:eastAsia="lt-LT"/>
        </w:rPr>
      </w:pPr>
      <w:r>
        <w:rPr>
          <w:lang w:eastAsia="lt-LT"/>
        </w:rPr>
        <w:t>202</w:t>
      </w:r>
      <w:r w:rsidR="00E61DC6">
        <w:rPr>
          <w:lang w:eastAsia="lt-LT"/>
        </w:rPr>
        <w:t>1</w:t>
      </w:r>
      <w:r>
        <w:rPr>
          <w:lang w:eastAsia="lt-LT"/>
        </w:rPr>
        <w:t xml:space="preserve"> m.                            d. Nr. </w:t>
      </w:r>
    </w:p>
    <w:p w14:paraId="16EAD7E0" w14:textId="77777777" w:rsidR="00BD4B3F" w:rsidRDefault="001465C1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4A687CC6" w14:textId="77777777" w:rsidR="00BD4B3F" w:rsidRDefault="00BD4B3F">
      <w:pPr>
        <w:jc w:val="center"/>
        <w:rPr>
          <w:lang w:eastAsia="lt-LT"/>
        </w:rPr>
      </w:pPr>
    </w:p>
    <w:p w14:paraId="25878DF3" w14:textId="77777777" w:rsidR="00BD4B3F" w:rsidRDefault="00BD4B3F">
      <w:pPr>
        <w:jc w:val="center"/>
        <w:rPr>
          <w:lang w:eastAsia="lt-LT"/>
        </w:rPr>
      </w:pPr>
    </w:p>
    <w:p w14:paraId="5C5D6AD5" w14:textId="77777777" w:rsidR="00BD4B3F" w:rsidRDefault="001465C1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1DB0DA06" w14:textId="162A761F" w:rsidR="00E61DC6" w:rsidRDefault="001465C1">
      <w:pPr>
        <w:ind w:firstLine="720"/>
        <w:jc w:val="both"/>
        <w:rPr>
          <w:color w:val="000000"/>
          <w:szCs w:val="24"/>
        </w:rPr>
      </w:pPr>
      <w:r>
        <w:rPr>
          <w:szCs w:val="24"/>
          <w:lang w:eastAsia="lt-LT"/>
        </w:rPr>
        <w:t xml:space="preserve">Pakeisti </w:t>
      </w:r>
      <w:r w:rsidR="00CC4F2F" w:rsidRPr="00E61DC6">
        <w:rPr>
          <w:color w:val="000000"/>
          <w:szCs w:val="24"/>
        </w:rPr>
        <w:t>Preliminaraus valstybės finansuojamų antrosios pakopos studijų vietų ir profesinių studijų vietų, į kurias 2021 metais priimami studentai, skaičiaus, studijų stipendijų skaičiaus ir skiriamo valstybės finansavimo pagal studijų krypčių grupes sąraš</w:t>
      </w:r>
      <w:r w:rsidR="00CC4F2F">
        <w:rPr>
          <w:color w:val="000000"/>
          <w:szCs w:val="24"/>
        </w:rPr>
        <w:t xml:space="preserve">ą, patvirtintą </w:t>
      </w:r>
      <w:r>
        <w:rPr>
          <w:color w:val="000000"/>
          <w:szCs w:val="24"/>
        </w:rPr>
        <w:t>Lietuvos Respublikos Vyriausybės 202</w:t>
      </w:r>
      <w:r w:rsidR="00E61DC6">
        <w:rPr>
          <w:color w:val="000000"/>
          <w:szCs w:val="24"/>
        </w:rPr>
        <w:t>1</w:t>
      </w:r>
      <w:r>
        <w:rPr>
          <w:color w:val="000000"/>
          <w:szCs w:val="24"/>
        </w:rPr>
        <w:t xml:space="preserve"> m. </w:t>
      </w:r>
      <w:r w:rsidR="00E61DC6">
        <w:rPr>
          <w:color w:val="000000"/>
          <w:szCs w:val="24"/>
        </w:rPr>
        <w:t>kovo</w:t>
      </w:r>
      <w:r>
        <w:rPr>
          <w:color w:val="000000"/>
          <w:szCs w:val="24"/>
        </w:rPr>
        <w:t xml:space="preserve"> </w:t>
      </w:r>
      <w:r w:rsidR="00E61DC6">
        <w:rPr>
          <w:color w:val="000000"/>
          <w:szCs w:val="24"/>
        </w:rPr>
        <w:t>3</w:t>
      </w:r>
      <w:r>
        <w:rPr>
          <w:color w:val="000000"/>
          <w:szCs w:val="24"/>
        </w:rPr>
        <w:t>1 d. nutarim</w:t>
      </w:r>
      <w:r w:rsidR="00CC4F2F">
        <w:rPr>
          <w:color w:val="000000"/>
          <w:szCs w:val="24"/>
        </w:rPr>
        <w:t>u</w:t>
      </w:r>
      <w:r>
        <w:rPr>
          <w:color w:val="000000"/>
          <w:szCs w:val="24"/>
        </w:rPr>
        <w:t xml:space="preserve"> Nr. </w:t>
      </w:r>
      <w:r w:rsidR="00E61DC6">
        <w:rPr>
          <w:color w:val="000000"/>
          <w:szCs w:val="24"/>
        </w:rPr>
        <w:t>188</w:t>
      </w:r>
      <w:r>
        <w:rPr>
          <w:color w:val="000000"/>
          <w:szCs w:val="24"/>
        </w:rPr>
        <w:t xml:space="preserve"> „Dėl preliminaraus valstybės finansuojamų pirmosios pakopos ir vientisųjų studijų, antrosios pakopos, doktorantūros, profesinių studijų vietų, į kurias 202</w:t>
      </w:r>
      <w:r w:rsidR="00E61DC6">
        <w:rPr>
          <w:color w:val="000000"/>
          <w:szCs w:val="24"/>
        </w:rPr>
        <w:t>1</w:t>
      </w:r>
      <w:r>
        <w:rPr>
          <w:color w:val="000000"/>
          <w:szCs w:val="24"/>
        </w:rPr>
        <w:t xml:space="preserve"> metais priimami studentai, skaičiaus, studijų stipendijų skaičiaus ir skiriamo valstybės finansavimo pagal studijų krypčių grupes, mokslo, meno sritis sąrašų patvirtinimo“</w:t>
      </w:r>
      <w:r w:rsidR="00CC4F2F">
        <w:rPr>
          <w:color w:val="000000"/>
          <w:szCs w:val="24"/>
        </w:rPr>
        <w:t xml:space="preserve"> ir </w:t>
      </w:r>
      <w:r w:rsidR="00AC21FE">
        <w:rPr>
          <w:color w:val="000000"/>
          <w:szCs w:val="24"/>
        </w:rPr>
        <w:t>išdėstyti jį nauja redakcija (pridedama).</w:t>
      </w:r>
      <w:bookmarkStart w:id="0" w:name="_Hlk70423360"/>
    </w:p>
    <w:p w14:paraId="5A84828A" w14:textId="77777777" w:rsidR="00CC4F2F" w:rsidRDefault="00CC4F2F">
      <w:pPr>
        <w:ind w:firstLine="720"/>
        <w:jc w:val="both"/>
        <w:rPr>
          <w:color w:val="000000"/>
          <w:szCs w:val="24"/>
        </w:rPr>
      </w:pPr>
    </w:p>
    <w:bookmarkEnd w:id="0"/>
    <w:p w14:paraId="2EB70C9C" w14:textId="77777777" w:rsidR="00BD4B3F" w:rsidRDefault="00BD4B3F">
      <w:pPr>
        <w:tabs>
          <w:tab w:val="center" w:pos="-7800"/>
          <w:tab w:val="left" w:pos="6237"/>
          <w:tab w:val="right" w:pos="8306"/>
        </w:tabs>
      </w:pPr>
    </w:p>
    <w:p w14:paraId="3F6B7A7D" w14:textId="77777777" w:rsidR="00BD4B3F" w:rsidRDefault="00BD4B3F">
      <w:pPr>
        <w:tabs>
          <w:tab w:val="center" w:pos="-7800"/>
          <w:tab w:val="left" w:pos="6237"/>
          <w:tab w:val="right" w:pos="8306"/>
        </w:tabs>
      </w:pPr>
    </w:p>
    <w:p w14:paraId="1946E1A2" w14:textId="77777777" w:rsidR="00BD4B3F" w:rsidRDefault="001465C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4F4ABD9F" w14:textId="77777777" w:rsidR="00BD4B3F" w:rsidRDefault="00BD4B3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1595854" w14:textId="77777777" w:rsidR="00BD4B3F" w:rsidRDefault="00BD4B3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B9E40A4" w14:textId="77777777" w:rsidR="00BD4B3F" w:rsidRDefault="00BD4B3F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7BFDBF4" w14:textId="77777777" w:rsidR="00361A2C" w:rsidRDefault="001465C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Švietimo, mokslo ir sporto ministras</w:t>
      </w:r>
    </w:p>
    <w:p w14:paraId="63C1572B" w14:textId="77777777" w:rsidR="00361A2C" w:rsidRDefault="00361A2C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77BEC57" w14:textId="77777777" w:rsidR="00361A2C" w:rsidRDefault="00361A2C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DAE3F59" w14:textId="77777777" w:rsidR="00361A2C" w:rsidRDefault="00361A2C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122C146" w14:textId="20C13C62" w:rsidR="00BD4B3F" w:rsidRDefault="001465C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p w14:paraId="0D5D7CBD" w14:textId="77777777" w:rsidR="00BD4B3F" w:rsidRDefault="00BD4B3F">
      <w:pPr>
        <w:tabs>
          <w:tab w:val="left" w:pos="9090"/>
        </w:tabs>
        <w:ind w:left="5245"/>
        <w:sectPr w:rsidR="00BD4B3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 w:code="9"/>
          <w:pgMar w:top="1134" w:right="567" w:bottom="851" w:left="1418" w:header="567" w:footer="567" w:gutter="0"/>
          <w:cols w:space="1296"/>
          <w:titlePg/>
          <w:docGrid w:linePitch="326"/>
        </w:sectPr>
      </w:pPr>
    </w:p>
    <w:p w14:paraId="189B85B3" w14:textId="77777777" w:rsidR="00BD4B3F" w:rsidRDefault="001465C1" w:rsidP="00361A2C">
      <w:pPr>
        <w:tabs>
          <w:tab w:val="left" w:pos="6804"/>
        </w:tabs>
        <w:ind w:left="10773"/>
        <w:rPr>
          <w:lang w:eastAsia="ar-SA"/>
        </w:rPr>
      </w:pPr>
      <w:r>
        <w:rPr>
          <w:lang w:eastAsia="ar-SA"/>
        </w:rPr>
        <w:lastRenderedPageBreak/>
        <w:t>PATVIRTINTA</w:t>
      </w:r>
    </w:p>
    <w:p w14:paraId="2164CFDD" w14:textId="607B348D" w:rsidR="00BD4B3F" w:rsidRDefault="001465C1" w:rsidP="00361A2C">
      <w:pPr>
        <w:tabs>
          <w:tab w:val="left" w:pos="6804"/>
        </w:tabs>
        <w:ind w:left="10773"/>
        <w:rPr>
          <w:szCs w:val="24"/>
        </w:rPr>
      </w:pPr>
      <w:r>
        <w:rPr>
          <w:lang w:eastAsia="ar-SA"/>
        </w:rPr>
        <w:t>Lietuvos Respublikos Vyriausybės</w:t>
      </w:r>
      <w:r>
        <w:rPr>
          <w:lang w:eastAsia="ar-SA"/>
        </w:rPr>
        <w:br/>
      </w:r>
      <w:r>
        <w:rPr>
          <w:lang w:eastAsia="lt-LT"/>
        </w:rPr>
        <w:t>202</w:t>
      </w:r>
      <w:r w:rsidR="00361A2C">
        <w:rPr>
          <w:lang w:val="en-US" w:eastAsia="lt-LT"/>
        </w:rPr>
        <w:t>1</w:t>
      </w:r>
      <w:r>
        <w:rPr>
          <w:lang w:eastAsia="lt-LT"/>
        </w:rPr>
        <w:t xml:space="preserve"> m. </w:t>
      </w:r>
      <w:r w:rsidR="00361A2C">
        <w:rPr>
          <w:lang w:eastAsia="lt-LT"/>
        </w:rPr>
        <w:t>kovo 3</w:t>
      </w:r>
      <w:r>
        <w:rPr>
          <w:lang w:eastAsia="lt-LT"/>
        </w:rPr>
        <w:t xml:space="preserve">1 d. </w:t>
      </w:r>
      <w:r>
        <w:rPr>
          <w:szCs w:val="24"/>
        </w:rPr>
        <w:t xml:space="preserve">nutarimu Nr. </w:t>
      </w:r>
      <w:r w:rsidR="00361A2C">
        <w:rPr>
          <w:szCs w:val="24"/>
        </w:rPr>
        <w:t>188</w:t>
      </w:r>
      <w:r>
        <w:rPr>
          <w:szCs w:val="24"/>
        </w:rPr>
        <w:t xml:space="preserve"> </w:t>
      </w:r>
    </w:p>
    <w:p w14:paraId="33870EBA" w14:textId="77777777" w:rsidR="00BD4B3F" w:rsidRDefault="001465C1" w:rsidP="00361A2C">
      <w:pPr>
        <w:tabs>
          <w:tab w:val="left" w:pos="6804"/>
        </w:tabs>
        <w:ind w:left="10773"/>
        <w:rPr>
          <w:szCs w:val="24"/>
        </w:rPr>
      </w:pPr>
      <w:r>
        <w:rPr>
          <w:szCs w:val="24"/>
          <w:lang w:eastAsia="lt-LT"/>
        </w:rPr>
        <w:t>(Lietuvos Respublikos Vyriausybės</w:t>
      </w:r>
    </w:p>
    <w:p w14:paraId="5F4CCD4F" w14:textId="07A60E00" w:rsidR="00BD4B3F" w:rsidRDefault="001465C1" w:rsidP="00361A2C">
      <w:pPr>
        <w:tabs>
          <w:tab w:val="left" w:pos="6804"/>
        </w:tabs>
        <w:ind w:left="10773"/>
        <w:rPr>
          <w:szCs w:val="24"/>
        </w:rPr>
      </w:pPr>
      <w:r>
        <w:rPr>
          <w:szCs w:val="24"/>
          <w:lang w:eastAsia="lt-LT"/>
        </w:rPr>
        <w:t>202</w:t>
      </w:r>
      <w:r w:rsidR="00361A2C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m.                  d. nutarimo Nr. </w:t>
      </w:r>
    </w:p>
    <w:p w14:paraId="206D4471" w14:textId="77777777" w:rsidR="00BD4B3F" w:rsidRDefault="001465C1" w:rsidP="00361A2C">
      <w:pPr>
        <w:tabs>
          <w:tab w:val="left" w:pos="6804"/>
        </w:tabs>
        <w:ind w:left="10773"/>
        <w:rPr>
          <w:szCs w:val="24"/>
        </w:rPr>
      </w:pPr>
      <w:r>
        <w:rPr>
          <w:szCs w:val="24"/>
          <w:lang w:eastAsia="lt-LT"/>
        </w:rPr>
        <w:t>redakcija)</w:t>
      </w:r>
    </w:p>
    <w:p w14:paraId="5E6EDBC5" w14:textId="78FAF55F" w:rsidR="00361A2C" w:rsidRPr="00361A2C" w:rsidRDefault="001465C1" w:rsidP="00361A2C">
      <w:pPr>
        <w:tabs>
          <w:tab w:val="left" w:pos="6804"/>
        </w:tabs>
        <w:ind w:left="10773"/>
        <w:rPr>
          <w:b/>
        </w:rPr>
      </w:pPr>
      <w:r>
        <w:rPr>
          <w:lang w:eastAsia="lt-LT"/>
        </w:rPr>
        <w:br/>
      </w:r>
    </w:p>
    <w:p w14:paraId="5DF1EBA2" w14:textId="77777777" w:rsidR="00361A2C" w:rsidRPr="00361A2C" w:rsidRDefault="00361A2C" w:rsidP="00361A2C">
      <w:pPr>
        <w:tabs>
          <w:tab w:val="left" w:pos="6237"/>
          <w:tab w:val="right" w:pos="8306"/>
        </w:tabs>
        <w:jc w:val="center"/>
        <w:rPr>
          <w:b/>
        </w:rPr>
      </w:pPr>
      <w:r w:rsidRPr="00361A2C">
        <w:rPr>
          <w:b/>
        </w:rPr>
        <w:t>PRELIMINARAUS VALSTYBĖS FINANSUOJAMŲ ANTROSIOS PAKOPOS STUDIJŲ VIETŲ IR PROFESINIŲ STUDIJŲ VIETŲ, Į KURIAS 2021 METAIS PRIIMAMI STUDENTAI, SKAIČIAUS, STUDIJŲ STIPENDIJŲ SKAIČIAUS IR SKIRIAMO VALSTYBĖS FINANSAVIMO PAGAL STUDIJŲ KRYPČIŲ GRUPES</w:t>
      </w:r>
      <w:r w:rsidRPr="00361A2C">
        <w:t xml:space="preserve"> </w:t>
      </w:r>
      <w:r w:rsidRPr="00361A2C">
        <w:rPr>
          <w:b/>
        </w:rPr>
        <w:t>SĄRAŠAS</w:t>
      </w:r>
    </w:p>
    <w:tbl>
      <w:tblPr>
        <w:tblpPr w:leftFromText="180" w:rightFromText="180" w:vertAnchor="text" w:horzAnchor="page" w:tblpX="1186" w:tblpY="225"/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268"/>
        <w:gridCol w:w="1418"/>
        <w:gridCol w:w="1701"/>
        <w:gridCol w:w="1559"/>
        <w:gridCol w:w="2527"/>
      </w:tblGrid>
      <w:tr w:rsidR="00361A2C" w:rsidRPr="00361A2C" w14:paraId="075D8713" w14:textId="77777777" w:rsidTr="00D8166E">
        <w:trPr>
          <w:trHeight w:val="755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24E9823D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>Studijų krypčių grupės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D363694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>Preliminarus valstybės finansuojamų antrosios pakopos studijų vietų skaičius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3D88C22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>Preliminarus  antrosios pakopos studijų stipendijų skaičius</w:t>
            </w:r>
          </w:p>
        </w:tc>
        <w:tc>
          <w:tcPr>
            <w:tcW w:w="3686" w:type="dxa"/>
            <w:gridSpan w:val="2"/>
            <w:vAlign w:val="center"/>
          </w:tcPr>
          <w:p w14:paraId="7584A8F3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>Planuojama Lietuvos Respublikos valstybės biudžeto lėšų antrosios pakopos studijų studentų, įstojusių į aukštąsias mokyklas 2021 metais</w:t>
            </w:r>
          </w:p>
        </w:tc>
        <w:tc>
          <w:tcPr>
            <w:tcW w:w="1701" w:type="dxa"/>
            <w:vMerge w:val="restart"/>
            <w:vAlign w:val="center"/>
          </w:tcPr>
          <w:p w14:paraId="7D525FBF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>Studijų krypčių grupės</w:t>
            </w:r>
          </w:p>
        </w:tc>
        <w:tc>
          <w:tcPr>
            <w:tcW w:w="1559" w:type="dxa"/>
            <w:vMerge w:val="restart"/>
            <w:vAlign w:val="center"/>
          </w:tcPr>
          <w:p w14:paraId="5C300AC3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>Preliminarus valstybės finansuojamų   profesinių studijų vietų skaičius</w:t>
            </w:r>
          </w:p>
        </w:tc>
        <w:tc>
          <w:tcPr>
            <w:tcW w:w="2527" w:type="dxa"/>
            <w:vMerge w:val="restart"/>
          </w:tcPr>
          <w:p w14:paraId="3A19B5BB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>Planuojama Lietuvos Respublikos valstybės biudžeto lėšų profesinių studijų studentų, įstojusių į aukštąsias mokyklas 2021 metais, studijoms valstybės finansuojamose studijų vietose (tūkst. eurų)</w:t>
            </w:r>
          </w:p>
        </w:tc>
      </w:tr>
      <w:tr w:rsidR="00361A2C" w:rsidRPr="00361A2C" w14:paraId="463F0803" w14:textId="77777777" w:rsidTr="00D8166E">
        <w:trPr>
          <w:trHeight w:val="75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14:paraId="2A13A9F6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F6C15D6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08E99EC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9B3AAC7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>studijoms valstybės finansuojamose studijų vietose</w:t>
            </w:r>
          </w:p>
          <w:p w14:paraId="7CAB8F66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>(tūkst. eurų)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A93237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>studijų stipendijoms</w:t>
            </w:r>
          </w:p>
          <w:p w14:paraId="61F8530D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>(tūkst. eurų)</w:t>
            </w:r>
          </w:p>
        </w:tc>
        <w:tc>
          <w:tcPr>
            <w:tcW w:w="1701" w:type="dxa"/>
            <w:vMerge/>
            <w:vAlign w:val="center"/>
          </w:tcPr>
          <w:p w14:paraId="0E970938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5349679C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14:paraId="4218A357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</w:p>
        </w:tc>
      </w:tr>
      <w:tr w:rsidR="00361A2C" w:rsidRPr="00361A2C" w14:paraId="31C21BBD" w14:textId="77777777" w:rsidTr="00D8166E">
        <w:trPr>
          <w:trHeight w:val="841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14:paraId="7B2338E6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>Fiziniai mokslai</w:t>
            </w:r>
          </w:p>
          <w:p w14:paraId="114AB948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 xml:space="preserve">Gyvybės mokslai </w:t>
            </w:r>
          </w:p>
          <w:p w14:paraId="7AB2BE05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>Humanitariniai mokslai</w:t>
            </w:r>
          </w:p>
          <w:p w14:paraId="3630AEDE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 xml:space="preserve">Informatikos mokslai </w:t>
            </w:r>
          </w:p>
          <w:p w14:paraId="04B1479B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>Inžinerijos mokslai</w:t>
            </w:r>
          </w:p>
          <w:p w14:paraId="2014A754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 xml:space="preserve">Matematikos mokslai </w:t>
            </w:r>
          </w:p>
          <w:p w14:paraId="536406D3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>Menai</w:t>
            </w:r>
          </w:p>
          <w:p w14:paraId="3F66A72B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 xml:space="preserve">Socialiniai mokslai </w:t>
            </w:r>
          </w:p>
          <w:p w14:paraId="6027E048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 xml:space="preserve">Sportas </w:t>
            </w:r>
          </w:p>
          <w:p w14:paraId="74D404D1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 xml:space="preserve">Sveikatos mokslai </w:t>
            </w:r>
          </w:p>
          <w:p w14:paraId="04C9BDE4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>Technologijų mokslai</w:t>
            </w:r>
          </w:p>
          <w:p w14:paraId="4A867FF6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>Teisė</w:t>
            </w:r>
          </w:p>
          <w:p w14:paraId="24E7D9AF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>Ugdymo mokslai</w:t>
            </w:r>
          </w:p>
          <w:p w14:paraId="6D96D5D4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 xml:space="preserve">Verslo ir viešoji vadyba </w:t>
            </w:r>
          </w:p>
          <w:p w14:paraId="4E961C40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 xml:space="preserve">Veterinarijos mokslai </w:t>
            </w:r>
          </w:p>
          <w:p w14:paraId="6FC6B55D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 xml:space="preserve">Žemės ūkio mokslai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528A320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</w:p>
          <w:p w14:paraId="7306E3A8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>3 772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A58867C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</w:p>
          <w:p w14:paraId="612C36F6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>36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455521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>6 019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DFC40F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>54</w:t>
            </w:r>
          </w:p>
        </w:tc>
        <w:tc>
          <w:tcPr>
            <w:tcW w:w="1701" w:type="dxa"/>
            <w:vAlign w:val="center"/>
          </w:tcPr>
          <w:p w14:paraId="21712AAC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</w:p>
          <w:p w14:paraId="0D7EDD4E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>Ugdymo mokslai</w:t>
            </w:r>
          </w:p>
        </w:tc>
        <w:tc>
          <w:tcPr>
            <w:tcW w:w="1559" w:type="dxa"/>
            <w:vAlign w:val="center"/>
          </w:tcPr>
          <w:p w14:paraId="56FCC47D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</w:p>
          <w:p w14:paraId="3A0AD05E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>200</w:t>
            </w:r>
          </w:p>
        </w:tc>
        <w:tc>
          <w:tcPr>
            <w:tcW w:w="2527" w:type="dxa"/>
            <w:vAlign w:val="center"/>
          </w:tcPr>
          <w:p w14:paraId="4BE881A3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>229</w:t>
            </w:r>
          </w:p>
        </w:tc>
      </w:tr>
      <w:tr w:rsidR="00361A2C" w:rsidRPr="00361A2C" w14:paraId="6B89C5C9" w14:textId="77777777" w:rsidTr="00D8166E">
        <w:trPr>
          <w:trHeight w:val="1637"/>
        </w:trPr>
        <w:tc>
          <w:tcPr>
            <w:tcW w:w="2547" w:type="dxa"/>
            <w:vMerge/>
            <w:shd w:val="clear" w:color="auto" w:fill="auto"/>
            <w:vAlign w:val="center"/>
          </w:tcPr>
          <w:p w14:paraId="7EAEED1C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7CB4801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961984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55DBDE9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84B6F49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FC9D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 xml:space="preserve">Sveikatos mokslai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FC9B" w14:textId="640AEA85" w:rsidR="00361A2C" w:rsidRPr="00361A2C" w:rsidRDefault="001B64B3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1B64B3">
              <w:rPr>
                <w:strike/>
                <w:sz w:val="22"/>
                <w:szCs w:val="22"/>
              </w:rPr>
              <w:t>332</w:t>
            </w:r>
            <w:r>
              <w:rPr>
                <w:sz w:val="22"/>
                <w:szCs w:val="22"/>
              </w:rPr>
              <w:t xml:space="preserve"> </w:t>
            </w:r>
            <w:r w:rsidR="00622B2F">
              <w:rPr>
                <w:b/>
                <w:bCs/>
                <w:sz w:val="22"/>
                <w:szCs w:val="22"/>
              </w:rPr>
              <w:t>377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C3E3" w14:textId="0A49EC02" w:rsidR="00361A2C" w:rsidRPr="00361A2C" w:rsidRDefault="001B64B3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1B64B3">
              <w:rPr>
                <w:strike/>
                <w:sz w:val="22"/>
                <w:szCs w:val="22"/>
              </w:rPr>
              <w:t>2564</w:t>
            </w:r>
            <w:r>
              <w:rPr>
                <w:sz w:val="22"/>
                <w:szCs w:val="22"/>
              </w:rPr>
              <w:t xml:space="preserve"> </w:t>
            </w:r>
            <w:r w:rsidR="00361A2C" w:rsidRPr="00361A2C">
              <w:rPr>
                <w:b/>
                <w:bCs/>
                <w:sz w:val="22"/>
                <w:szCs w:val="22"/>
              </w:rPr>
              <w:t>2</w:t>
            </w:r>
            <w:r w:rsidR="00622B2F">
              <w:rPr>
                <w:b/>
                <w:bCs/>
                <w:sz w:val="22"/>
                <w:szCs w:val="22"/>
              </w:rPr>
              <w:t>907</w:t>
            </w:r>
          </w:p>
        </w:tc>
      </w:tr>
      <w:tr w:rsidR="00361A2C" w:rsidRPr="00361A2C" w14:paraId="53BD97D0" w14:textId="77777777" w:rsidTr="00D8166E">
        <w:trPr>
          <w:trHeight w:val="1637"/>
        </w:trPr>
        <w:tc>
          <w:tcPr>
            <w:tcW w:w="2547" w:type="dxa"/>
            <w:vMerge/>
            <w:shd w:val="clear" w:color="auto" w:fill="auto"/>
            <w:vAlign w:val="center"/>
          </w:tcPr>
          <w:p w14:paraId="1F75A68F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F837D35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2676279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3399E7E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481F5DA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A13D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 xml:space="preserve">Veterinarijos mokslai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60FF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>14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0D8D" w14:textId="77777777" w:rsidR="00361A2C" w:rsidRPr="00361A2C" w:rsidRDefault="00361A2C" w:rsidP="00361A2C">
            <w:pPr>
              <w:tabs>
                <w:tab w:val="left" w:pos="6237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361A2C">
              <w:rPr>
                <w:sz w:val="22"/>
                <w:szCs w:val="22"/>
              </w:rPr>
              <w:t>148</w:t>
            </w:r>
          </w:p>
        </w:tc>
      </w:tr>
    </w:tbl>
    <w:p w14:paraId="309CE857" w14:textId="77777777" w:rsidR="00BD4B3F" w:rsidRDefault="001465C1">
      <w:pPr>
        <w:tabs>
          <w:tab w:val="left" w:pos="6237"/>
          <w:tab w:val="right" w:pos="8306"/>
        </w:tabs>
        <w:jc w:val="center"/>
        <w:rPr>
          <w:color w:val="000000"/>
          <w:szCs w:val="24"/>
          <w:lang w:eastAsia="lt-LT"/>
        </w:rPr>
      </w:pPr>
      <w:r>
        <w:t>––––––––––––––––––––</w:t>
      </w:r>
    </w:p>
    <w:sectPr w:rsidR="00BD4B3F" w:rsidSect="00361A2C">
      <w:pgSz w:w="16838" w:h="11906" w:orient="landscape" w:code="9"/>
      <w:pgMar w:top="709" w:right="1134" w:bottom="567" w:left="85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80519" w14:textId="77777777" w:rsidR="005B5C75" w:rsidRDefault="005B5C75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F2F9DFA" w14:textId="77777777" w:rsidR="005B5C75" w:rsidRDefault="005B5C75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BE93" w14:textId="77777777" w:rsidR="00BD4B3F" w:rsidRDefault="00BD4B3F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5928" w14:textId="77777777" w:rsidR="00BD4B3F" w:rsidRDefault="00BD4B3F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667A0" w14:textId="77777777" w:rsidR="005B5C75" w:rsidRDefault="005B5C75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9B2215A" w14:textId="77777777" w:rsidR="005B5C75" w:rsidRDefault="005B5C75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B810" w14:textId="77777777" w:rsidR="00BD4B3F" w:rsidRDefault="001465C1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PAGE  </w:instrText>
    </w:r>
    <w:r>
      <w:rPr>
        <w:lang w:val="en-US"/>
      </w:rPr>
      <w:fldChar w:fldCharType="end"/>
    </w:r>
  </w:p>
  <w:p w14:paraId="273E333A" w14:textId="77777777" w:rsidR="00BD4B3F" w:rsidRDefault="00BD4B3F">
    <w:pPr>
      <w:tabs>
        <w:tab w:val="center" w:pos="4153"/>
        <w:tab w:val="right" w:pos="8306"/>
      </w:tabs>
      <w:spacing w:after="200" w:line="276" w:lineRule="auto"/>
      <w:rPr>
        <w:lang w:val="en-US"/>
      </w:rPr>
    </w:pPr>
  </w:p>
  <w:p w14:paraId="184003D3" w14:textId="77777777" w:rsidR="00BD4B3F" w:rsidRDefault="00BD4B3F"/>
  <w:p w14:paraId="6ADF81A1" w14:textId="77777777" w:rsidR="00BD4B3F" w:rsidRDefault="00BD4B3F">
    <w:pPr>
      <w:spacing w:after="200" w:line="276" w:lineRule="auto"/>
      <w:rPr>
        <w:lang w:val="en-US"/>
      </w:rPr>
    </w:pPr>
  </w:p>
  <w:p w14:paraId="1B7CDE60" w14:textId="77777777" w:rsidR="00BD4B3F" w:rsidRDefault="00BD4B3F">
    <w:pPr>
      <w:spacing w:after="200" w:line="276" w:lineRule="aut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C636B" w14:textId="25B1411E" w:rsidR="00BD4B3F" w:rsidRDefault="00BD4B3F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val="en-US"/>
      </w:rPr>
    </w:pPr>
  </w:p>
  <w:p w14:paraId="765EED30" w14:textId="77777777" w:rsidR="00BD4B3F" w:rsidRDefault="00BD4B3F">
    <w:pPr>
      <w:tabs>
        <w:tab w:val="center" w:pos="4153"/>
        <w:tab w:val="right" w:pos="8306"/>
      </w:tabs>
      <w:spacing w:after="200" w:line="276" w:lineRule="aut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F2C0" w14:textId="04D2CA8D" w:rsidR="00361A2C" w:rsidRDefault="00361A2C">
    <w:pPr>
      <w:pStyle w:val="Antrats"/>
      <w:jc w:val="center"/>
    </w:pPr>
  </w:p>
  <w:p w14:paraId="766577BC" w14:textId="77777777" w:rsidR="00BD4B3F" w:rsidRDefault="00BD4B3F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131E9E"/>
    <w:rsid w:val="001465C1"/>
    <w:rsid w:val="0018481A"/>
    <w:rsid w:val="001B64B3"/>
    <w:rsid w:val="001D42CB"/>
    <w:rsid w:val="00272F3A"/>
    <w:rsid w:val="00361A2C"/>
    <w:rsid w:val="003B38FA"/>
    <w:rsid w:val="003D08DB"/>
    <w:rsid w:val="004C66E7"/>
    <w:rsid w:val="005B5C75"/>
    <w:rsid w:val="005C541D"/>
    <w:rsid w:val="00622B2F"/>
    <w:rsid w:val="0066123F"/>
    <w:rsid w:val="006B579E"/>
    <w:rsid w:val="00742794"/>
    <w:rsid w:val="007F51F4"/>
    <w:rsid w:val="008F22BA"/>
    <w:rsid w:val="00AC21FE"/>
    <w:rsid w:val="00BD4B3F"/>
    <w:rsid w:val="00C233C1"/>
    <w:rsid w:val="00CC4F2F"/>
    <w:rsid w:val="00E61DC6"/>
    <w:rsid w:val="00F6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DA9868"/>
  <w15:docId w15:val="{DEC4EA6D-1977-4BC6-A2C3-6E3F6B0B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61A2C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61A2C"/>
    <w:rPr>
      <w:rFonts w:asciiTheme="minorHAnsi" w:eastAsiaTheme="minorEastAsia" w:hAnsiTheme="minorHAnsi"/>
      <w:sz w:val="22"/>
      <w:szCs w:val="22"/>
      <w:lang w:eastAsia="lt-LT"/>
    </w:rPr>
  </w:style>
  <w:style w:type="paragraph" w:styleId="Porat">
    <w:name w:val="footer"/>
    <w:basedOn w:val="prastasis"/>
    <w:link w:val="PoratDiagrama"/>
    <w:unhideWhenUsed/>
    <w:rsid w:val="00361A2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61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6783CA-834B-4D10-B316-44B1A50E4B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0C910A-20FD-49CB-9147-29B600B8CD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3AE2F-223D-4152-B658-404834D1E9E3}"/>
</file>

<file path=customXml/itemProps4.xml><?xml version="1.0" encoding="utf-8"?>
<ds:datastoreItem xmlns:ds="http://schemas.openxmlformats.org/officeDocument/2006/customXml" ds:itemID="{4027D589-CD5D-4214-90DF-B0777CE1B8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1858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dfde42bf-02bc-498c-b62f-9d0bdfc845c5</vt:lpstr>
      <vt:lpstr>dfde42bf-02bc-498c-b62f-9d0bdfc845c5</vt:lpstr>
    </vt:vector>
  </TitlesOfParts>
  <Company>LRVK</Company>
  <LinksUpToDate>false</LinksUpToDate>
  <CharactersWithSpaces>2913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2021-05-11T05:29:00Z</dcterms:created>
  <dc:creator>lrvk</dc:creator>
  <cp:lastModifiedBy>Vipartienė Daiva | ŠMSM</cp:lastModifiedBy>
  <cp:lastPrinted>2017-12-01T08:52:00Z</cp:lastPrinted>
  <dcterms:modified xsi:type="dcterms:W3CDTF">2021-05-11T05:30:00Z</dcterms:modified>
  <cp:revision>4</cp:revision>
  <dc:title>08958459-db63-4bda-afe9-a07ba8cca450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