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Look w:val="0000" w:firstRow="0" w:lastRow="0" w:firstColumn="0" w:lastColumn="0" w:noHBand="0" w:noVBand="0"/>
      </w:tblPr>
      <w:tblGrid>
        <w:gridCol w:w="4068"/>
        <w:gridCol w:w="16"/>
      </w:tblGrid>
      <w:tr w:rsidR="00033F22" w:rsidTr="00D22A39">
        <w:trPr>
          <w:cantSplit/>
          <w:trHeight w:val="340"/>
        </w:trPr>
        <w:tc>
          <w:tcPr>
            <w:tcW w:w="4084" w:type="dxa"/>
            <w:gridSpan w:val="2"/>
          </w:tcPr>
          <w:p w:rsidR="00033F22" w:rsidRDefault="00820636" w:rsidP="00820636">
            <w:pPr>
              <w:framePr w:hSpace="180" w:wrap="around" w:vAnchor="text" w:hAnchor="page" w:x="7286" w:y="12"/>
              <w:ind w:right="24"/>
            </w:pPr>
            <w:r>
              <w:t xml:space="preserve">  </w:t>
            </w:r>
            <w:r w:rsidR="00033F22">
              <w:t>20</w:t>
            </w:r>
            <w:r w:rsidR="00935287">
              <w:t>1</w:t>
            </w:r>
            <w:r w:rsidR="00AD37E3">
              <w:t>9</w:t>
            </w:r>
            <w:r w:rsidR="00033F22">
              <w:t>-</w:t>
            </w:r>
            <w:r>
              <w:t>10-</w:t>
            </w:r>
            <w:r w:rsidR="004166BE">
              <w:t>17</w:t>
            </w:r>
            <w:r w:rsidR="00E75D83">
              <w:t xml:space="preserve"> </w:t>
            </w:r>
            <w:r>
              <w:t xml:space="preserve">   </w:t>
            </w:r>
            <w:r w:rsidR="00033F22">
              <w:t xml:space="preserve">Nr. </w:t>
            </w:r>
            <w:r w:rsidR="004166BE">
              <w:t xml:space="preserve"> (1.6E)2T-1054</w:t>
            </w:r>
          </w:p>
        </w:tc>
      </w:tr>
      <w:tr w:rsidR="00033F22" w:rsidTr="00D22A39">
        <w:trPr>
          <w:gridAfter w:val="1"/>
          <w:wAfter w:w="16" w:type="dxa"/>
          <w:cantSplit/>
          <w:trHeight w:val="340"/>
        </w:trPr>
        <w:tc>
          <w:tcPr>
            <w:tcW w:w="4068" w:type="dxa"/>
          </w:tcPr>
          <w:p w:rsidR="00033F22" w:rsidRDefault="00AD37E3" w:rsidP="00820636">
            <w:pPr>
              <w:framePr w:hSpace="180" w:wrap="around" w:vAnchor="text" w:hAnchor="page" w:x="7286" w:y="12"/>
              <w:ind w:right="24"/>
            </w:pPr>
            <w:r>
              <w:t>Į 2019</w:t>
            </w:r>
            <w:r w:rsidR="00E75D83">
              <w:t>-</w:t>
            </w:r>
            <w:r w:rsidR="00820636">
              <w:t>10-01</w:t>
            </w:r>
            <w:r w:rsidR="00E75D83">
              <w:t xml:space="preserve"> Nr.</w:t>
            </w:r>
            <w:r w:rsidR="00820636">
              <w:t xml:space="preserve"> 2D-3040 (12.147)</w:t>
            </w:r>
          </w:p>
        </w:tc>
      </w:tr>
    </w:tbl>
    <w:p w:rsidR="00E75D83" w:rsidRDefault="00D26C4D" w:rsidP="00E75D83">
      <w:pPr>
        <w:pStyle w:val="Adresas"/>
      </w:pPr>
      <w:r>
        <w:t xml:space="preserve">Lietuvos Respublikos žemės ūkio ministerijai </w:t>
      </w:r>
    </w:p>
    <w:p w:rsidR="00E75D83" w:rsidRDefault="00E75D83" w:rsidP="00E75D83">
      <w:pPr>
        <w:pStyle w:val="Adresas"/>
      </w:pPr>
    </w:p>
    <w:p w:rsidR="00E75D83" w:rsidRDefault="00E75D83" w:rsidP="00E75D83">
      <w:pPr>
        <w:pStyle w:val="Kopija"/>
        <w:ind w:right="279"/>
      </w:pPr>
    </w:p>
    <w:p w:rsidR="007C0395" w:rsidRPr="00CA1F17" w:rsidRDefault="007C0395" w:rsidP="00E75D83">
      <w:pPr>
        <w:pStyle w:val="Kopija"/>
        <w:ind w:right="279"/>
      </w:pPr>
    </w:p>
    <w:p w:rsidR="00E75D83" w:rsidRDefault="008056CE" w:rsidP="008056CE">
      <w:pPr>
        <w:jc w:val="both"/>
      </w:pPr>
      <w:r>
        <w:rPr>
          <w:b/>
          <w:caps/>
        </w:rPr>
        <w:t xml:space="preserve">DĖL </w:t>
      </w:r>
      <w:r w:rsidRPr="008056CE">
        <w:rPr>
          <w:b/>
          <w:caps/>
        </w:rPr>
        <w:t>Lietuvos Respublikos Vyriausybės nutarimo „Dėl Lietuvos Respublikos Vyriausybės 1999 m. kovo 9 d. nutarimo Nr. 260 ,,Dėl naudojamų kitos paskirties valstybinės žemės sklypų pardavimo ir nuomos“ pakeitimo“ projekt</w:t>
      </w:r>
      <w:r>
        <w:rPr>
          <w:b/>
          <w:caps/>
        </w:rPr>
        <w:t>o</w:t>
      </w:r>
    </w:p>
    <w:p w:rsidR="00E75D83" w:rsidRDefault="00E75D83" w:rsidP="0010593A">
      <w:pPr>
        <w:jc w:val="both"/>
      </w:pPr>
    </w:p>
    <w:p w:rsidR="008056CE" w:rsidRDefault="008056CE" w:rsidP="00E75D83">
      <w:pPr>
        <w:ind w:firstLine="1276"/>
        <w:jc w:val="both"/>
      </w:pPr>
      <w:r>
        <w:t xml:space="preserve">Lietuvos Respublikos teisingumo ministerija gavo išvadai gauti pateiktą </w:t>
      </w:r>
      <w:hyperlink r:id="rId8" w:history="1">
        <w:r w:rsidRPr="002A44A6">
          <w:rPr>
            <w:rStyle w:val="Hipersaitas"/>
          </w:rPr>
          <w:t>Lietuvos Respublikos Vyriausybės nutarimo „Dėl Lietuvos Respublikos Vyriausybės 1999 m. kovo 9 d. nutarimo Nr. 260 ,,Dėl naudojamų kitos paskirties valstybinės žemės sklypų pardavimo ir nuomos“ pakeitimo“ projektą</w:t>
        </w:r>
      </w:hyperlink>
      <w:r w:rsidRPr="008056CE">
        <w:t xml:space="preserve"> (toliau –</w:t>
      </w:r>
      <w:r w:rsidR="001348EA">
        <w:t xml:space="preserve"> P</w:t>
      </w:r>
      <w:r w:rsidRPr="008056CE">
        <w:t>rojektas).</w:t>
      </w:r>
      <w:r w:rsidR="001348EA">
        <w:t xml:space="preserve"> Pagal kompetenciją įvertinę Projektą teikiame pastabas ir pasiūlymus: </w:t>
      </w:r>
    </w:p>
    <w:p w:rsidR="00571C97" w:rsidRDefault="006B0D6C" w:rsidP="006B0D6C">
      <w:pPr>
        <w:pStyle w:val="Sraopastraipa"/>
        <w:numPr>
          <w:ilvl w:val="0"/>
          <w:numId w:val="12"/>
        </w:numPr>
        <w:ind w:left="0" w:firstLine="1134"/>
        <w:jc w:val="both"/>
      </w:pPr>
      <w:r>
        <w:t xml:space="preserve">Vadovaujantis Teisės aktų projektų rengimo rekomendacijų, patvirtintų </w:t>
      </w:r>
      <w:r w:rsidRPr="006B0D6C">
        <w:t>Lietuvos Respublikos teisingumo ministro</w:t>
      </w:r>
      <w:r>
        <w:t xml:space="preserve"> </w:t>
      </w:r>
      <w:r w:rsidRPr="006B0D6C">
        <w:t>2013 m. gruodžio 23 d. įsakymu Nr. 1R-298</w:t>
      </w:r>
      <w:r>
        <w:t xml:space="preserve">, 14 punktu siūlytina </w:t>
      </w:r>
      <w:r w:rsidRPr="006B0D6C">
        <w:t xml:space="preserve"> </w:t>
      </w:r>
      <w:r>
        <w:t xml:space="preserve">peržiūrėti ir tikslinti </w:t>
      </w:r>
      <w:r w:rsidR="00571C97" w:rsidRPr="00571C97">
        <w:t>Lietuvos Respublikos Vyriaus</w:t>
      </w:r>
      <w:r w:rsidR="00571C97">
        <w:t>ybės 1999 m. kovo 9 d.  nutarimą</w:t>
      </w:r>
      <w:r w:rsidR="00571C97" w:rsidRPr="00571C97">
        <w:t xml:space="preserve"> Nr. 260 „Dėl naudojamų kitos paskirties valstybinės žemės sklypų pardavimo ir nuomos“</w:t>
      </w:r>
      <w:r w:rsidR="00571C97">
        <w:t xml:space="preserve"> ir juo tvirtinamas</w:t>
      </w:r>
      <w:r w:rsidR="00571C97" w:rsidRPr="00571C97">
        <w:t xml:space="preserve"> </w:t>
      </w:r>
      <w:r w:rsidR="00571C97">
        <w:t>N</w:t>
      </w:r>
      <w:r w:rsidR="00571C97" w:rsidRPr="00571C97">
        <w:t>audojamų kitos paskirties valstybinės žemės sklypų pardavimo ir nuomos</w:t>
      </w:r>
      <w:r w:rsidR="00571C97">
        <w:t xml:space="preserve"> taisykles</w:t>
      </w:r>
      <w:r w:rsidR="00571C97" w:rsidRPr="00571C97">
        <w:t xml:space="preserve"> (toliau – Taisyklės)</w:t>
      </w:r>
      <w:r w:rsidR="00571C97">
        <w:t xml:space="preserve"> </w:t>
      </w:r>
      <w:r>
        <w:t>juose</w:t>
      </w:r>
      <w:r w:rsidR="00571C97">
        <w:t xml:space="preserve"> atsisakant oficialaus paskelbimo šaltinio nurodymo</w:t>
      </w:r>
      <w:r w:rsidR="00B04F06">
        <w:t>,</w:t>
      </w:r>
      <w:r w:rsidR="00571C97">
        <w:t xml:space="preserve"> kai teikiamos nuorodos į kitus teisės aktus</w:t>
      </w:r>
      <w:r w:rsidR="00464888">
        <w:t xml:space="preserve"> (pavyzdžiui, </w:t>
      </w:r>
      <w:r w:rsidR="006C0636">
        <w:t>Taisyklių 1, 15 punktai, 2.3 papunktis ir kt.</w:t>
      </w:r>
      <w:r w:rsidR="00464888">
        <w:t>)</w:t>
      </w:r>
      <w:r w:rsidR="006C0636">
        <w:t xml:space="preserve">. </w:t>
      </w:r>
      <w:r>
        <w:t xml:space="preserve"> </w:t>
      </w:r>
    </w:p>
    <w:p w:rsidR="008056CE" w:rsidRDefault="00E965EF" w:rsidP="000D613E">
      <w:pPr>
        <w:pStyle w:val="Sraopastraipa"/>
        <w:numPr>
          <w:ilvl w:val="0"/>
          <w:numId w:val="12"/>
        </w:numPr>
        <w:ind w:left="0" w:firstLine="1134"/>
        <w:jc w:val="both"/>
      </w:pPr>
      <w:r>
        <w:t xml:space="preserve">Rašte, kuriuo Projektas teikiamas išvadoms gauti, </w:t>
      </w:r>
      <w:r w:rsidR="000D613E">
        <w:t>nurodoma, kad Projekto „</w:t>
      </w:r>
      <w:r w:rsidR="000D613E" w:rsidRPr="000D613E">
        <w:t>įstatyminis pagrindas – teisėtas šioje žemėje esančių statinių valdymas</w:t>
      </w:r>
      <w:r w:rsidR="000D613E">
        <w:t>“</w:t>
      </w:r>
      <w:r w:rsidR="000D613E" w:rsidRPr="000D613E">
        <w:t xml:space="preserve">. </w:t>
      </w:r>
      <w:r w:rsidR="002C5950">
        <w:t xml:space="preserve">Siūlytina tikslinti pateikiamą informaciją, nes poįstatyminio teisės akto teisinis pagrindas </w:t>
      </w:r>
      <w:r w:rsidR="00132584">
        <w:t>gali būti</w:t>
      </w:r>
      <w:r w:rsidR="002C5950">
        <w:t xml:space="preserve"> įstatyme įtvirtintos nuostatos</w:t>
      </w:r>
      <w:r w:rsidR="00B04F06">
        <w:t>,</w:t>
      </w:r>
      <w:r w:rsidR="002C5950">
        <w:t xml:space="preserve"> tačiau </w:t>
      </w:r>
      <w:r w:rsidR="005F6C5D">
        <w:t xml:space="preserve">ne daikto </w:t>
      </w:r>
      <w:r w:rsidR="005F6C5D" w:rsidRPr="005F6C5D">
        <w:rPr>
          <w:i/>
        </w:rPr>
        <w:t>valdymo</w:t>
      </w:r>
      <w:r w:rsidR="005F6C5D">
        <w:t xml:space="preserve"> teisė. </w:t>
      </w:r>
    </w:p>
    <w:p w:rsidR="00FA1D93" w:rsidRDefault="00A02918" w:rsidP="00FA1D93">
      <w:pPr>
        <w:pStyle w:val="Sraopastraipa"/>
        <w:numPr>
          <w:ilvl w:val="0"/>
          <w:numId w:val="12"/>
        </w:numPr>
        <w:ind w:left="0" w:firstLine="1134"/>
        <w:jc w:val="both"/>
      </w:pPr>
      <w:r>
        <w:t xml:space="preserve">Siūlytina tikslinti </w:t>
      </w:r>
      <w:r w:rsidR="00513216">
        <w:t>rašte</w:t>
      </w:r>
      <w:r w:rsidRPr="00A02918">
        <w:t>, kuriuo Projektas teikiamas išvadoms gauti,</w:t>
      </w:r>
      <w:r w:rsidR="00513216">
        <w:t xml:space="preserve"> pateikiamą nuorodą į </w:t>
      </w:r>
      <w:r w:rsidR="00513216" w:rsidRPr="00513216">
        <w:t>Tais</w:t>
      </w:r>
      <w:r w:rsidR="00D1325E">
        <w:t>yklių</w:t>
      </w:r>
      <w:r w:rsidR="00513216" w:rsidRPr="00513216">
        <w:t xml:space="preserve"> 2.8 papunkt</w:t>
      </w:r>
      <w:r w:rsidR="00513216">
        <w:t xml:space="preserve">į, nes minima nuostata nemini </w:t>
      </w:r>
      <w:r w:rsidR="00513216" w:rsidRPr="00513216">
        <w:t>galimybė</w:t>
      </w:r>
      <w:r w:rsidR="00513216">
        <w:t>s</w:t>
      </w:r>
      <w:r w:rsidR="00513216" w:rsidRPr="00513216">
        <w:t xml:space="preserve"> </w:t>
      </w:r>
      <w:r w:rsidR="00ED0954">
        <w:t>„</w:t>
      </w:r>
      <w:r w:rsidR="00513216" w:rsidRPr="00513216">
        <w:t>esant daugiabučio namo savininkų pageidavimui, perduoti teisę sudaryti nuomos sutartį daugiabučio namo savininkų bendrijai</w:t>
      </w:r>
      <w:r w:rsidR="00513216">
        <w:t>“</w:t>
      </w:r>
      <w:r w:rsidR="00513216" w:rsidRPr="00513216">
        <w:t>.</w:t>
      </w:r>
    </w:p>
    <w:p w:rsidR="00E75D83" w:rsidRDefault="00247D30" w:rsidP="00FA1D93">
      <w:pPr>
        <w:pStyle w:val="Sraopastraipa"/>
        <w:numPr>
          <w:ilvl w:val="0"/>
          <w:numId w:val="12"/>
        </w:numPr>
        <w:ind w:left="0" w:firstLine="1134"/>
        <w:jc w:val="both"/>
      </w:pPr>
      <w:r>
        <w:t>Rašte</w:t>
      </w:r>
      <w:r w:rsidRPr="00A02918">
        <w:t>, kuriuo Projektas teikiamas išvadoms gauti</w:t>
      </w:r>
      <w:r>
        <w:t xml:space="preserve">, nurodoma, kad </w:t>
      </w:r>
      <w:r w:rsidR="004576D2">
        <w:t>„</w:t>
      </w:r>
      <w:r w:rsidR="001B4D55" w:rsidRPr="001B4D55">
        <w:t xml:space="preserve">Nacionalinės žemės tarnybos prie Žemės ūkio ministerijos siūlymu projektu </w:t>
      </w:r>
      <w:r w:rsidR="001B4D55" w:rsidRPr="00FA1D93">
        <w:rPr>
          <w:i/>
        </w:rPr>
        <w:t>naikinama pareiga pasirašyti žemės sklypo perdavimo ir priėmimo aktą</w:t>
      </w:r>
      <w:r w:rsidR="001B4D55" w:rsidRPr="001B4D55">
        <w:t>, nes praktikoje ši nuostata yra neveikianti – valstybinės žemės pirkimo–pardavimo sutartyje notarai paprastai nurodo, kad ši sutartis kartu yra ir perdavimo ir priėmimo aktas</w:t>
      </w:r>
      <w:r w:rsidR="004576D2">
        <w:t>“</w:t>
      </w:r>
      <w:r w:rsidR="001B4D55" w:rsidRPr="001B4D55">
        <w:t>.</w:t>
      </w:r>
      <w:r w:rsidR="00FE7043">
        <w:t xml:space="preserve"> </w:t>
      </w:r>
      <w:r w:rsidR="009D4288">
        <w:t>Pažymėtina, kad</w:t>
      </w:r>
      <w:r>
        <w:t xml:space="preserve"> nepaisant įprastos praktikos</w:t>
      </w:r>
      <w:r w:rsidR="000D2169">
        <w:t>, be to,</w:t>
      </w:r>
      <w:r>
        <w:t xml:space="preserve"> nesant kitų pagrįstų </w:t>
      </w:r>
      <w:r w:rsidR="000D2169">
        <w:t>a</w:t>
      </w:r>
      <w:r>
        <w:t>rgumentų, mūsų nuomone, toks</w:t>
      </w:r>
      <w:r w:rsidR="009D4288">
        <w:t xml:space="preserve"> </w:t>
      </w:r>
      <w:r w:rsidR="009D4288" w:rsidRPr="00624FFB">
        <w:t xml:space="preserve">siūlymas </w:t>
      </w:r>
      <w:r w:rsidRPr="00624FFB">
        <w:t xml:space="preserve">susiaurintų </w:t>
      </w:r>
      <w:r w:rsidR="009D4288" w:rsidRPr="00624FFB">
        <w:t>Lietuvos Respublikos civilinio kodekso</w:t>
      </w:r>
      <w:r w:rsidR="009D4288" w:rsidRPr="00247D30">
        <w:t xml:space="preserve"> </w:t>
      </w:r>
      <w:r w:rsidR="009D4288">
        <w:t xml:space="preserve">6.398 straipsnio 1 </w:t>
      </w:r>
      <w:r>
        <w:t>dalyje numatytas galimybes ne tik pasirinkti nekilnojamojo daikto perdavimo ir priėmimo akto įforminimo būdą, bet ir atskirti laike sutarties sudarymo momentą ir faktinį nekilnojamojo daikto perdavimo ir priėmimo momentą, kuris nebūtinai turi sutapti. Minėtoje Civilinio kodekso nuostatoje</w:t>
      </w:r>
      <w:r w:rsidR="009D4288">
        <w:t xml:space="preserve"> nurodoma, kad „nekilnojamojo daikto perdavimas ir jo priėmimas </w:t>
      </w:r>
      <w:r w:rsidR="009D4288" w:rsidRPr="00FA1D93">
        <w:rPr>
          <w:i/>
        </w:rPr>
        <w:t xml:space="preserve">turi būti įformintas pardavėjo ir pirkėjo pasirašytu priėmimo – perdavimo aktu </w:t>
      </w:r>
      <w:r w:rsidR="00B579CB">
        <w:t>arba kitokiu</w:t>
      </w:r>
      <w:r w:rsidR="009D4288">
        <w:t xml:space="preserve"> </w:t>
      </w:r>
      <w:r w:rsidR="009D4288" w:rsidRPr="001D6B60">
        <w:rPr>
          <w:i/>
        </w:rPr>
        <w:t>sutartyje</w:t>
      </w:r>
      <w:r w:rsidR="009D4288">
        <w:t xml:space="preserve"> nurodomu dokumentu</w:t>
      </w:r>
      <w:r w:rsidR="000675C0">
        <w:t>“</w:t>
      </w:r>
      <w:r w:rsidR="009D4288">
        <w:t xml:space="preserve">. </w:t>
      </w:r>
      <w:r w:rsidR="009A1010">
        <w:t xml:space="preserve">Vadovaujantis šia Civilinio kodekso nuostata </w:t>
      </w:r>
      <w:r>
        <w:t xml:space="preserve">ir juolab atsižvelgiant į tai, kad Taisyklių priedu yra patvirtintas valstybinės žemės pirkimo-pardavimo sutarties </w:t>
      </w:r>
      <w:r w:rsidRPr="00247D30">
        <w:rPr>
          <w:i/>
        </w:rPr>
        <w:t>pavyzdys</w:t>
      </w:r>
      <w:r>
        <w:t xml:space="preserve">, bet ne privaloma forma, </w:t>
      </w:r>
      <w:r w:rsidR="000D2169">
        <w:t xml:space="preserve">papildomai atkreipiame dėmesį, kad pritarus Projekto 9 punktu siūlomiems </w:t>
      </w:r>
      <w:r w:rsidR="000D2169">
        <w:lastRenderedPageBreak/>
        <w:t xml:space="preserve">Taisyklių 22 punkto pakeitimams, tuo atveju, jei perdavimo ir priėmimo aktas būtų sudaromas atskirai ir (ar) ne tuo pačiu metu kaip valstybinės žemės pirkimo-pardavimo sutartis, liktų nereglamentuota, kas šį aktą turėtų pasirašyti valstybės vardu. </w:t>
      </w:r>
      <w:r w:rsidR="0049107E">
        <w:t xml:space="preserve">Taip pat </w:t>
      </w:r>
      <w:r w:rsidR="00624FFB">
        <w:t>pažymėtina, kad p</w:t>
      </w:r>
      <w:r w:rsidR="00624FFB" w:rsidRPr="00624FFB">
        <w:t xml:space="preserve">oįstatyminis teisės aktas negali sutarties prilyginti perdavimo </w:t>
      </w:r>
      <w:r w:rsidR="0049107E">
        <w:t xml:space="preserve">ir </w:t>
      </w:r>
      <w:r w:rsidR="00624FFB" w:rsidRPr="00624FFB">
        <w:t xml:space="preserve">priėmimo aktui, </w:t>
      </w:r>
      <w:r w:rsidR="007A3F9E">
        <w:t>nes</w:t>
      </w:r>
      <w:r w:rsidR="00624FFB" w:rsidRPr="00624FFB">
        <w:t xml:space="preserve"> pa</w:t>
      </w:r>
      <w:r w:rsidR="00974CA2">
        <w:t>gal Civilinio kodekso 6.398 straipsnį</w:t>
      </w:r>
      <w:r w:rsidR="00624FFB" w:rsidRPr="00624FFB">
        <w:t xml:space="preserve"> </w:t>
      </w:r>
      <w:r w:rsidR="007A3F9E">
        <w:t xml:space="preserve">tai </w:t>
      </w:r>
      <w:r w:rsidR="00624FFB" w:rsidRPr="00624FFB">
        <w:t>gali būti tik sutarties reguliavimo dalyku</w:t>
      </w:r>
      <w:r w:rsidR="007A3F9E">
        <w:t xml:space="preserve">. </w:t>
      </w:r>
    </w:p>
    <w:p w:rsidR="003054E4" w:rsidRPr="00026809" w:rsidRDefault="00602AA0" w:rsidP="00F17BE4">
      <w:pPr>
        <w:pStyle w:val="Sraopastraipa"/>
        <w:numPr>
          <w:ilvl w:val="0"/>
          <w:numId w:val="12"/>
        </w:numPr>
        <w:ind w:left="0" w:firstLine="1134"/>
        <w:jc w:val="both"/>
      </w:pPr>
      <w:r w:rsidRPr="00602AA0">
        <w:t>Rašte, kuriuo Projektas teikiamas išvadoms gauti, nurodoma</w:t>
      </w:r>
      <w:r>
        <w:t xml:space="preserve">, kad </w:t>
      </w:r>
      <w:r w:rsidR="0034665E">
        <w:t>„š</w:t>
      </w:r>
      <w:r w:rsidRPr="00602AA0">
        <w:t xml:space="preserve">iuo metu galiojantis teisinis reglamentavimas neįpareigoja Nacionalinės žemės tarnybos teritorinio padalinio </w:t>
      </w:r>
      <w:r w:rsidRPr="00EA39E1">
        <w:rPr>
          <w:i/>
        </w:rPr>
        <w:t>tikrinti</w:t>
      </w:r>
      <w:r w:rsidRPr="00602AA0">
        <w:t xml:space="preserve">, ar, pagal asmenų prašymus sudaryti valstybinės žemės sklypų nuomos sutartis, </w:t>
      </w:r>
      <w:r w:rsidRPr="00EA39E1">
        <w:rPr>
          <w:i/>
        </w:rPr>
        <w:t>duomenys, įregistruoti Nekilnojamojo turto registre</w:t>
      </w:r>
      <w:r w:rsidRPr="00602AA0">
        <w:t>, sutampa su faktiškai bei realiai </w:t>
      </w:r>
      <w:r w:rsidRPr="00EA39E1">
        <w:rPr>
          <w:iCs/>
        </w:rPr>
        <w:t>egzistuojančiais</w:t>
      </w:r>
      <w:r w:rsidRPr="00EA39E1">
        <w:t xml:space="preserve"> nekilnojamojo turto</w:t>
      </w:r>
      <w:r w:rsidRPr="00EA39E1">
        <w:rPr>
          <w:iCs/>
        </w:rPr>
        <w:t xml:space="preserve"> būklę apibūdinančiais duomenimis</w:t>
      </w:r>
      <w:r w:rsidR="00EA39E1">
        <w:rPr>
          <w:iCs/>
        </w:rPr>
        <w:t>“</w:t>
      </w:r>
      <w:r w:rsidRPr="00602AA0">
        <w:t>.</w:t>
      </w:r>
      <w:r w:rsidR="00F17BE4">
        <w:t xml:space="preserve"> Pažymėtina, kad vadovaujantis </w:t>
      </w:r>
      <w:r>
        <w:t xml:space="preserve">Lietuvos Respublikos </w:t>
      </w:r>
      <w:r w:rsidR="00F17BE4">
        <w:t>v</w:t>
      </w:r>
      <w:r>
        <w:t>alstybės informacinių išteklių valdymo įstatymo 15 straipsnio 5 dal</w:t>
      </w:r>
      <w:r w:rsidR="00F17BE4">
        <w:t xml:space="preserve">imi </w:t>
      </w:r>
      <w:r w:rsidR="002E66BA">
        <w:t xml:space="preserve">galioja registro duomenų teisingumo prezumpcija </w:t>
      </w:r>
      <w:r w:rsidR="002E66BA" w:rsidRPr="002E66BA">
        <w:t xml:space="preserve">– </w:t>
      </w:r>
      <w:r w:rsidR="00BA3F6A">
        <w:t>„</w:t>
      </w:r>
      <w:r w:rsidR="00F17BE4">
        <w:t>r</w:t>
      </w:r>
      <w:r w:rsidR="00F17BE4" w:rsidRPr="00F17BE4">
        <w:t xml:space="preserve">egistro duomenys ir registro informacija </w:t>
      </w:r>
      <w:r w:rsidR="00F17BE4" w:rsidRPr="00BA3F6A">
        <w:rPr>
          <w:i/>
        </w:rPr>
        <w:t>laikomi teisingais</w:t>
      </w:r>
      <w:r w:rsidR="00F17BE4" w:rsidRPr="00F17BE4">
        <w:t xml:space="preserve"> tol, kol jie nenuginčyti Lietuvos Respublikos įstatymuose ir Europos Sąjungos teisės aktuose nustatyta tvarka</w:t>
      </w:r>
      <w:r w:rsidR="00BA3F6A">
        <w:t>“</w:t>
      </w:r>
      <w:r w:rsidR="00F17BE4" w:rsidRPr="00F17BE4">
        <w:t>.</w:t>
      </w:r>
      <w:r w:rsidR="000C5E94">
        <w:t xml:space="preserve"> </w:t>
      </w:r>
      <w:bookmarkStart w:id="0" w:name="_GoBack"/>
      <w:bookmarkEnd w:id="0"/>
      <w:r w:rsidR="000C5E94" w:rsidRPr="00026809">
        <w:t>Nacionalinės žemės</w:t>
      </w:r>
      <w:r w:rsidR="0046752E" w:rsidRPr="00026809">
        <w:t xml:space="preserve"> tarnybos teritoriniam</w:t>
      </w:r>
      <w:r w:rsidR="00727BBE" w:rsidRPr="00026809">
        <w:t xml:space="preserve"> padaliniui </w:t>
      </w:r>
      <w:r w:rsidR="0046752E" w:rsidRPr="00026809">
        <w:t xml:space="preserve">neturėtų būti </w:t>
      </w:r>
      <w:r w:rsidR="00727BBE" w:rsidRPr="00026809">
        <w:t xml:space="preserve">priskirtinas faktinių aplinkybių ir </w:t>
      </w:r>
      <w:r w:rsidR="00727BBE" w:rsidRPr="00026809">
        <w:rPr>
          <w:i/>
        </w:rPr>
        <w:t>registro</w:t>
      </w:r>
      <w:r w:rsidR="002E66BA" w:rsidRPr="00026809">
        <w:rPr>
          <w:i/>
        </w:rPr>
        <w:t xml:space="preserve"> duomenų teisingumo tikrinimas</w:t>
      </w:r>
      <w:r w:rsidR="0016694B" w:rsidRPr="00026809">
        <w:t>. Nacionalinės žemės tarnybos teritorinis padalinys gavęs prašymą parduoti žemės sklypą</w:t>
      </w:r>
      <w:r w:rsidR="002E66BA" w:rsidRPr="00026809">
        <w:t xml:space="preserve"> turėtų tikrin</w:t>
      </w:r>
      <w:r w:rsidR="0016694B" w:rsidRPr="00026809">
        <w:t>ti</w:t>
      </w:r>
      <w:r w:rsidR="002E66BA" w:rsidRPr="00026809">
        <w:t xml:space="preserve"> dokumentų atitikt</w:t>
      </w:r>
      <w:r w:rsidR="0016694B" w:rsidRPr="00026809">
        <w:t>į</w:t>
      </w:r>
      <w:r w:rsidR="002E66BA" w:rsidRPr="00026809">
        <w:t xml:space="preserve"> nustatytiems reikalavimams.</w:t>
      </w:r>
      <w:r w:rsidR="0016694B">
        <w:t xml:space="preserve"> Pastebėtina</w:t>
      </w:r>
      <w:r w:rsidR="002E66BA">
        <w:t>,</w:t>
      </w:r>
      <w:r w:rsidR="0016694B">
        <w:t xml:space="preserve"> kad taip pat</w:t>
      </w:r>
      <w:r w:rsidR="002E66BA">
        <w:t xml:space="preserve"> būtų neaiškios tokio patikrinimo pasekmės</w:t>
      </w:r>
      <w:r w:rsidR="0016694B">
        <w:t xml:space="preserve"> – kokių veiksmų turėtų būti imamasi</w:t>
      </w:r>
      <w:r w:rsidR="002744B8" w:rsidRPr="006964D8">
        <w:rPr>
          <w:u w:val="single"/>
        </w:rPr>
        <w:t>,</w:t>
      </w:r>
      <w:r w:rsidR="002744B8" w:rsidRPr="00026809">
        <w:t xml:space="preserve"> jei būtų nustatytas galimas faktinių aplinkybių ir registro duomenų neatitikimas, kokios kiltų pasekmės. </w:t>
      </w:r>
    </w:p>
    <w:p w:rsidR="00A83741" w:rsidRPr="00026809" w:rsidRDefault="009E53D2" w:rsidP="00A83741">
      <w:pPr>
        <w:pStyle w:val="Sraopastraipa"/>
        <w:numPr>
          <w:ilvl w:val="0"/>
          <w:numId w:val="12"/>
        </w:numPr>
        <w:ind w:left="0" w:firstLine="1134"/>
        <w:jc w:val="both"/>
      </w:pPr>
      <w:r w:rsidRPr="00026809">
        <w:t>Manytina, kad Projekte dėstomame 18</w:t>
      </w:r>
      <w:r w:rsidRPr="00026809">
        <w:rPr>
          <w:vertAlign w:val="superscript"/>
        </w:rPr>
        <w:t>1</w:t>
      </w:r>
      <w:r w:rsidR="00C3728F" w:rsidRPr="00026809">
        <w:t xml:space="preserve"> punkte yra netikslinga teikti nuorodą į teisės aktą, kuriuo vadovaudamasi Lietuvos Respublikos finansų ministerija teikia informaciją. </w:t>
      </w:r>
    </w:p>
    <w:p w:rsidR="00A83741" w:rsidRDefault="00973EFD" w:rsidP="003F5955">
      <w:pPr>
        <w:pStyle w:val="Sraopastraipa"/>
        <w:numPr>
          <w:ilvl w:val="0"/>
          <w:numId w:val="12"/>
        </w:numPr>
        <w:ind w:left="0" w:firstLine="1134"/>
        <w:jc w:val="both"/>
      </w:pPr>
      <w:r>
        <w:t xml:space="preserve">Projekte dėstomame 19 punkte siūlomu papildymu iš esmės įtvirtinamas </w:t>
      </w:r>
      <w:r w:rsidRPr="003F5955">
        <w:rPr>
          <w:i/>
        </w:rPr>
        <w:t>pakartotinio tikrinimo</w:t>
      </w:r>
      <w:r>
        <w:t xml:space="preserve"> reikalavimas. Svarstytina, kas turėtų būti tikrinama vadovaujantis šia nuostata bei kaip toks reikalavimas atitiktų efektyvumo principą. Jei visgi pakartotinis tikrinimas, numatytas šiame punkte, būtų tikslingas, tuomet siūlytina šį poreikį pagrįsti Projekto teikime. </w:t>
      </w:r>
    </w:p>
    <w:p w:rsidR="00C3728F" w:rsidRDefault="00A83741" w:rsidP="003F5955">
      <w:pPr>
        <w:pStyle w:val="Sraopastraipa"/>
        <w:numPr>
          <w:ilvl w:val="0"/>
          <w:numId w:val="12"/>
        </w:numPr>
        <w:ind w:left="0" w:firstLine="1199"/>
        <w:jc w:val="both"/>
      </w:pPr>
      <w:r>
        <w:t xml:space="preserve"> </w:t>
      </w:r>
      <w:r w:rsidR="00DC0AB3">
        <w:t>Projekte dėstomame 30.4 papunktyje dėstoma nuostata, nurodanti, kad „</w:t>
      </w:r>
      <w:r w:rsidR="00DC0AB3" w:rsidRPr="00DC0AB3">
        <w:t>Žemės sklypai, kurių reikia įgyvendinti valstybei svarbiems ekonominiams ar kultūriniams projektams, kurių valstybinę svarbą savo sprendimu pripažįsta Seimas arba Vyriausybė, regiono socialinės, ekonominės plėtros ir (arba) infrastruktūros projektams, kuriuos regiono plėtros taryba Vyriausybės nustatyta tvarka pripažįsta regioninės svarbos projektais,</w:t>
      </w:r>
      <w:r w:rsidR="00DC0AB3">
        <w:t xml:space="preserve"> &lt;...&gt; </w:t>
      </w:r>
      <w:r w:rsidR="00DC0AB3" w:rsidRPr="00DC0AB3">
        <w:t xml:space="preserve">išnuomojami ne ilgesniam nei šių projektų ar </w:t>
      </w:r>
      <w:r w:rsidR="00DC0AB3">
        <w:t xml:space="preserve">sutarčių įgyvendinimo terminui“ </w:t>
      </w:r>
      <w:r w:rsidR="00DC0AB3" w:rsidRPr="003F5955">
        <w:rPr>
          <w:i/>
        </w:rPr>
        <w:t>neturi įstatyminio pagrindo</w:t>
      </w:r>
      <w:r w:rsidR="00DC0AB3">
        <w:t xml:space="preserve">. </w:t>
      </w:r>
      <w:r>
        <w:t>Šios nuostatos</w:t>
      </w:r>
      <w:r w:rsidR="0040659E">
        <w:t xml:space="preserve"> neatitinka Lietuvos Respublikos žemės įstatymo 9 straipsnio 3 dalyje įtvirtinto reguliavimo, nurodančio, kad „v</w:t>
      </w:r>
      <w:r w:rsidR="0040659E" w:rsidRPr="0040659E">
        <w:t>isais kitais atvejais žemės sklypų, išnuomojamų statiniams ar įrenginiams eksploatuoti arba statyti ir eksploatuoti, nuomos terminas nustatomas atsižvelgiant į ekonomiškai pagrįstą statinio ar įrenginio naudojimo trukmę. Žemės nuomos termino nustatymo motyvai turi būti išdėstyti sprendime išn</w:t>
      </w:r>
      <w:r w:rsidR="00F4539E">
        <w:t>uomoti valstybinės žemės sklypą</w:t>
      </w:r>
      <w:r w:rsidR="0040659E">
        <w:t xml:space="preserve">“. </w:t>
      </w:r>
    </w:p>
    <w:p w:rsidR="004E11AE" w:rsidRDefault="004E11AE" w:rsidP="006614F2">
      <w:pPr>
        <w:pStyle w:val="Sraopastraipa"/>
        <w:numPr>
          <w:ilvl w:val="0"/>
          <w:numId w:val="12"/>
        </w:numPr>
        <w:ind w:left="0" w:firstLine="1134"/>
        <w:jc w:val="both"/>
      </w:pPr>
      <w:r>
        <w:t>Svarstytina, ar Projekte dėstomame</w:t>
      </w:r>
      <w:r w:rsidR="00D44600">
        <w:t xml:space="preserve"> 30.5 papunkčio </w:t>
      </w:r>
      <w:r>
        <w:t>papildyme minint galimybę sudaryti sutartis „papildomam terminui“ turimas omenyje sutarties pratęsimas Žemės įstatymo 9 straipsnio 4 dalies pagrindu. Tokiu atveju siūlytina vartoti formuluotę „</w:t>
      </w:r>
      <w:bookmarkStart w:id="1" w:name="_Hlk55312112"/>
      <w:r>
        <w:t>sutarties termino pratęsimas</w:t>
      </w:r>
      <w:bookmarkEnd w:id="1"/>
      <w:r>
        <w:t xml:space="preserve">“, ją derinant su Taisyklių 42 punktu. </w:t>
      </w:r>
    </w:p>
    <w:p w:rsidR="0024763B" w:rsidRDefault="004E11AE" w:rsidP="0024763B">
      <w:pPr>
        <w:pStyle w:val="Sraopastraipa"/>
        <w:numPr>
          <w:ilvl w:val="0"/>
          <w:numId w:val="12"/>
        </w:numPr>
        <w:ind w:left="0" w:firstLine="1134"/>
        <w:jc w:val="both"/>
      </w:pPr>
      <w:r>
        <w:t xml:space="preserve"> </w:t>
      </w:r>
      <w:r w:rsidR="00401E5C">
        <w:t>Atkreiptinas dėmesys, kad Projekte dėstomame 34.6 papunktyje</w:t>
      </w:r>
      <w:r w:rsidR="00F1472E">
        <w:t xml:space="preserve"> (ir 45 punkte)</w:t>
      </w:r>
      <w:r w:rsidR="00401E5C">
        <w:t xml:space="preserve"> minimu atveju daikto kadastro duomenų byla galėtų būti ir senesnė nei vienerių metų, o tokiu atveju ir duomenys apie statinio nusidėvėjimą būtų senesni nei vieneri metai, nors ir nurodyti daikto kadastro duomenų byloje. </w:t>
      </w:r>
      <w:r w:rsidR="00E16DF6">
        <w:t>Svarstytina, ar tokiu atveju turėtų būti keičiama</w:t>
      </w:r>
      <w:r w:rsidR="00D44600">
        <w:t xml:space="preserve"> </w:t>
      </w:r>
      <w:r w:rsidR="00E16DF6" w:rsidRPr="00E16DF6">
        <w:t>kadastro duomenų byla</w:t>
      </w:r>
      <w:r w:rsidR="00E16DF6">
        <w:t xml:space="preserve">. </w:t>
      </w:r>
    </w:p>
    <w:p w:rsidR="00E75D83" w:rsidRPr="00CA1F17" w:rsidRDefault="0024763B" w:rsidP="003F5955">
      <w:pPr>
        <w:pStyle w:val="Sraopastraipa"/>
        <w:numPr>
          <w:ilvl w:val="0"/>
          <w:numId w:val="12"/>
        </w:numPr>
        <w:ind w:left="0" w:firstLine="1134"/>
        <w:jc w:val="both"/>
      </w:pPr>
      <w:r>
        <w:t xml:space="preserve"> </w:t>
      </w:r>
      <w:bookmarkStart w:id="2" w:name="_Hlk55312371"/>
      <w:r w:rsidR="006614F2">
        <w:t xml:space="preserve">Projekte siūlytina įtvirtinti pereinamąsias nuostatas dėl teisinio reguliavimo taikymo jau </w:t>
      </w:r>
      <w:r w:rsidR="006614F2" w:rsidRPr="003F5955">
        <w:rPr>
          <w:i/>
        </w:rPr>
        <w:t>pradėtoms</w:t>
      </w:r>
      <w:r w:rsidR="006614F2">
        <w:t xml:space="preserve"> </w:t>
      </w:r>
      <w:r w:rsidR="006614F2" w:rsidRPr="003F5955">
        <w:rPr>
          <w:i/>
        </w:rPr>
        <w:t>procedūroms</w:t>
      </w:r>
      <w:r w:rsidR="006614F2">
        <w:t xml:space="preserve"> ir </w:t>
      </w:r>
      <w:r w:rsidR="006614F2" w:rsidRPr="003F5955">
        <w:rPr>
          <w:i/>
        </w:rPr>
        <w:t>sutartims</w:t>
      </w:r>
      <w:r w:rsidR="00A83741">
        <w:t>, kurio</w:t>
      </w:r>
      <w:r w:rsidR="006614F2">
        <w:t xml:space="preserve">s būtų sudarytos iki Projekto įsigaliojimo. </w:t>
      </w:r>
      <w:bookmarkEnd w:id="2"/>
    </w:p>
    <w:p w:rsidR="006614F2" w:rsidRDefault="006614F2" w:rsidP="00E75D83">
      <w:pPr>
        <w:tabs>
          <w:tab w:val="right" w:pos="9638"/>
        </w:tabs>
      </w:pPr>
    </w:p>
    <w:p w:rsidR="00E75D83" w:rsidRDefault="007C6378" w:rsidP="00E75D83">
      <w:pPr>
        <w:tabs>
          <w:tab w:val="right" w:pos="9638"/>
        </w:tabs>
      </w:pPr>
      <w:r>
        <w:t xml:space="preserve">Teisingumo </w:t>
      </w:r>
      <w:r w:rsidR="0091682C">
        <w:t>ministr</w:t>
      </w:r>
      <w:r w:rsidR="00D72899">
        <w:t>as</w:t>
      </w:r>
      <w:r>
        <w:t xml:space="preserve"> </w:t>
      </w:r>
      <w:r w:rsidR="00E75D83">
        <w:tab/>
      </w:r>
      <w:r w:rsidR="00D72899">
        <w:t>Elvinas Jankevičius</w:t>
      </w:r>
    </w:p>
    <w:p w:rsidR="006614F2" w:rsidRDefault="006614F2" w:rsidP="00E75D83">
      <w:pPr>
        <w:tabs>
          <w:tab w:val="right" w:pos="9638"/>
        </w:tabs>
      </w:pPr>
    </w:p>
    <w:p w:rsidR="00E75D83" w:rsidRDefault="00E75D83" w:rsidP="00E75D83">
      <w:pPr>
        <w:rPr>
          <w:sz w:val="20"/>
        </w:rPr>
      </w:pPr>
    </w:p>
    <w:p w:rsidR="003F5955" w:rsidRPr="00CA1F17" w:rsidRDefault="003F5955" w:rsidP="00E75D83">
      <w:pPr>
        <w:rPr>
          <w:sz w:val="20"/>
        </w:rPr>
      </w:pPr>
    </w:p>
    <w:p w:rsidR="00E75D83" w:rsidRPr="006750D8" w:rsidRDefault="007C6378" w:rsidP="00E75D83">
      <w:pPr>
        <w:tabs>
          <w:tab w:val="decimal" w:pos="9638"/>
        </w:tabs>
        <w:rPr>
          <w:color w:val="000000" w:themeColor="text1"/>
          <w:sz w:val="16"/>
          <w:szCs w:val="16"/>
        </w:rPr>
      </w:pPr>
      <w:r w:rsidRPr="006750D8">
        <w:rPr>
          <w:color w:val="000000" w:themeColor="text1"/>
          <w:sz w:val="16"/>
          <w:szCs w:val="16"/>
        </w:rPr>
        <w:t>Jūratė Burtilienė</w:t>
      </w:r>
      <w:r w:rsidR="00E75D83" w:rsidRPr="006750D8">
        <w:rPr>
          <w:color w:val="000000" w:themeColor="text1"/>
          <w:sz w:val="16"/>
          <w:szCs w:val="16"/>
        </w:rPr>
        <w:t xml:space="preserve">, (8 5) </w:t>
      </w:r>
      <w:r w:rsidRPr="006750D8">
        <w:rPr>
          <w:color w:val="000000" w:themeColor="text1"/>
          <w:sz w:val="16"/>
          <w:szCs w:val="16"/>
        </w:rPr>
        <w:t>219 1896</w:t>
      </w:r>
      <w:r w:rsidR="00E75D83" w:rsidRPr="006750D8">
        <w:rPr>
          <w:color w:val="000000" w:themeColor="text1"/>
          <w:sz w:val="16"/>
          <w:szCs w:val="16"/>
        </w:rPr>
        <w:t xml:space="preserve">, el. p. </w:t>
      </w:r>
      <w:hyperlink r:id="rId9" w:history="1">
        <w:r w:rsidR="00622053" w:rsidRPr="00F56B65">
          <w:rPr>
            <w:rStyle w:val="Hipersaitas"/>
            <w:sz w:val="16"/>
            <w:szCs w:val="16"/>
          </w:rPr>
          <w:t>jurate.burtiliene@tm.lt</w:t>
        </w:r>
      </w:hyperlink>
      <w:r w:rsidR="00E75D83" w:rsidRPr="006750D8">
        <w:rPr>
          <w:color w:val="000000" w:themeColor="text1"/>
          <w:sz w:val="16"/>
          <w:szCs w:val="16"/>
        </w:rPr>
        <w:t xml:space="preserve"> </w:t>
      </w:r>
      <w:r w:rsidR="00E75D83" w:rsidRPr="006750D8">
        <w:rPr>
          <w:color w:val="000000" w:themeColor="text1"/>
          <w:sz w:val="16"/>
          <w:szCs w:val="16"/>
        </w:rPr>
        <w:tab/>
        <w:t xml:space="preserve"> </w:t>
      </w:r>
    </w:p>
    <w:sectPr w:rsidR="00E75D83" w:rsidRPr="006750D8" w:rsidSect="007C0395">
      <w:headerReference w:type="default" r:id="rId10"/>
      <w:headerReference w:type="first" r:id="rId11"/>
      <w:footerReference w:type="first" r:id="rId12"/>
      <w:footnotePr>
        <w:pos w:val="beneathText"/>
      </w:footnotePr>
      <w:pgSz w:w="11905" w:h="16837"/>
      <w:pgMar w:top="1134" w:right="737" w:bottom="709" w:left="1701" w:header="1123" w:footer="245"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066" w:rsidRDefault="004B3066">
      <w:r>
        <w:separator/>
      </w:r>
    </w:p>
  </w:endnote>
  <w:endnote w:type="continuationSeparator" w:id="0">
    <w:p w:rsidR="004B3066" w:rsidRDefault="004B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BE" w:rsidRDefault="004166BE" w:rsidP="007B3C8C">
    <w:pPr>
      <w:pStyle w:val="Porat"/>
      <w:tabs>
        <w:tab w:val="clear" w:pos="8306"/>
        <w:tab w:val="left" w:pos="8080"/>
        <w:tab w:val="right" w:pos="9356"/>
      </w:tabs>
      <w:jc w:val="left"/>
    </w:pPr>
    <w:r>
      <w:t xml:space="preserve">                                                                                                                                                             </w:t>
    </w:r>
  </w:p>
  <w:p w:rsidR="004166BE" w:rsidRDefault="004166BE"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066" w:rsidRDefault="004B3066">
      <w:r>
        <w:separator/>
      </w:r>
    </w:p>
  </w:footnote>
  <w:footnote w:type="continuationSeparator" w:id="0">
    <w:p w:rsidR="004B3066" w:rsidRDefault="004B3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861760"/>
      <w:docPartObj>
        <w:docPartGallery w:val="Page Numbers (Top of Page)"/>
        <w:docPartUnique/>
      </w:docPartObj>
    </w:sdtPr>
    <w:sdtEndPr/>
    <w:sdtContent>
      <w:p w:rsidR="004166BE" w:rsidRDefault="004166BE">
        <w:pPr>
          <w:pStyle w:val="Antrats"/>
          <w:jc w:val="center"/>
        </w:pPr>
        <w:r>
          <w:fldChar w:fldCharType="begin"/>
        </w:r>
        <w:r>
          <w:instrText>PAGE   \* MERGEFORMAT</w:instrText>
        </w:r>
        <w:r>
          <w:fldChar w:fldCharType="separate"/>
        </w:r>
        <w:r>
          <w:rPr>
            <w:noProof/>
          </w:rPr>
          <w:t>2</w:t>
        </w:r>
        <w:r>
          <w:fldChar w:fldCharType="end"/>
        </w:r>
      </w:p>
    </w:sdtContent>
  </w:sdt>
  <w:p w:rsidR="004166BE" w:rsidRDefault="004166B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BE" w:rsidRPr="006A0169" w:rsidRDefault="004166BE" w:rsidP="006A0169">
    <w:pPr>
      <w:tabs>
        <w:tab w:val="right" w:pos="8306"/>
      </w:tabs>
      <w:suppressAutoHyphens w:val="0"/>
      <w:jc w:val="center"/>
      <w:rPr>
        <w:sz w:val="20"/>
        <w:lang w:eastAsia="en-US"/>
      </w:rPr>
    </w:pPr>
    <w:r>
      <w:rPr>
        <w:noProof/>
        <w:sz w:val="20"/>
        <w:lang w:eastAsia="lt-LT"/>
      </w:rPr>
      <w:drawing>
        <wp:inline distT="0" distB="0" distL="0" distR="0" wp14:anchorId="126DEF41" wp14:editId="126DEF42">
          <wp:extent cx="587100" cy="669600"/>
          <wp:effectExtent l="19050" t="0" r="3450" b="0"/>
          <wp:docPr id="3" name="Paveikslėlis 3"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4166BE" w:rsidRPr="006A0169" w:rsidRDefault="004166BE" w:rsidP="006A0169">
    <w:pPr>
      <w:tabs>
        <w:tab w:val="right" w:pos="8306"/>
      </w:tabs>
      <w:suppressAutoHyphens w:val="0"/>
      <w:jc w:val="center"/>
      <w:rPr>
        <w:sz w:val="16"/>
        <w:lang w:eastAsia="en-US"/>
      </w:rPr>
    </w:pPr>
  </w:p>
  <w:p w:rsidR="004166BE" w:rsidRPr="006A0169" w:rsidRDefault="004166BE" w:rsidP="006A0169">
    <w:pPr>
      <w:suppressAutoHyphens w:val="0"/>
      <w:jc w:val="center"/>
      <w:rPr>
        <w:b/>
        <w:bCs/>
        <w:sz w:val="26"/>
        <w:lang w:eastAsia="en-US"/>
      </w:rPr>
    </w:pPr>
    <w:r w:rsidRPr="006A0169">
      <w:rPr>
        <w:b/>
        <w:bCs/>
        <w:sz w:val="26"/>
        <w:lang w:eastAsia="en-US"/>
      </w:rPr>
      <w:t>LIETUVOS RESPUBLIKOS TEISINGUMO MINISTERIJA</w:t>
    </w:r>
  </w:p>
  <w:p w:rsidR="004166BE" w:rsidRPr="006A0169" w:rsidRDefault="004166BE" w:rsidP="006A0169">
    <w:pPr>
      <w:suppressAutoHyphens w:val="0"/>
      <w:jc w:val="center"/>
      <w:rPr>
        <w:b/>
        <w:bCs/>
        <w:sz w:val="26"/>
        <w:lang w:eastAsia="en-US"/>
      </w:rPr>
    </w:pPr>
  </w:p>
  <w:p w:rsidR="004166BE" w:rsidRDefault="004166BE"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4166BE" w:rsidRDefault="004166BE"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4166BE" w:rsidRDefault="004166BE"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4166BE" w:rsidRDefault="004166BE"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4166BE" w:rsidRPr="006A0169" w:rsidRDefault="004166B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3F01BCA"/>
    <w:multiLevelType w:val="hybridMultilevel"/>
    <w:tmpl w:val="E2D6DF6A"/>
    <w:lvl w:ilvl="0" w:tplc="99AAA2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2573"/>
    <w:rsid w:val="000126A3"/>
    <w:rsid w:val="000203F3"/>
    <w:rsid w:val="00022E3C"/>
    <w:rsid w:val="00026809"/>
    <w:rsid w:val="00033F22"/>
    <w:rsid w:val="000356BD"/>
    <w:rsid w:val="000421BD"/>
    <w:rsid w:val="00045F11"/>
    <w:rsid w:val="0006186E"/>
    <w:rsid w:val="000675C0"/>
    <w:rsid w:val="00072919"/>
    <w:rsid w:val="000756A8"/>
    <w:rsid w:val="0008586C"/>
    <w:rsid w:val="00093791"/>
    <w:rsid w:val="000A05D6"/>
    <w:rsid w:val="000B0D10"/>
    <w:rsid w:val="000B1ECA"/>
    <w:rsid w:val="000B2A20"/>
    <w:rsid w:val="000C2218"/>
    <w:rsid w:val="000C5E94"/>
    <w:rsid w:val="000D0B1C"/>
    <w:rsid w:val="000D2169"/>
    <w:rsid w:val="000D3171"/>
    <w:rsid w:val="000D5554"/>
    <w:rsid w:val="000D613E"/>
    <w:rsid w:val="000E34D4"/>
    <w:rsid w:val="000E6E4F"/>
    <w:rsid w:val="000E7556"/>
    <w:rsid w:val="000F0435"/>
    <w:rsid w:val="0010414F"/>
    <w:rsid w:val="0010593A"/>
    <w:rsid w:val="00106269"/>
    <w:rsid w:val="00110A05"/>
    <w:rsid w:val="00132584"/>
    <w:rsid w:val="00133358"/>
    <w:rsid w:val="001348EA"/>
    <w:rsid w:val="0016694B"/>
    <w:rsid w:val="00190B04"/>
    <w:rsid w:val="001A2BEB"/>
    <w:rsid w:val="001B28DE"/>
    <w:rsid w:val="001B4D55"/>
    <w:rsid w:val="001C1840"/>
    <w:rsid w:val="001D6B60"/>
    <w:rsid w:val="001E0731"/>
    <w:rsid w:val="001E192A"/>
    <w:rsid w:val="001E213B"/>
    <w:rsid w:val="001E79AB"/>
    <w:rsid w:val="001F2ED0"/>
    <w:rsid w:val="001F4940"/>
    <w:rsid w:val="00216724"/>
    <w:rsid w:val="00221222"/>
    <w:rsid w:val="00224C7E"/>
    <w:rsid w:val="00225009"/>
    <w:rsid w:val="002260E8"/>
    <w:rsid w:val="002362D9"/>
    <w:rsid w:val="0024763B"/>
    <w:rsid w:val="00247655"/>
    <w:rsid w:val="00247D30"/>
    <w:rsid w:val="00271BCA"/>
    <w:rsid w:val="002744B8"/>
    <w:rsid w:val="0027526A"/>
    <w:rsid w:val="002A44A6"/>
    <w:rsid w:val="002C0406"/>
    <w:rsid w:val="002C5950"/>
    <w:rsid w:val="002D24DA"/>
    <w:rsid w:val="002E66BA"/>
    <w:rsid w:val="002F357E"/>
    <w:rsid w:val="003054E4"/>
    <w:rsid w:val="0031547F"/>
    <w:rsid w:val="00335E75"/>
    <w:rsid w:val="00345C41"/>
    <w:rsid w:val="0034665E"/>
    <w:rsid w:val="00350171"/>
    <w:rsid w:val="0035263F"/>
    <w:rsid w:val="00357B11"/>
    <w:rsid w:val="00362DFE"/>
    <w:rsid w:val="003638AD"/>
    <w:rsid w:val="00374572"/>
    <w:rsid w:val="00392BAA"/>
    <w:rsid w:val="003A0D57"/>
    <w:rsid w:val="003A403B"/>
    <w:rsid w:val="003A6CAA"/>
    <w:rsid w:val="003B63D3"/>
    <w:rsid w:val="003C1BC9"/>
    <w:rsid w:val="003C76FB"/>
    <w:rsid w:val="003D7EFA"/>
    <w:rsid w:val="003F5955"/>
    <w:rsid w:val="00401E5C"/>
    <w:rsid w:val="0040659E"/>
    <w:rsid w:val="00413526"/>
    <w:rsid w:val="004166BE"/>
    <w:rsid w:val="00422F55"/>
    <w:rsid w:val="004400C5"/>
    <w:rsid w:val="00444D3C"/>
    <w:rsid w:val="004473FF"/>
    <w:rsid w:val="004576D2"/>
    <w:rsid w:val="00464888"/>
    <w:rsid w:val="0046752E"/>
    <w:rsid w:val="0047594D"/>
    <w:rsid w:val="0049107E"/>
    <w:rsid w:val="004B3066"/>
    <w:rsid w:val="004C157C"/>
    <w:rsid w:val="004C5B06"/>
    <w:rsid w:val="004D2DBD"/>
    <w:rsid w:val="004E0354"/>
    <w:rsid w:val="004E11AE"/>
    <w:rsid w:val="004E4C97"/>
    <w:rsid w:val="004F7E5E"/>
    <w:rsid w:val="00503401"/>
    <w:rsid w:val="00507286"/>
    <w:rsid w:val="00513216"/>
    <w:rsid w:val="00514D7E"/>
    <w:rsid w:val="0051548F"/>
    <w:rsid w:val="00526983"/>
    <w:rsid w:val="005468FA"/>
    <w:rsid w:val="00571C97"/>
    <w:rsid w:val="005833E5"/>
    <w:rsid w:val="005934F7"/>
    <w:rsid w:val="005A2039"/>
    <w:rsid w:val="005A32E3"/>
    <w:rsid w:val="005B22EF"/>
    <w:rsid w:val="005B71DB"/>
    <w:rsid w:val="005E7F01"/>
    <w:rsid w:val="005F6849"/>
    <w:rsid w:val="005F6C5D"/>
    <w:rsid w:val="005F70CA"/>
    <w:rsid w:val="00602AA0"/>
    <w:rsid w:val="00606902"/>
    <w:rsid w:val="006202AA"/>
    <w:rsid w:val="00622053"/>
    <w:rsid w:val="00624FFB"/>
    <w:rsid w:val="00631354"/>
    <w:rsid w:val="00632C30"/>
    <w:rsid w:val="006614F2"/>
    <w:rsid w:val="006750D8"/>
    <w:rsid w:val="00685024"/>
    <w:rsid w:val="00692B0B"/>
    <w:rsid w:val="006964D8"/>
    <w:rsid w:val="006A0169"/>
    <w:rsid w:val="006A3AEE"/>
    <w:rsid w:val="006B0D6C"/>
    <w:rsid w:val="006C0636"/>
    <w:rsid w:val="006D0118"/>
    <w:rsid w:val="006E2FF8"/>
    <w:rsid w:val="006E3556"/>
    <w:rsid w:val="0070100A"/>
    <w:rsid w:val="007155A1"/>
    <w:rsid w:val="00720A48"/>
    <w:rsid w:val="00727BBE"/>
    <w:rsid w:val="00735C7F"/>
    <w:rsid w:val="0074745C"/>
    <w:rsid w:val="00755247"/>
    <w:rsid w:val="0075689A"/>
    <w:rsid w:val="00775BDF"/>
    <w:rsid w:val="007A3F9E"/>
    <w:rsid w:val="007B1F82"/>
    <w:rsid w:val="007B3C8C"/>
    <w:rsid w:val="007B4A13"/>
    <w:rsid w:val="007C0395"/>
    <w:rsid w:val="007C6378"/>
    <w:rsid w:val="007D75E9"/>
    <w:rsid w:val="007F7B9B"/>
    <w:rsid w:val="008056CE"/>
    <w:rsid w:val="0081585F"/>
    <w:rsid w:val="00820636"/>
    <w:rsid w:val="00830362"/>
    <w:rsid w:val="008309E8"/>
    <w:rsid w:val="00851B3B"/>
    <w:rsid w:val="00871FB6"/>
    <w:rsid w:val="008A0C00"/>
    <w:rsid w:val="008A5254"/>
    <w:rsid w:val="008C162A"/>
    <w:rsid w:val="008F2E61"/>
    <w:rsid w:val="0091682C"/>
    <w:rsid w:val="00921A20"/>
    <w:rsid w:val="00922E1C"/>
    <w:rsid w:val="00933658"/>
    <w:rsid w:val="00935287"/>
    <w:rsid w:val="00950492"/>
    <w:rsid w:val="00967916"/>
    <w:rsid w:val="00973EFD"/>
    <w:rsid w:val="00974CA2"/>
    <w:rsid w:val="00977F51"/>
    <w:rsid w:val="00994B2D"/>
    <w:rsid w:val="009A1010"/>
    <w:rsid w:val="009A11A6"/>
    <w:rsid w:val="009B0944"/>
    <w:rsid w:val="009B53BD"/>
    <w:rsid w:val="009C28A8"/>
    <w:rsid w:val="009D4288"/>
    <w:rsid w:val="009D5D3E"/>
    <w:rsid w:val="009E11EE"/>
    <w:rsid w:val="009E135C"/>
    <w:rsid w:val="009E53D2"/>
    <w:rsid w:val="00A02918"/>
    <w:rsid w:val="00A032BA"/>
    <w:rsid w:val="00A17E41"/>
    <w:rsid w:val="00A36467"/>
    <w:rsid w:val="00A40CD2"/>
    <w:rsid w:val="00A43DDD"/>
    <w:rsid w:val="00A45A83"/>
    <w:rsid w:val="00A500C7"/>
    <w:rsid w:val="00A5068D"/>
    <w:rsid w:val="00A51241"/>
    <w:rsid w:val="00A51DCE"/>
    <w:rsid w:val="00A83741"/>
    <w:rsid w:val="00A943D1"/>
    <w:rsid w:val="00A94549"/>
    <w:rsid w:val="00AC27D6"/>
    <w:rsid w:val="00AC5721"/>
    <w:rsid w:val="00AD37E3"/>
    <w:rsid w:val="00AE0614"/>
    <w:rsid w:val="00AE3511"/>
    <w:rsid w:val="00AE6904"/>
    <w:rsid w:val="00B04F06"/>
    <w:rsid w:val="00B40D2F"/>
    <w:rsid w:val="00B579CB"/>
    <w:rsid w:val="00B7339D"/>
    <w:rsid w:val="00B77434"/>
    <w:rsid w:val="00B942CE"/>
    <w:rsid w:val="00BA3F6A"/>
    <w:rsid w:val="00BA60D3"/>
    <w:rsid w:val="00BB1BC1"/>
    <w:rsid w:val="00BD01B6"/>
    <w:rsid w:val="00BD18EA"/>
    <w:rsid w:val="00BD62CA"/>
    <w:rsid w:val="00BF4400"/>
    <w:rsid w:val="00C12A1E"/>
    <w:rsid w:val="00C2360C"/>
    <w:rsid w:val="00C26D5D"/>
    <w:rsid w:val="00C36B0E"/>
    <w:rsid w:val="00C3728F"/>
    <w:rsid w:val="00C42B71"/>
    <w:rsid w:val="00C43A57"/>
    <w:rsid w:val="00C52D99"/>
    <w:rsid w:val="00C57500"/>
    <w:rsid w:val="00C71731"/>
    <w:rsid w:val="00C843F3"/>
    <w:rsid w:val="00C86943"/>
    <w:rsid w:val="00C9432C"/>
    <w:rsid w:val="00C94F40"/>
    <w:rsid w:val="00CB1D28"/>
    <w:rsid w:val="00CB4FD9"/>
    <w:rsid w:val="00CC742A"/>
    <w:rsid w:val="00CD047D"/>
    <w:rsid w:val="00CD660D"/>
    <w:rsid w:val="00CF2C81"/>
    <w:rsid w:val="00CF71F2"/>
    <w:rsid w:val="00D01CD8"/>
    <w:rsid w:val="00D1325E"/>
    <w:rsid w:val="00D2173F"/>
    <w:rsid w:val="00D22358"/>
    <w:rsid w:val="00D22A39"/>
    <w:rsid w:val="00D26C4D"/>
    <w:rsid w:val="00D27D9D"/>
    <w:rsid w:val="00D44600"/>
    <w:rsid w:val="00D519E9"/>
    <w:rsid w:val="00D553A0"/>
    <w:rsid w:val="00D6461F"/>
    <w:rsid w:val="00D67A5D"/>
    <w:rsid w:val="00D72899"/>
    <w:rsid w:val="00D9324E"/>
    <w:rsid w:val="00D935E9"/>
    <w:rsid w:val="00DA10E1"/>
    <w:rsid w:val="00DA16FD"/>
    <w:rsid w:val="00DC0AB3"/>
    <w:rsid w:val="00DE2941"/>
    <w:rsid w:val="00E03B24"/>
    <w:rsid w:val="00E04931"/>
    <w:rsid w:val="00E16DF6"/>
    <w:rsid w:val="00E214C4"/>
    <w:rsid w:val="00E32D88"/>
    <w:rsid w:val="00E35543"/>
    <w:rsid w:val="00E36636"/>
    <w:rsid w:val="00E63465"/>
    <w:rsid w:val="00E75D83"/>
    <w:rsid w:val="00E81F28"/>
    <w:rsid w:val="00E843B1"/>
    <w:rsid w:val="00E965EF"/>
    <w:rsid w:val="00E96B50"/>
    <w:rsid w:val="00EA3009"/>
    <w:rsid w:val="00EA39E1"/>
    <w:rsid w:val="00EB4BB8"/>
    <w:rsid w:val="00ED0954"/>
    <w:rsid w:val="00ED73D6"/>
    <w:rsid w:val="00EE5859"/>
    <w:rsid w:val="00EF07A0"/>
    <w:rsid w:val="00EF5630"/>
    <w:rsid w:val="00F05FB4"/>
    <w:rsid w:val="00F1472E"/>
    <w:rsid w:val="00F17BE4"/>
    <w:rsid w:val="00F30B6B"/>
    <w:rsid w:val="00F4539E"/>
    <w:rsid w:val="00F6147E"/>
    <w:rsid w:val="00F62B9E"/>
    <w:rsid w:val="00F73A02"/>
    <w:rsid w:val="00F85A80"/>
    <w:rsid w:val="00F91B7E"/>
    <w:rsid w:val="00F947AC"/>
    <w:rsid w:val="00FA1D93"/>
    <w:rsid w:val="00FA58F7"/>
    <w:rsid w:val="00FB0AB5"/>
    <w:rsid w:val="00FB183B"/>
    <w:rsid w:val="00FB295F"/>
    <w:rsid w:val="00FB41D3"/>
    <w:rsid w:val="00FB5D01"/>
    <w:rsid w:val="00FC0237"/>
    <w:rsid w:val="00FC0E93"/>
    <w:rsid w:val="00FC24D4"/>
    <w:rsid w:val="00FD2FDD"/>
    <w:rsid w:val="00FE2B69"/>
    <w:rsid w:val="00FE7043"/>
    <w:rsid w:val="00FF4F3C"/>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1348EA"/>
    <w:pPr>
      <w:ind w:left="720"/>
      <w:contextualSpacing/>
    </w:pPr>
  </w:style>
  <w:style w:type="character" w:customStyle="1" w:styleId="AntratsDiagrama">
    <w:name w:val="Antraštės Diagrama"/>
    <w:basedOn w:val="Numatytasispastraiposriftas"/>
    <w:link w:val="Antrats"/>
    <w:uiPriority w:val="99"/>
    <w:rsid w:val="00A943D1"/>
    <w:rPr>
      <w:sz w:val="24"/>
      <w:szCs w:val="24"/>
      <w:lang w:eastAsia="ar-SA"/>
    </w:rPr>
  </w:style>
  <w:style w:type="character" w:styleId="Perirtashipersaitas">
    <w:name w:val="FollowedHyperlink"/>
    <w:basedOn w:val="Numatytasispastraiposriftas"/>
    <w:semiHidden/>
    <w:unhideWhenUsed/>
    <w:rsid w:val="00B04F06"/>
    <w:rPr>
      <w:color w:val="800080" w:themeColor="followedHyperlink"/>
      <w:u w:val="single"/>
    </w:rPr>
  </w:style>
  <w:style w:type="character" w:styleId="Komentaronuoroda">
    <w:name w:val="annotation reference"/>
    <w:basedOn w:val="Numatytasispastraiposriftas"/>
    <w:semiHidden/>
    <w:unhideWhenUsed/>
    <w:rsid w:val="00B04F06"/>
    <w:rPr>
      <w:sz w:val="16"/>
      <w:szCs w:val="16"/>
    </w:rPr>
  </w:style>
  <w:style w:type="paragraph" w:styleId="Komentarotekstas">
    <w:name w:val="annotation text"/>
    <w:basedOn w:val="prastasis"/>
    <w:link w:val="KomentarotekstasDiagrama"/>
    <w:semiHidden/>
    <w:unhideWhenUsed/>
    <w:rsid w:val="00B04F06"/>
    <w:rPr>
      <w:sz w:val="20"/>
      <w:szCs w:val="20"/>
    </w:rPr>
  </w:style>
  <w:style w:type="character" w:customStyle="1" w:styleId="KomentarotekstasDiagrama">
    <w:name w:val="Komentaro tekstas Diagrama"/>
    <w:basedOn w:val="Numatytasispastraiposriftas"/>
    <w:link w:val="Komentarotekstas"/>
    <w:semiHidden/>
    <w:rsid w:val="00B04F06"/>
    <w:rPr>
      <w:lang w:eastAsia="ar-SA"/>
    </w:rPr>
  </w:style>
  <w:style w:type="paragraph" w:styleId="Komentarotema">
    <w:name w:val="annotation subject"/>
    <w:basedOn w:val="Komentarotekstas"/>
    <w:next w:val="Komentarotekstas"/>
    <w:link w:val="KomentarotemaDiagrama"/>
    <w:semiHidden/>
    <w:unhideWhenUsed/>
    <w:rsid w:val="00B04F06"/>
    <w:rPr>
      <w:b/>
      <w:bCs/>
    </w:rPr>
  </w:style>
  <w:style w:type="character" w:customStyle="1" w:styleId="KomentarotemaDiagrama">
    <w:name w:val="Komentaro tema Diagrama"/>
    <w:basedOn w:val="KomentarotekstasDiagrama"/>
    <w:link w:val="Komentarotema"/>
    <w:semiHidden/>
    <w:rsid w:val="00B04F06"/>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528164">
      <w:bodyDiv w:val="1"/>
      <w:marLeft w:val="0"/>
      <w:marRight w:val="0"/>
      <w:marTop w:val="0"/>
      <w:marBottom w:val="0"/>
      <w:divBdr>
        <w:top w:val="none" w:sz="0" w:space="0" w:color="auto"/>
        <w:left w:val="none" w:sz="0" w:space="0" w:color="auto"/>
        <w:bottom w:val="none" w:sz="0" w:space="0" w:color="auto"/>
        <w:right w:val="none" w:sz="0" w:space="0" w:color="auto"/>
      </w:divBdr>
      <w:divsChild>
        <w:div w:id="1163935790">
          <w:marLeft w:val="0"/>
          <w:marRight w:val="0"/>
          <w:marTop w:val="0"/>
          <w:marBottom w:val="0"/>
          <w:divBdr>
            <w:top w:val="none" w:sz="0" w:space="0" w:color="auto"/>
            <w:left w:val="none" w:sz="0" w:space="0" w:color="auto"/>
            <w:bottom w:val="none" w:sz="0" w:space="0" w:color="auto"/>
            <w:right w:val="none" w:sz="0" w:space="0" w:color="auto"/>
          </w:divBdr>
          <w:divsChild>
            <w:div w:id="786851258">
              <w:marLeft w:val="0"/>
              <w:marRight w:val="0"/>
              <w:marTop w:val="0"/>
              <w:marBottom w:val="0"/>
              <w:divBdr>
                <w:top w:val="none" w:sz="0" w:space="0" w:color="auto"/>
                <w:left w:val="none" w:sz="0" w:space="0" w:color="auto"/>
                <w:bottom w:val="none" w:sz="0" w:space="0" w:color="auto"/>
                <w:right w:val="none" w:sz="0" w:space="0" w:color="auto"/>
              </w:divBdr>
              <w:divsChild>
                <w:div w:id="1432895270">
                  <w:marLeft w:val="0"/>
                  <w:marRight w:val="0"/>
                  <w:marTop w:val="0"/>
                  <w:marBottom w:val="0"/>
                  <w:divBdr>
                    <w:top w:val="none" w:sz="0" w:space="0" w:color="auto"/>
                    <w:left w:val="none" w:sz="0" w:space="0" w:color="auto"/>
                    <w:bottom w:val="none" w:sz="0" w:space="0" w:color="auto"/>
                    <w:right w:val="none" w:sz="0" w:space="0" w:color="auto"/>
                  </w:divBdr>
                  <w:divsChild>
                    <w:div w:id="1241136511">
                      <w:marLeft w:val="0"/>
                      <w:marRight w:val="0"/>
                      <w:marTop w:val="0"/>
                      <w:marBottom w:val="0"/>
                      <w:divBdr>
                        <w:top w:val="none" w:sz="0" w:space="0" w:color="auto"/>
                        <w:left w:val="none" w:sz="0" w:space="0" w:color="auto"/>
                        <w:bottom w:val="none" w:sz="0" w:space="0" w:color="auto"/>
                        <w:right w:val="none" w:sz="0" w:space="0" w:color="auto"/>
                      </w:divBdr>
                      <w:divsChild>
                        <w:div w:id="18751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c995a6c0e42d11e99f05bdf72918ad4e"
                 TargetMode="External"
                 Type="http://schemas.openxmlformats.org/officeDocument/2006/relationships/hyperlink"/>
   <Relationship Id="rId9" Target="mailto:jurate.burtiliene@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8C88-0C33-4FCB-BAC6-DF83CFCA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4851</Words>
  <Characters>2766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2021-01-20T06:25:00Z</dcterms:created>
  <dc:creator>D.Glodenis</dc:creator>
  <cp:lastModifiedBy>Dainora Švirmickienė</cp:lastModifiedBy>
  <cp:lastPrinted>2014-12-18T07:34:00Z</cp:lastPrinted>
  <dcterms:modified xsi:type="dcterms:W3CDTF">2021-01-20T06:25:00Z</dcterms:modified>
  <cp:revision>3</cp:revision>
  <dc:title>[Adresatas]</dc:title>
</cp:coreProperties>
</file>