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53FB6" w14:textId="761293B3" w:rsidR="00425533" w:rsidRPr="00EF279C" w:rsidRDefault="00DB3473" w:rsidP="00EF2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DB347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LIETUVOS RESPUBLIKOS</w:t>
      </w:r>
      <w:r w:rsidRPr="00DB3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EF27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VYRIAUSYBĖS NUTARIMO „DĖL </w:t>
      </w:r>
      <w:r w:rsidR="00EF279C" w:rsidRPr="00EF27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TEISĖJŲ VALSTYBINIŲ PENSIJŲ ĮSTATYMO NR. IX-1011 3 STRAIPSNIO PAKEITIMO ĮSTATYMO PROJEKTO NR. XIVP-285</w:t>
      </w:r>
      <w:r w:rsidR="00EF27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“ </w:t>
      </w:r>
      <w:r w:rsidRPr="00DB347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PROJEKTO</w:t>
      </w:r>
    </w:p>
    <w:p w14:paraId="7B7A26C5" w14:textId="77777777" w:rsidR="000C6CCA" w:rsidRPr="00DB3473" w:rsidRDefault="000C6CCA" w:rsidP="00767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x-none"/>
        </w:rPr>
      </w:pPr>
      <w:r w:rsidRPr="00CE48A7">
        <w:rPr>
          <w:rFonts w:ascii="Times New Roman" w:hAnsi="Times New Roman" w:cs="Times New Roman"/>
          <w:b/>
          <w:sz w:val="24"/>
          <w:szCs w:val="24"/>
        </w:rPr>
        <w:t>DERINIMO PAŽYMA</w:t>
      </w:r>
    </w:p>
    <w:p w14:paraId="182E44DC" w14:textId="77777777" w:rsidR="00F54BCE" w:rsidRPr="00CE48A7" w:rsidRDefault="00F54BCE" w:rsidP="00EB13E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5134" w:type="dxa"/>
        <w:tblLook w:val="04A0" w:firstRow="1" w:lastRow="0" w:firstColumn="1" w:lastColumn="0" w:noHBand="0" w:noVBand="1"/>
      </w:tblPr>
      <w:tblGrid>
        <w:gridCol w:w="2236"/>
        <w:gridCol w:w="4950"/>
        <w:gridCol w:w="7948"/>
      </w:tblGrid>
      <w:tr w:rsidR="0009133C" w:rsidRPr="00CE48A7" w14:paraId="732C2C00" w14:textId="77777777" w:rsidTr="002C753F">
        <w:trPr>
          <w:trHeight w:val="1019"/>
        </w:trPr>
        <w:tc>
          <w:tcPr>
            <w:tcW w:w="2236" w:type="dxa"/>
            <w:vAlign w:val="center"/>
          </w:tcPr>
          <w:p w14:paraId="421477F9" w14:textId="77777777" w:rsidR="00461144" w:rsidRPr="00CE48A7" w:rsidRDefault="006008E6" w:rsidP="00EB13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8A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t-LT"/>
              </w:rPr>
              <w:t>Institucijos pavadinimas, rašto data ir numeris</w:t>
            </w:r>
          </w:p>
        </w:tc>
        <w:tc>
          <w:tcPr>
            <w:tcW w:w="4950" w:type="dxa"/>
            <w:vAlign w:val="center"/>
          </w:tcPr>
          <w:p w14:paraId="264B734F" w14:textId="77777777" w:rsidR="00461144" w:rsidRPr="00CE48A7" w:rsidRDefault="006008E6" w:rsidP="00EB13E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48A7">
              <w:rPr>
                <w:rFonts w:ascii="Times New Roman" w:hAnsi="Times New Roman" w:cs="Times New Roman"/>
                <w:b/>
                <w:sz w:val="24"/>
                <w:szCs w:val="24"/>
              </w:rPr>
              <w:t>Pastabos ir pasiūlymai</w:t>
            </w:r>
          </w:p>
        </w:tc>
        <w:tc>
          <w:tcPr>
            <w:tcW w:w="7948" w:type="dxa"/>
            <w:vAlign w:val="center"/>
          </w:tcPr>
          <w:p w14:paraId="37936E19" w14:textId="77777777" w:rsidR="00AF746B" w:rsidRPr="00CE48A7" w:rsidRDefault="006008E6" w:rsidP="00EB13E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48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Žyma apie pastabas ir pasiūlymus</w:t>
            </w:r>
            <w:r w:rsidR="00AF746B" w:rsidRPr="00CE48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į kuriuos neatsižvelgta ar</w:t>
            </w:r>
          </w:p>
          <w:p w14:paraId="2DF38B1A" w14:textId="77777777" w:rsidR="00461144" w:rsidRPr="00CE48A7" w:rsidRDefault="00AF746B" w:rsidP="00EB13E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48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atsižvelgta iš dalies</w:t>
            </w:r>
          </w:p>
        </w:tc>
      </w:tr>
      <w:tr w:rsidR="00462328" w:rsidRPr="00CE48A7" w14:paraId="3E8EEE4A" w14:textId="77777777" w:rsidTr="002C753F">
        <w:tc>
          <w:tcPr>
            <w:tcW w:w="2236" w:type="dxa"/>
          </w:tcPr>
          <w:p w14:paraId="4427C94B" w14:textId="37188780" w:rsidR="00462328" w:rsidRPr="00CE48A7" w:rsidRDefault="00EF279C" w:rsidP="00EB13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79C">
              <w:rPr>
                <w:rFonts w:ascii="Times New Roman" w:hAnsi="Times New Roman" w:cs="Times New Roman"/>
                <w:sz w:val="24"/>
                <w:szCs w:val="24"/>
              </w:rPr>
              <w:t>Nacionalinė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F279C">
              <w:rPr>
                <w:rFonts w:ascii="Times New Roman" w:hAnsi="Times New Roman" w:cs="Times New Roman"/>
                <w:sz w:val="24"/>
                <w:szCs w:val="24"/>
              </w:rPr>
              <w:t xml:space="preserve"> teismų administracij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EF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9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95A4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A745D1">
              <w:rPr>
                <w:rFonts w:ascii="Times New Roman" w:hAnsi="Times New Roman" w:cs="Times New Roman"/>
                <w:sz w:val="24"/>
                <w:szCs w:val="24"/>
              </w:rPr>
              <w:t xml:space="preserve"> m. balandžio 21 d.</w:t>
            </w:r>
            <w:r w:rsidR="00D95A42">
              <w:rPr>
                <w:rFonts w:ascii="Times New Roman" w:hAnsi="Times New Roman" w:cs="Times New Roman"/>
                <w:sz w:val="24"/>
                <w:szCs w:val="24"/>
              </w:rPr>
              <w:t xml:space="preserve"> raštas </w:t>
            </w:r>
            <w:r w:rsidR="00A729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95A42">
              <w:rPr>
                <w:rFonts w:ascii="Times New Roman" w:hAnsi="Times New Roman" w:cs="Times New Roman"/>
                <w:sz w:val="24"/>
                <w:szCs w:val="24"/>
              </w:rPr>
              <w:t>Nr. 4R-567-(6.6)</w:t>
            </w:r>
          </w:p>
          <w:p w14:paraId="45622082" w14:textId="77777777" w:rsidR="00462328" w:rsidRPr="00CE48A7" w:rsidRDefault="00462328" w:rsidP="00EB13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5E208" w14:textId="77777777" w:rsidR="00462328" w:rsidRPr="00CE48A7" w:rsidRDefault="00462328" w:rsidP="00EB13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D3FB3" w14:textId="77777777" w:rsidR="00462328" w:rsidRPr="00CE48A7" w:rsidRDefault="00462328" w:rsidP="00EB13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7C173FE" w14:textId="4F16DF14" w:rsidR="00462328" w:rsidRPr="004E7E4F" w:rsidRDefault="00D95A42" w:rsidP="002B0E30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&lt;...&gt;</w:t>
            </w:r>
            <w:r w:rsidR="00A72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279C" w:rsidRPr="00EF279C">
              <w:rPr>
                <w:rFonts w:ascii="Times New Roman" w:hAnsi="Times New Roman"/>
                <w:sz w:val="24"/>
                <w:szCs w:val="24"/>
              </w:rPr>
              <w:t xml:space="preserve">Administracija, suprasdama siekį užtikrinti nuoseklų valstybinių pensijų sistemos tobulinimą, kuris gali būti įgyvendintas kompleksiškai sprendžiant valstybinių pensijų sistemos problemas, visgi norėtų atkreipti dėmesį į tai, kad terminas pateikti sisteminius siūlymus dėl valstybinių pensijų gana ilgas (iki 2023 m. II </w:t>
            </w:r>
            <w:proofErr w:type="spellStart"/>
            <w:r w:rsidR="00EF279C" w:rsidRPr="00EF279C">
              <w:rPr>
                <w:rFonts w:ascii="Times New Roman" w:hAnsi="Times New Roman"/>
                <w:sz w:val="24"/>
                <w:szCs w:val="24"/>
              </w:rPr>
              <w:t>ketv</w:t>
            </w:r>
            <w:proofErr w:type="spellEnd"/>
            <w:r w:rsidR="00EF279C" w:rsidRPr="00EF279C">
              <w:rPr>
                <w:rFonts w:ascii="Times New Roman" w:hAnsi="Times New Roman"/>
                <w:sz w:val="24"/>
                <w:szCs w:val="24"/>
              </w:rPr>
              <w:t xml:space="preserve">.). Remiantis minėta Konstitucinio Teismo jurisprudencija, įstatymų leidėjas turi nustatyti tokį teisinį reguliavimą, kuris užtikrintų teisėjo ir teismų nepriklausomumą, </w:t>
            </w:r>
            <w:proofErr w:type="spellStart"/>
            <w:r w:rsidR="00EF279C" w:rsidRPr="00EF279C">
              <w:rPr>
                <w:rFonts w:ascii="Times New Roman" w:hAnsi="Times New Roman"/>
                <w:i/>
                <w:iCs/>
                <w:sz w:val="24"/>
                <w:szCs w:val="24"/>
              </w:rPr>
              <w:t>inter</w:t>
            </w:r>
            <w:proofErr w:type="spellEnd"/>
            <w:r w:rsidR="00EF279C" w:rsidRPr="00EF279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alia </w:t>
            </w:r>
            <w:r w:rsidR="00EF279C" w:rsidRPr="00EF279C">
              <w:rPr>
                <w:rFonts w:ascii="Times New Roman" w:hAnsi="Times New Roman"/>
                <w:sz w:val="24"/>
                <w:szCs w:val="24"/>
              </w:rPr>
              <w:t>teisėjo socialines (materialines) garantijas ne tik teisėjui einant pareigas, bet ir nutrūkus jo įgaliojimams. Todėl siūlome įvertinti galimybes Įstatymo projektą svarstyti artimiausiu metu.</w:t>
            </w:r>
            <w:r>
              <w:rPr>
                <w:rFonts w:ascii="Times New Roman" w:hAnsi="Times New Roman"/>
                <w:sz w:val="24"/>
                <w:szCs w:val="24"/>
              </w:rPr>
              <w:t>&lt;...&gt;</w:t>
            </w:r>
          </w:p>
        </w:tc>
        <w:tc>
          <w:tcPr>
            <w:tcW w:w="7948" w:type="dxa"/>
          </w:tcPr>
          <w:p w14:paraId="1101F6B7" w14:textId="77777777" w:rsidR="00462328" w:rsidRDefault="00EF279C" w:rsidP="008179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Neatsižvelgta.</w:t>
            </w:r>
          </w:p>
          <w:p w14:paraId="2B3FDCAD" w14:textId="7E7B94A8" w:rsidR="00A225F2" w:rsidRDefault="00A225F2" w:rsidP="00817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i/>
                <w:sz w:val="24"/>
                <w:szCs w:val="24"/>
              </w:rPr>
              <w:t>Pirma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vadovaujantis šiuo metu</w:t>
            </w:r>
            <w:r w:rsidR="00EC7FDE">
              <w:rPr>
                <w:rFonts w:ascii="Times New Roman" w:hAnsi="Times New Roman" w:cs="Times New Roman"/>
                <w:sz w:val="24"/>
                <w:szCs w:val="24"/>
              </w:rPr>
              <w:t xml:space="preserve"> galiojan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čiu </w:t>
            </w:r>
            <w:r w:rsidR="00EC7FDE">
              <w:rPr>
                <w:rFonts w:ascii="Times New Roman" w:hAnsi="Times New Roman" w:cs="Times New Roman"/>
                <w:sz w:val="24"/>
                <w:szCs w:val="24"/>
              </w:rPr>
              <w:t>teisin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iu</w:t>
            </w:r>
            <w:r w:rsidR="00EC7FDE">
              <w:rPr>
                <w:rFonts w:ascii="Times New Roman" w:hAnsi="Times New Roman" w:cs="Times New Roman"/>
                <w:sz w:val="24"/>
                <w:szCs w:val="24"/>
              </w:rPr>
              <w:t xml:space="preserve"> reguliavim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u,</w:t>
            </w:r>
            <w:r w:rsidR="00EC7FDE">
              <w:rPr>
                <w:rFonts w:ascii="Times New Roman" w:hAnsi="Times New Roman" w:cs="Times New Roman"/>
                <w:sz w:val="24"/>
                <w:szCs w:val="24"/>
              </w:rPr>
              <w:t xml:space="preserve"> teisėjams, atitinkantiems Lietuvos Respublikos socialinio draudimo pensijų įstatyme nustatytas sąlygas,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atsižvelgiant į </w:t>
            </w:r>
            <w:r w:rsidR="00A7297B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Konstitucijos </w:t>
            </w:r>
            <w:r w:rsidR="00A729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52 straipsnį bei Lietuvos Respublikos </w:t>
            </w:r>
            <w:r w:rsidR="00EC7FDE">
              <w:rPr>
                <w:rFonts w:ascii="Times New Roman" w:hAnsi="Times New Roman" w:cs="Times New Roman"/>
                <w:sz w:val="24"/>
                <w:szCs w:val="24"/>
              </w:rPr>
              <w:t>Konstitucinio Teismo doktrin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ą,</w:t>
            </w:r>
            <w:r w:rsidR="00EC7FDE">
              <w:rPr>
                <w:rFonts w:ascii="Times New Roman" w:hAnsi="Times New Roman" w:cs="Times New Roman"/>
                <w:sz w:val="24"/>
                <w:szCs w:val="24"/>
              </w:rPr>
              <w:t xml:space="preserve"> yra užtikrinama viena svarbiausių socialinių (materialinių) garantijų – socialinio draudimo senatvės arba netekto darbingumo pensija.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Pabrėžtina, kad </w:t>
            </w:r>
            <w:r w:rsidR="00EF79AE">
              <w:rPr>
                <w:rFonts w:ascii="Times New Roman" w:hAnsi="Times New Roman" w:cs="Times New Roman"/>
                <w:sz w:val="24"/>
                <w:szCs w:val="24"/>
              </w:rPr>
              <w:t xml:space="preserve">teisėjams </w:t>
            </w:r>
            <w:r w:rsidRPr="00C50680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="00EC7FDE" w:rsidRPr="00C50680">
              <w:rPr>
                <w:rFonts w:ascii="Times New Roman" w:hAnsi="Times New Roman" w:cs="Times New Roman"/>
                <w:i/>
                <w:sz w:val="24"/>
                <w:szCs w:val="24"/>
              </w:rPr>
              <w:t>artu</w:t>
            </w:r>
            <w:r w:rsidR="00EC7FDE" w:rsidRPr="00A7297B">
              <w:rPr>
                <w:rFonts w:ascii="Times New Roman" w:hAnsi="Times New Roman" w:cs="Times New Roman"/>
                <w:sz w:val="24"/>
                <w:szCs w:val="24"/>
              </w:rPr>
              <w:t xml:space="preserve"> su socialinio draudimo pensija, nutrūkus </w:t>
            </w:r>
            <w:r w:rsidR="004C5062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r w:rsidR="00EC7FDE" w:rsidRPr="00A7297B">
              <w:rPr>
                <w:rFonts w:ascii="Times New Roman" w:hAnsi="Times New Roman" w:cs="Times New Roman"/>
                <w:sz w:val="24"/>
                <w:szCs w:val="24"/>
              </w:rPr>
              <w:t xml:space="preserve"> įgaliojimams ir įgijus reikalaujamą teisėjo darbo stažą</w:t>
            </w:r>
            <w:r w:rsidR="00D95A42" w:rsidRPr="00A729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5A42" w:rsidRPr="00A225F2">
              <w:rPr>
                <w:rFonts w:ascii="Times New Roman" w:hAnsi="Times New Roman" w:cs="Times New Roman"/>
                <w:sz w:val="24"/>
                <w:szCs w:val="24"/>
              </w:rPr>
              <w:t xml:space="preserve"> skiriama</w:t>
            </w:r>
            <w:r w:rsidR="00D95A42" w:rsidRPr="00C506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teisėjų valstybinė pensija, kuri yra papildoma iš valstybės biudžeto lėšų mokama ir jokiomis įmokomis nepagrįsta socialinė garantija</w:t>
            </w:r>
            <w:r w:rsidR="00D95A42">
              <w:rPr>
                <w:rFonts w:ascii="Times New Roman" w:hAnsi="Times New Roman" w:cs="Times New Roman"/>
                <w:sz w:val="24"/>
                <w:szCs w:val="24"/>
              </w:rPr>
              <w:t xml:space="preserve"> (vidutinės teisėjų valstybinė</w:t>
            </w:r>
            <w:r w:rsidR="00246E4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95A42">
              <w:rPr>
                <w:rFonts w:ascii="Times New Roman" w:hAnsi="Times New Roman" w:cs="Times New Roman"/>
                <w:sz w:val="24"/>
                <w:szCs w:val="24"/>
              </w:rPr>
              <w:t xml:space="preserve"> pensijos dydis 2020 m. </w:t>
            </w:r>
            <w:r w:rsidR="00D95A42" w:rsidRPr="00F578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95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E4E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F578A9">
              <w:rPr>
                <w:rFonts w:ascii="Times New Roman" w:hAnsi="Times New Roman" w:cs="Times New Roman"/>
                <w:sz w:val="24"/>
                <w:szCs w:val="24"/>
              </w:rPr>
              <w:t>006,</w:t>
            </w:r>
            <w:r w:rsidR="00246E4E">
              <w:rPr>
                <w:rFonts w:ascii="Times New Roman" w:hAnsi="Times New Roman" w:cs="Times New Roman"/>
                <w:sz w:val="24"/>
                <w:szCs w:val="24"/>
              </w:rPr>
              <w:t>39 </w:t>
            </w:r>
            <w:r w:rsidR="00D95A42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="00246E4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95A4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F5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F5AA42" w14:textId="565AA374" w:rsidR="00A7297B" w:rsidRDefault="00A7297B" w:rsidP="00A72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92721" w14:textId="428E4838" w:rsidR="00D95A42" w:rsidRPr="00D95A42" w:rsidRDefault="00A225F2" w:rsidP="009721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680">
              <w:rPr>
                <w:rFonts w:ascii="Times New Roman" w:hAnsi="Times New Roman" w:cs="Times New Roman"/>
                <w:i/>
                <w:sz w:val="24"/>
                <w:szCs w:val="24"/>
              </w:rPr>
              <w:t>Antra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</w:t>
            </w:r>
            <w:r w:rsidR="00D95A42" w:rsidRPr="00D95A42">
              <w:rPr>
                <w:rFonts w:ascii="Times New Roman" w:hAnsi="Times New Roman" w:cs="Times New Roman"/>
                <w:sz w:val="24"/>
                <w:szCs w:val="24"/>
              </w:rPr>
              <w:t xml:space="preserve">ienas prioritetinių Lietuvos Respublikos Vyriausybės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tikslų</w:t>
            </w:r>
            <w:r w:rsidR="0099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įtvirtintų</w:t>
            </w:r>
            <w:r w:rsidR="00D95A42" w:rsidRPr="00D95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A42">
              <w:rPr>
                <w:rFonts w:ascii="Times New Roman" w:hAnsi="Times New Roman" w:cs="Times New Roman"/>
                <w:sz w:val="24"/>
                <w:szCs w:val="24"/>
              </w:rPr>
              <w:t>Aštuonioliktosios Lietuvos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espublikos</w:t>
            </w:r>
            <w:r w:rsidR="00A7297B">
              <w:rPr>
                <w:rFonts w:ascii="Times New Roman" w:hAnsi="Times New Roman" w:cs="Times New Roman"/>
                <w:sz w:val="24"/>
                <w:szCs w:val="24"/>
              </w:rPr>
              <w:t xml:space="preserve"> Vyriausybės programoje, kuriai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pritarta </w:t>
            </w:r>
            <w:r w:rsidR="00D95A42" w:rsidRPr="00D95A42">
              <w:rPr>
                <w:rFonts w:ascii="Times New Roman" w:hAnsi="Times New Roman" w:cs="Times New Roman"/>
                <w:sz w:val="24"/>
                <w:szCs w:val="24"/>
              </w:rPr>
              <w:t>Lietuvos Respublikos Seimo 2020 m. gruodžio 11 d. nutarimu Nr. XIV-72 „Dėl Aštuonioliktosios Lietuvos Respublikos Vyriausybės programos“ (toliau – Programa), yra kokybiška ir planuojama teisėkūra. Ypač daug dėmesio numatoma skirti prioritetinių teisėkūros iniciatyvų planavimui, pašalinant teisines spragas ir prieštaringą teisinį reguliavimą (Programos 191.1 punktas).</w:t>
            </w:r>
            <w:r w:rsidR="00A7297B">
              <w:rPr>
                <w:rFonts w:ascii="Times New Roman" w:hAnsi="Times New Roman" w:cs="Times New Roman"/>
                <w:sz w:val="24"/>
                <w:szCs w:val="24"/>
              </w:rPr>
              <w:t xml:space="preserve"> Pritarus Įstatymo projektu teikiamiems siūlymams ir nustačius teisėjams papildomą garantiją, bus sukurtas teisėtas lūkestis, kad tokia garantija galios ir ateityje, todėl manome, kad</w:t>
            </w:r>
            <w:r w:rsidR="00996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297B">
              <w:rPr>
                <w:rFonts w:ascii="Times New Roman" w:hAnsi="Times New Roman" w:cs="Times New Roman"/>
                <w:sz w:val="24"/>
                <w:szCs w:val="24"/>
              </w:rPr>
              <w:t xml:space="preserve"> neatlikus išsamios valstybinių pensijų sistemos analizės, kurią numatoma pradėti 2022 m.,</w:t>
            </w:r>
            <w:r w:rsidR="0097215F">
              <w:rPr>
                <w:rFonts w:ascii="Times New Roman" w:hAnsi="Times New Roman" w:cs="Times New Roman"/>
                <w:sz w:val="24"/>
                <w:szCs w:val="24"/>
              </w:rPr>
              <w:t xml:space="preserve"> ir neapsisprendus dėl visos valstybinių pensijų sistemos pertvarkos krypčių ir apimties,</w:t>
            </w:r>
            <w:r w:rsidR="00A7297B">
              <w:rPr>
                <w:rFonts w:ascii="Times New Roman" w:hAnsi="Times New Roman" w:cs="Times New Roman"/>
                <w:sz w:val="24"/>
                <w:szCs w:val="24"/>
              </w:rPr>
              <w:t xml:space="preserve"> papildomų teisinių ir finansinių įsipareigojimų</w:t>
            </w:r>
            <w:r w:rsidR="00996CAB">
              <w:rPr>
                <w:rFonts w:ascii="Times New Roman" w:hAnsi="Times New Roman" w:cs="Times New Roman"/>
                <w:sz w:val="24"/>
                <w:szCs w:val="24"/>
              </w:rPr>
              <w:t xml:space="preserve"> prisiimti negalima. </w:t>
            </w:r>
          </w:p>
        </w:tc>
      </w:tr>
    </w:tbl>
    <w:p w14:paraId="1FEFC737" w14:textId="77777777" w:rsidR="00461144" w:rsidRPr="00CE48A7" w:rsidRDefault="00461144" w:rsidP="00EB13E1">
      <w:pPr>
        <w:spacing w:after="0" w:line="276" w:lineRule="auto"/>
        <w:rPr>
          <w:rFonts w:ascii="Times New Roman" w:hAnsi="Times New Roman" w:cs="Times New Roman"/>
        </w:rPr>
      </w:pPr>
    </w:p>
    <w:sectPr w:rsidR="00461144" w:rsidRPr="00CE48A7" w:rsidSect="00817981">
      <w:headerReference w:type="default" r:id="rId8"/>
      <w:pgSz w:w="16838" w:h="11906" w:orient="landscape"/>
      <w:pgMar w:top="1276" w:right="1418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B8E26" w14:textId="77777777" w:rsidR="002A76F3" w:rsidRDefault="002A76F3" w:rsidP="000C6CCA">
      <w:pPr>
        <w:spacing w:after="0" w:line="240" w:lineRule="auto"/>
      </w:pPr>
      <w:r>
        <w:separator/>
      </w:r>
    </w:p>
  </w:endnote>
  <w:endnote w:type="continuationSeparator" w:id="0">
    <w:p w14:paraId="6724FCB7" w14:textId="77777777" w:rsidR="002A76F3" w:rsidRDefault="002A76F3" w:rsidP="000C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3B533" w14:textId="77777777" w:rsidR="002A76F3" w:rsidRDefault="002A76F3" w:rsidP="000C6CCA">
      <w:pPr>
        <w:spacing w:after="0" w:line="240" w:lineRule="auto"/>
      </w:pPr>
      <w:r>
        <w:separator/>
      </w:r>
    </w:p>
  </w:footnote>
  <w:footnote w:type="continuationSeparator" w:id="0">
    <w:p w14:paraId="3E3E843E" w14:textId="77777777" w:rsidR="002A76F3" w:rsidRDefault="002A76F3" w:rsidP="000C6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87088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AF9B44C" w14:textId="77777777" w:rsidR="000C6CCA" w:rsidRPr="00767DC0" w:rsidRDefault="005F245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67D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C6CCA" w:rsidRPr="00767DC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67D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79A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67D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886924F" w14:textId="77777777" w:rsidR="000C6CCA" w:rsidRDefault="000C6CC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42B21"/>
    <w:multiLevelType w:val="multilevel"/>
    <w:tmpl w:val="EE12F0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4" w:hanging="1800"/>
      </w:pPr>
      <w:rPr>
        <w:rFonts w:hint="default"/>
      </w:rPr>
    </w:lvl>
  </w:abstractNum>
  <w:abstractNum w:abstractNumId="1" w15:restartNumberingAfterBreak="0">
    <w:nsid w:val="19F9278A"/>
    <w:multiLevelType w:val="hybridMultilevel"/>
    <w:tmpl w:val="F3B290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D6065"/>
    <w:multiLevelType w:val="multilevel"/>
    <w:tmpl w:val="EE12F0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4" w:hanging="1800"/>
      </w:pPr>
      <w:rPr>
        <w:rFonts w:hint="default"/>
      </w:rPr>
    </w:lvl>
  </w:abstractNum>
  <w:abstractNum w:abstractNumId="3" w15:restartNumberingAfterBreak="0">
    <w:nsid w:val="59C06D8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D2F1E5B"/>
    <w:multiLevelType w:val="hybridMultilevel"/>
    <w:tmpl w:val="3FDC5F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B14"/>
    <w:rsid w:val="0002181A"/>
    <w:rsid w:val="00025C95"/>
    <w:rsid w:val="00027643"/>
    <w:rsid w:val="00033898"/>
    <w:rsid w:val="00037B05"/>
    <w:rsid w:val="0004532B"/>
    <w:rsid w:val="00055654"/>
    <w:rsid w:val="00060ED3"/>
    <w:rsid w:val="00061EC1"/>
    <w:rsid w:val="0007043B"/>
    <w:rsid w:val="000712F3"/>
    <w:rsid w:val="00072D06"/>
    <w:rsid w:val="000872F3"/>
    <w:rsid w:val="0009133C"/>
    <w:rsid w:val="0009619A"/>
    <w:rsid w:val="00096C65"/>
    <w:rsid w:val="000A309A"/>
    <w:rsid w:val="000B27CD"/>
    <w:rsid w:val="000B4A6E"/>
    <w:rsid w:val="000B6397"/>
    <w:rsid w:val="000C6CCA"/>
    <w:rsid w:val="000D1BA5"/>
    <w:rsid w:val="000D4128"/>
    <w:rsid w:val="000D61C9"/>
    <w:rsid w:val="001153CC"/>
    <w:rsid w:val="00142973"/>
    <w:rsid w:val="0014397B"/>
    <w:rsid w:val="00144B22"/>
    <w:rsid w:val="00147CD3"/>
    <w:rsid w:val="00170F9F"/>
    <w:rsid w:val="00182936"/>
    <w:rsid w:val="0019591E"/>
    <w:rsid w:val="001A13C2"/>
    <w:rsid w:val="001A33EA"/>
    <w:rsid w:val="001A3FC4"/>
    <w:rsid w:val="001C0C83"/>
    <w:rsid w:val="001C2911"/>
    <w:rsid w:val="001C3DA5"/>
    <w:rsid w:val="001C54C8"/>
    <w:rsid w:val="001E669D"/>
    <w:rsid w:val="001F09D2"/>
    <w:rsid w:val="001F3338"/>
    <w:rsid w:val="001F4EDC"/>
    <w:rsid w:val="001F5DAA"/>
    <w:rsid w:val="00207405"/>
    <w:rsid w:val="00210944"/>
    <w:rsid w:val="00210CD2"/>
    <w:rsid w:val="00213D70"/>
    <w:rsid w:val="002146E4"/>
    <w:rsid w:val="002203DC"/>
    <w:rsid w:val="00236207"/>
    <w:rsid w:val="00245432"/>
    <w:rsid w:val="0024562E"/>
    <w:rsid w:val="002462C3"/>
    <w:rsid w:val="00246E4E"/>
    <w:rsid w:val="00252844"/>
    <w:rsid w:val="00254C12"/>
    <w:rsid w:val="0025619E"/>
    <w:rsid w:val="002619FF"/>
    <w:rsid w:val="00273411"/>
    <w:rsid w:val="00274FE0"/>
    <w:rsid w:val="00275FAB"/>
    <w:rsid w:val="002826FA"/>
    <w:rsid w:val="00283A07"/>
    <w:rsid w:val="0028647C"/>
    <w:rsid w:val="00291918"/>
    <w:rsid w:val="0029200F"/>
    <w:rsid w:val="002A1E6D"/>
    <w:rsid w:val="002A6D8C"/>
    <w:rsid w:val="002A76F3"/>
    <w:rsid w:val="002B0E30"/>
    <w:rsid w:val="002B5C3F"/>
    <w:rsid w:val="002C6C8C"/>
    <w:rsid w:val="002C753F"/>
    <w:rsid w:val="002D4617"/>
    <w:rsid w:val="002D54FB"/>
    <w:rsid w:val="002F1097"/>
    <w:rsid w:val="00300B6C"/>
    <w:rsid w:val="00303E70"/>
    <w:rsid w:val="00307E85"/>
    <w:rsid w:val="00313103"/>
    <w:rsid w:val="003153B1"/>
    <w:rsid w:val="00330F7C"/>
    <w:rsid w:val="00351F46"/>
    <w:rsid w:val="00353469"/>
    <w:rsid w:val="003741FD"/>
    <w:rsid w:val="003745A4"/>
    <w:rsid w:val="00387F89"/>
    <w:rsid w:val="003A63A3"/>
    <w:rsid w:val="003C246C"/>
    <w:rsid w:val="003D0513"/>
    <w:rsid w:val="003E6C86"/>
    <w:rsid w:val="003F33A2"/>
    <w:rsid w:val="003F55AA"/>
    <w:rsid w:val="003F5B56"/>
    <w:rsid w:val="003F7677"/>
    <w:rsid w:val="00400D85"/>
    <w:rsid w:val="00402C15"/>
    <w:rsid w:val="00417D9E"/>
    <w:rsid w:val="00420276"/>
    <w:rsid w:val="00425533"/>
    <w:rsid w:val="00425CF5"/>
    <w:rsid w:val="004326C9"/>
    <w:rsid w:val="00450AAA"/>
    <w:rsid w:val="0045664C"/>
    <w:rsid w:val="0045688D"/>
    <w:rsid w:val="00461144"/>
    <w:rsid w:val="0046136C"/>
    <w:rsid w:val="00462328"/>
    <w:rsid w:val="00465CC3"/>
    <w:rsid w:val="00470B98"/>
    <w:rsid w:val="004B2F93"/>
    <w:rsid w:val="004C5062"/>
    <w:rsid w:val="004C7E59"/>
    <w:rsid w:val="004D1239"/>
    <w:rsid w:val="004D1BB7"/>
    <w:rsid w:val="004D4C79"/>
    <w:rsid w:val="004E7E4F"/>
    <w:rsid w:val="004F06DB"/>
    <w:rsid w:val="004F6EC7"/>
    <w:rsid w:val="00501BAC"/>
    <w:rsid w:val="00507F4A"/>
    <w:rsid w:val="00521998"/>
    <w:rsid w:val="00522691"/>
    <w:rsid w:val="00524B2C"/>
    <w:rsid w:val="00540C18"/>
    <w:rsid w:val="005419DE"/>
    <w:rsid w:val="0055476A"/>
    <w:rsid w:val="00555E30"/>
    <w:rsid w:val="0056605C"/>
    <w:rsid w:val="00572269"/>
    <w:rsid w:val="00580BD1"/>
    <w:rsid w:val="00585A54"/>
    <w:rsid w:val="005B1076"/>
    <w:rsid w:val="005B41EE"/>
    <w:rsid w:val="005C56A3"/>
    <w:rsid w:val="005C5E3E"/>
    <w:rsid w:val="005F245A"/>
    <w:rsid w:val="006008E6"/>
    <w:rsid w:val="00605120"/>
    <w:rsid w:val="0062014D"/>
    <w:rsid w:val="00620A44"/>
    <w:rsid w:val="00622EDA"/>
    <w:rsid w:val="006312C7"/>
    <w:rsid w:val="00644F0C"/>
    <w:rsid w:val="00654265"/>
    <w:rsid w:val="0067136F"/>
    <w:rsid w:val="0067645F"/>
    <w:rsid w:val="00680534"/>
    <w:rsid w:val="0068350F"/>
    <w:rsid w:val="00684219"/>
    <w:rsid w:val="00684356"/>
    <w:rsid w:val="006869DD"/>
    <w:rsid w:val="00691F57"/>
    <w:rsid w:val="00694E5C"/>
    <w:rsid w:val="006A20A3"/>
    <w:rsid w:val="006B02C4"/>
    <w:rsid w:val="006B71EC"/>
    <w:rsid w:val="006C2042"/>
    <w:rsid w:val="006D0AC7"/>
    <w:rsid w:val="006D1CB9"/>
    <w:rsid w:val="006F44B5"/>
    <w:rsid w:val="006F4570"/>
    <w:rsid w:val="006F47C5"/>
    <w:rsid w:val="006F735F"/>
    <w:rsid w:val="00701D3E"/>
    <w:rsid w:val="007044A1"/>
    <w:rsid w:val="00723F9C"/>
    <w:rsid w:val="00725015"/>
    <w:rsid w:val="00730153"/>
    <w:rsid w:val="007339CE"/>
    <w:rsid w:val="007358A8"/>
    <w:rsid w:val="0073759E"/>
    <w:rsid w:val="007448AD"/>
    <w:rsid w:val="00750A8A"/>
    <w:rsid w:val="0075189D"/>
    <w:rsid w:val="00767DC0"/>
    <w:rsid w:val="00772C97"/>
    <w:rsid w:val="00782F1E"/>
    <w:rsid w:val="00787DB7"/>
    <w:rsid w:val="007A02D5"/>
    <w:rsid w:val="007A04A8"/>
    <w:rsid w:val="007A2B40"/>
    <w:rsid w:val="007B2E67"/>
    <w:rsid w:val="007C5222"/>
    <w:rsid w:val="007D49A0"/>
    <w:rsid w:val="007D5948"/>
    <w:rsid w:val="007E51E8"/>
    <w:rsid w:val="00804A18"/>
    <w:rsid w:val="00804E7E"/>
    <w:rsid w:val="008054D2"/>
    <w:rsid w:val="00807B87"/>
    <w:rsid w:val="008107B3"/>
    <w:rsid w:val="008115C8"/>
    <w:rsid w:val="00812205"/>
    <w:rsid w:val="00817981"/>
    <w:rsid w:val="00821F6D"/>
    <w:rsid w:val="008368C3"/>
    <w:rsid w:val="00841052"/>
    <w:rsid w:val="00843571"/>
    <w:rsid w:val="0084763A"/>
    <w:rsid w:val="0086381A"/>
    <w:rsid w:val="00866864"/>
    <w:rsid w:val="00885668"/>
    <w:rsid w:val="0088576B"/>
    <w:rsid w:val="0089649E"/>
    <w:rsid w:val="008A59CC"/>
    <w:rsid w:val="008A5AF2"/>
    <w:rsid w:val="008A60B8"/>
    <w:rsid w:val="008D5221"/>
    <w:rsid w:val="008D539F"/>
    <w:rsid w:val="008E04D5"/>
    <w:rsid w:val="008E0D03"/>
    <w:rsid w:val="008E20C0"/>
    <w:rsid w:val="008E723F"/>
    <w:rsid w:val="008F04A9"/>
    <w:rsid w:val="008F07AC"/>
    <w:rsid w:val="008F6110"/>
    <w:rsid w:val="0090147B"/>
    <w:rsid w:val="00920B84"/>
    <w:rsid w:val="00932582"/>
    <w:rsid w:val="00945F4B"/>
    <w:rsid w:val="009536FA"/>
    <w:rsid w:val="009553AA"/>
    <w:rsid w:val="00962758"/>
    <w:rsid w:val="00970A25"/>
    <w:rsid w:val="0097215F"/>
    <w:rsid w:val="0098231F"/>
    <w:rsid w:val="00984B35"/>
    <w:rsid w:val="009856E5"/>
    <w:rsid w:val="00996CAB"/>
    <w:rsid w:val="00996F1D"/>
    <w:rsid w:val="009B2F3C"/>
    <w:rsid w:val="009C6066"/>
    <w:rsid w:val="009C6B9C"/>
    <w:rsid w:val="009D6B8E"/>
    <w:rsid w:val="00A05900"/>
    <w:rsid w:val="00A05A90"/>
    <w:rsid w:val="00A06362"/>
    <w:rsid w:val="00A10B14"/>
    <w:rsid w:val="00A225F2"/>
    <w:rsid w:val="00A46A15"/>
    <w:rsid w:val="00A618DD"/>
    <w:rsid w:val="00A7297B"/>
    <w:rsid w:val="00A745D1"/>
    <w:rsid w:val="00A74E08"/>
    <w:rsid w:val="00A811CF"/>
    <w:rsid w:val="00A94AB4"/>
    <w:rsid w:val="00AA3B62"/>
    <w:rsid w:val="00AA76A1"/>
    <w:rsid w:val="00AB73B6"/>
    <w:rsid w:val="00AD6F68"/>
    <w:rsid w:val="00AE7527"/>
    <w:rsid w:val="00AF1718"/>
    <w:rsid w:val="00AF746B"/>
    <w:rsid w:val="00B16E3A"/>
    <w:rsid w:val="00B17338"/>
    <w:rsid w:val="00B253C0"/>
    <w:rsid w:val="00B417E4"/>
    <w:rsid w:val="00B41EEA"/>
    <w:rsid w:val="00B50411"/>
    <w:rsid w:val="00B5045E"/>
    <w:rsid w:val="00B63E67"/>
    <w:rsid w:val="00B654C6"/>
    <w:rsid w:val="00B700C3"/>
    <w:rsid w:val="00B84EDD"/>
    <w:rsid w:val="00B94817"/>
    <w:rsid w:val="00BA5B05"/>
    <w:rsid w:val="00BB3BDE"/>
    <w:rsid w:val="00BC573A"/>
    <w:rsid w:val="00BF18EE"/>
    <w:rsid w:val="00C00BB2"/>
    <w:rsid w:val="00C0221A"/>
    <w:rsid w:val="00C04B09"/>
    <w:rsid w:val="00C26E88"/>
    <w:rsid w:val="00C40806"/>
    <w:rsid w:val="00C422A9"/>
    <w:rsid w:val="00C44D09"/>
    <w:rsid w:val="00C453B1"/>
    <w:rsid w:val="00C50680"/>
    <w:rsid w:val="00C64DA6"/>
    <w:rsid w:val="00C669A8"/>
    <w:rsid w:val="00C8686A"/>
    <w:rsid w:val="00CA3A42"/>
    <w:rsid w:val="00CA4A12"/>
    <w:rsid w:val="00CB387B"/>
    <w:rsid w:val="00CD408A"/>
    <w:rsid w:val="00CD4AE1"/>
    <w:rsid w:val="00CE187C"/>
    <w:rsid w:val="00CE48A7"/>
    <w:rsid w:val="00D05B2A"/>
    <w:rsid w:val="00D13455"/>
    <w:rsid w:val="00D500A3"/>
    <w:rsid w:val="00D57B2A"/>
    <w:rsid w:val="00D60081"/>
    <w:rsid w:val="00D61FD3"/>
    <w:rsid w:val="00D806C4"/>
    <w:rsid w:val="00D9487C"/>
    <w:rsid w:val="00D95A42"/>
    <w:rsid w:val="00D96BFA"/>
    <w:rsid w:val="00DB0E64"/>
    <w:rsid w:val="00DB3473"/>
    <w:rsid w:val="00DC0980"/>
    <w:rsid w:val="00DC76AA"/>
    <w:rsid w:val="00DD08C3"/>
    <w:rsid w:val="00DE405A"/>
    <w:rsid w:val="00DF27CB"/>
    <w:rsid w:val="00DF2BF7"/>
    <w:rsid w:val="00DF6D39"/>
    <w:rsid w:val="00E00A72"/>
    <w:rsid w:val="00E00E88"/>
    <w:rsid w:val="00E22F78"/>
    <w:rsid w:val="00E2674B"/>
    <w:rsid w:val="00E43582"/>
    <w:rsid w:val="00E45588"/>
    <w:rsid w:val="00E57736"/>
    <w:rsid w:val="00E618E1"/>
    <w:rsid w:val="00E65D36"/>
    <w:rsid w:val="00E75624"/>
    <w:rsid w:val="00E8268B"/>
    <w:rsid w:val="00EA33C2"/>
    <w:rsid w:val="00EA4462"/>
    <w:rsid w:val="00EB13E1"/>
    <w:rsid w:val="00EC44A8"/>
    <w:rsid w:val="00EC7FDE"/>
    <w:rsid w:val="00EF279C"/>
    <w:rsid w:val="00EF6434"/>
    <w:rsid w:val="00EF79AE"/>
    <w:rsid w:val="00F23D2F"/>
    <w:rsid w:val="00F26850"/>
    <w:rsid w:val="00F31626"/>
    <w:rsid w:val="00F4047C"/>
    <w:rsid w:val="00F43BB1"/>
    <w:rsid w:val="00F54BCE"/>
    <w:rsid w:val="00F578A9"/>
    <w:rsid w:val="00F6485C"/>
    <w:rsid w:val="00F76A27"/>
    <w:rsid w:val="00F80070"/>
    <w:rsid w:val="00F8027C"/>
    <w:rsid w:val="00F81DEB"/>
    <w:rsid w:val="00F83831"/>
    <w:rsid w:val="00F8662E"/>
    <w:rsid w:val="00F87BAD"/>
    <w:rsid w:val="00F9658A"/>
    <w:rsid w:val="00F968CB"/>
    <w:rsid w:val="00FB5238"/>
    <w:rsid w:val="00FB635A"/>
    <w:rsid w:val="00FC2D10"/>
    <w:rsid w:val="00FC5229"/>
    <w:rsid w:val="00FD0C71"/>
    <w:rsid w:val="00FD3198"/>
    <w:rsid w:val="00FE21EC"/>
    <w:rsid w:val="00FF3CDD"/>
    <w:rsid w:val="00FF3F5C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720D"/>
  <w15:docId w15:val="{304A3BDF-8EA1-4C2C-8269-5BBCE2B8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0C6C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z w:val="24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10B14"/>
    <w:pPr>
      <w:ind w:left="720"/>
      <w:contextualSpacing/>
    </w:pPr>
  </w:style>
  <w:style w:type="character" w:customStyle="1" w:styleId="Bodytext2">
    <w:name w:val="Body text (2)_"/>
    <w:basedOn w:val="Numatytasispastraiposriftas"/>
    <w:link w:val="Bodytext20"/>
    <w:rsid w:val="0068350F"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68350F"/>
    <w:pPr>
      <w:shd w:val="clear" w:color="auto" w:fill="FFFFFF"/>
      <w:spacing w:before="480" w:after="60" w:line="240" w:lineRule="auto"/>
      <w:jc w:val="both"/>
    </w:pPr>
    <w:rPr>
      <w:rFonts w:ascii="Times New Roman" w:hAnsi="Times New Roman" w:cs="Times New Roman"/>
    </w:rPr>
  </w:style>
  <w:style w:type="table" w:styleId="Lentelstinklelis">
    <w:name w:val="Table Grid"/>
    <w:basedOn w:val="prastojilentel"/>
    <w:uiPriority w:val="59"/>
    <w:rsid w:val="0046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rsid w:val="000C6CCA"/>
    <w:rPr>
      <w:rFonts w:ascii="Times New Roman" w:eastAsia="Times New Roman" w:hAnsi="Times New Roman" w:cs="Times New Roman"/>
      <w:b/>
      <w:caps/>
      <w:sz w:val="24"/>
      <w:szCs w:val="20"/>
      <w:lang w:val="x-none" w:eastAsia="x-none"/>
    </w:rPr>
  </w:style>
  <w:style w:type="paragraph" w:styleId="Antrats">
    <w:name w:val="header"/>
    <w:basedOn w:val="prastasis"/>
    <w:link w:val="AntratsDiagrama"/>
    <w:uiPriority w:val="99"/>
    <w:unhideWhenUsed/>
    <w:rsid w:val="000C6C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6CCA"/>
  </w:style>
  <w:style w:type="paragraph" w:styleId="Porat">
    <w:name w:val="footer"/>
    <w:basedOn w:val="prastasis"/>
    <w:link w:val="PoratDiagrama"/>
    <w:uiPriority w:val="99"/>
    <w:unhideWhenUsed/>
    <w:rsid w:val="000C6C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6CCA"/>
  </w:style>
  <w:style w:type="character" w:styleId="Komentaronuoroda">
    <w:name w:val="annotation reference"/>
    <w:basedOn w:val="Numatytasispastraiposriftas"/>
    <w:uiPriority w:val="99"/>
    <w:semiHidden/>
    <w:unhideWhenUsed/>
    <w:rsid w:val="00FD31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D319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D319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D31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D319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D3198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2B0E3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9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9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0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158C3-23F0-4430-87C7-2568D02AF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1833</Words>
  <Characters>1046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SoDra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2021-04-26T06:45:00Z</dcterms:created>
  <dc:creator>Justas Eimontas</dc:creator>
  <cp:lastModifiedBy>Inga Barauskaitė</cp:lastModifiedBy>
  <cp:lastPrinted>2020-06-12T06:07:00Z</cp:lastPrinted>
  <dcterms:modified xsi:type="dcterms:W3CDTF">2021-04-26T06:46:00Z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