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pPr w:leftFromText="180" w:rightFromText="180" w:vertAnchor="text" w:horzAnchor="margin" w:tblpXSpec="right" w:tblpY="23"/>
        <w:tblW w:w="4084" w:type="dxa"/>
        <w:tblLayout w:type="fixed"/>
        <w:tblLook w:val="04A0" w:firstRow="1" w:lastRow="0" w:firstColumn="1" w:lastColumn="0" w:noHBand="0" w:noVBand="1"/>
      </w:tblPr>
      <w:tblGrid>
        <w:gridCol w:w="4068"/>
        <w:gridCol w:w="16"/>
      </w:tblGrid>
      <w:tr w:rsidR="00701D09" w:rsidRPr="00043583" w14:paraId="450114AD" w14:textId="77777777" w:rsidTr="00701D09">
        <w:trPr>
          <w:cantSplit/>
          <w:trHeight w:val="340"/>
        </w:trPr>
        <w:tc>
          <w:tcPr>
            <w:tcW w:w="4084" w:type="dxa"/>
            <w:gridSpan w:val="2"/>
            <w:hideMark/>
          </w:tcPr>
          <w:p w14:paraId="68B00D74" w14:textId="40173C28" w:rsidR="00701D09" w:rsidRPr="00043583" w:rsidRDefault="00415AFA" w:rsidP="0059156B">
            <w:r>
              <w:t>2021-</w:t>
            </w:r>
            <w:r w:rsidR="00E66912">
              <w:t>12</w:t>
            </w:r>
            <w:r w:rsidR="00701D09" w:rsidRPr="00043583">
              <w:t xml:space="preserve">-     Nr. </w:t>
            </w:r>
          </w:p>
        </w:tc>
      </w:tr>
      <w:tr w:rsidR="00701D09" w:rsidRPr="00043583" w14:paraId="1D102CB3" w14:textId="77777777" w:rsidTr="00701D09">
        <w:trPr>
          <w:gridAfter w:val="1"/>
          <w:wAfter w:w="16" w:type="dxa"/>
          <w:cantSplit/>
          <w:trHeight w:val="340"/>
        </w:trPr>
        <w:tc>
          <w:tcPr>
            <w:tcW w:w="4068" w:type="dxa"/>
            <w:hideMark/>
          </w:tcPr>
          <w:p w14:paraId="5582FC26" w14:textId="227CC4B6" w:rsidR="00701D09" w:rsidRPr="00043583" w:rsidRDefault="00415AFA" w:rsidP="00902907">
            <w:pPr>
              <w:ind w:left="-108"/>
            </w:pPr>
            <w:r>
              <w:t>Į 2021-</w:t>
            </w:r>
            <w:r w:rsidR="00E66912">
              <w:t>11</w:t>
            </w:r>
            <w:r w:rsidR="00F60244">
              <w:t>-</w:t>
            </w:r>
            <w:r w:rsidR="00E66912">
              <w:t>12</w:t>
            </w:r>
            <w:r w:rsidR="00B96D90" w:rsidRPr="00F60244">
              <w:t xml:space="preserve"> Nr</w:t>
            </w:r>
            <w:r w:rsidR="00E66912" w:rsidRPr="00E66912">
              <w:t>.</w:t>
            </w:r>
            <w:r w:rsidR="00E66912" w:rsidRPr="00E66912">
              <w:rPr>
                <w:color w:val="000000"/>
                <w:shd w:val="clear" w:color="auto" w:fill="FFFFFF"/>
              </w:rPr>
              <w:t xml:space="preserve"> (13.3E-51)STAP-747</w:t>
            </w:r>
          </w:p>
        </w:tc>
      </w:tr>
    </w:tbl>
    <w:p w14:paraId="108FA247" w14:textId="77777777" w:rsidR="00B96D90" w:rsidRDefault="00701D09" w:rsidP="00043583">
      <w:pPr>
        <w:pStyle w:val="Adresas"/>
      </w:pPr>
      <w:r w:rsidRPr="00043583">
        <w:t xml:space="preserve">Lietuvos Respublikos </w:t>
      </w:r>
      <w:r w:rsidR="00B96D90" w:rsidRPr="00043583">
        <w:t>socialinės apsaugos i</w:t>
      </w:r>
      <w:r w:rsidR="00B96D90">
        <w:t xml:space="preserve">r </w:t>
      </w:r>
    </w:p>
    <w:p w14:paraId="715129B3" w14:textId="77777777" w:rsidR="00701D09" w:rsidRDefault="00B96D90" w:rsidP="007E6437">
      <w:pPr>
        <w:pStyle w:val="Adresas"/>
        <w:tabs>
          <w:tab w:val="left" w:pos="1134"/>
        </w:tabs>
      </w:pPr>
      <w:r>
        <w:t>darbo</w:t>
      </w:r>
      <w:r w:rsidR="00701D09">
        <w:t xml:space="preserve"> ministerijai</w:t>
      </w:r>
    </w:p>
    <w:p w14:paraId="18C8EB56" w14:textId="77777777" w:rsidR="00173698" w:rsidRDefault="00173698" w:rsidP="007E6437">
      <w:pPr>
        <w:pStyle w:val="Adresas"/>
        <w:tabs>
          <w:tab w:val="left" w:pos="1134"/>
        </w:tabs>
      </w:pPr>
    </w:p>
    <w:p w14:paraId="39A053AF" w14:textId="13199F2E" w:rsidR="00F60244" w:rsidRPr="00902907" w:rsidRDefault="006A65D1" w:rsidP="00902907">
      <w:pPr>
        <w:tabs>
          <w:tab w:val="left" w:pos="1134"/>
        </w:tabs>
        <w:spacing w:line="360" w:lineRule="auto"/>
        <w:jc w:val="both"/>
        <w:rPr>
          <w:b/>
          <w:caps/>
        </w:rPr>
      </w:pPr>
      <w:r w:rsidRPr="006A65D1">
        <w:rPr>
          <w:b/>
          <w:bCs/>
          <w:shd w:val="clear" w:color="auto" w:fill="FFFFFF"/>
        </w:rPr>
        <w:t>D</w:t>
      </w:r>
      <w:r w:rsidRPr="006E7109">
        <w:rPr>
          <w:b/>
          <w:bCs/>
          <w:shd w:val="clear" w:color="auto" w:fill="FFFFFF"/>
        </w:rPr>
        <w:t xml:space="preserve">ĖL </w:t>
      </w:r>
      <w:r w:rsidR="00B16F7C">
        <w:rPr>
          <w:b/>
        </w:rPr>
        <w:t>ĮSTATYMŲ PROJEKTŲ</w:t>
      </w:r>
    </w:p>
    <w:p w14:paraId="618F9326" w14:textId="77777777" w:rsidR="00173698" w:rsidRPr="006E7109" w:rsidRDefault="00173698" w:rsidP="00415AFA">
      <w:pPr>
        <w:spacing w:line="360" w:lineRule="auto"/>
        <w:jc w:val="both"/>
        <w:rPr>
          <w:b/>
          <w:caps/>
        </w:rPr>
      </w:pPr>
    </w:p>
    <w:p w14:paraId="782FE783" w14:textId="6E71676E" w:rsidR="00B16F7C" w:rsidRDefault="0059156B" w:rsidP="00902907">
      <w:pPr>
        <w:spacing w:line="360" w:lineRule="auto"/>
        <w:ind w:firstLine="567"/>
        <w:jc w:val="both"/>
      </w:pPr>
      <w:r w:rsidRPr="006E7109">
        <w:t>Lietuvos Respublikos t</w:t>
      </w:r>
      <w:r w:rsidR="00B96D90" w:rsidRPr="006E7109">
        <w:t xml:space="preserve">eisingumo ministerija, </w:t>
      </w:r>
      <w:r w:rsidR="00C50F45" w:rsidRPr="006E7109">
        <w:t>pagal kompetencij</w:t>
      </w:r>
      <w:r w:rsidR="00902907">
        <w:t>ą įvertinusi derinimui pateikt</w:t>
      </w:r>
      <w:r w:rsidR="00B16F7C">
        <w:t xml:space="preserve">us </w:t>
      </w:r>
      <w:r w:rsidR="00415AFA">
        <w:t xml:space="preserve"> </w:t>
      </w:r>
      <w:r w:rsidR="00C50F45" w:rsidRPr="006E7109">
        <w:t xml:space="preserve"> </w:t>
      </w:r>
    </w:p>
    <w:p w14:paraId="5A8F2889" w14:textId="3793C684" w:rsidR="00C50F45" w:rsidRDefault="00E4368A" w:rsidP="00B16F7C">
      <w:pPr>
        <w:spacing w:line="360" w:lineRule="auto"/>
        <w:jc w:val="both"/>
        <w:rPr>
          <w:iCs/>
        </w:rPr>
      </w:pPr>
      <w:hyperlink r:id="rId8" w:history="1">
        <w:r w:rsidR="00B16F7C" w:rsidRPr="00B16F7C">
          <w:rPr>
            <w:rStyle w:val="Hipersaitas"/>
          </w:rPr>
          <w:t>Lietuvos Respublikos užimtumo įstatymo Nr. XII-2470 1, 17, 20, 22, 24, 28, 29, 30, 31, 36, 37, 38, 39</w:t>
        </w:r>
        <w:r w:rsidR="00B16F7C" w:rsidRPr="00B16F7C">
          <w:rPr>
            <w:rStyle w:val="Hipersaitas"/>
            <w:vertAlign w:val="superscript"/>
          </w:rPr>
          <w:t>1</w:t>
        </w:r>
        <w:r w:rsidR="00B16F7C" w:rsidRPr="00B16F7C">
          <w:rPr>
            <w:rStyle w:val="Hipersaitas"/>
          </w:rPr>
          <w:t>, 40, 44, 46, 47 straipsnių pakeitimo ir Įstatymo papildymo 39</w:t>
        </w:r>
        <w:r w:rsidR="00B16F7C" w:rsidRPr="00B16F7C">
          <w:rPr>
            <w:rStyle w:val="Hipersaitas"/>
            <w:vertAlign w:val="superscript"/>
          </w:rPr>
          <w:t>2</w:t>
        </w:r>
        <w:r w:rsidR="00B16F7C" w:rsidRPr="00B16F7C">
          <w:rPr>
            <w:rStyle w:val="Hipersaitas"/>
          </w:rPr>
          <w:t> ir 39</w:t>
        </w:r>
        <w:r w:rsidR="00B16F7C" w:rsidRPr="00B16F7C">
          <w:rPr>
            <w:rStyle w:val="Hipersaitas"/>
            <w:vertAlign w:val="superscript"/>
          </w:rPr>
          <w:t>3</w:t>
        </w:r>
        <w:r w:rsidR="00B16F7C" w:rsidRPr="00B16F7C">
          <w:rPr>
            <w:rStyle w:val="Hipersaitas"/>
          </w:rPr>
          <w:t> straipsniais įstatymo projektą</w:t>
        </w:r>
      </w:hyperlink>
      <w:r w:rsidR="00B16F7C">
        <w:rPr>
          <w:color w:val="000000"/>
        </w:rPr>
        <w:t xml:space="preserve"> (toliau – Projektas) ir </w:t>
      </w:r>
      <w:hyperlink r:id="rId9" w:history="1">
        <w:r w:rsidR="00B16F7C" w:rsidRPr="00B16F7C">
          <w:rPr>
            <w:rStyle w:val="Hipersaitas"/>
          </w:rPr>
          <w:t>Lietuvos Respublikos sveikatos draudimo įstatymo Nr. I-1343 6 straipsnio pakeitimo įstatymo projektą</w:t>
        </w:r>
      </w:hyperlink>
      <w:r w:rsidR="00E66912">
        <w:rPr>
          <w:color w:val="000000"/>
        </w:rPr>
        <w:t xml:space="preserve"> (toliau kartu </w:t>
      </w:r>
      <w:r w:rsidR="00C64183">
        <w:rPr>
          <w:color w:val="000000"/>
        </w:rPr>
        <w:t>–</w:t>
      </w:r>
      <w:r w:rsidR="00E66912">
        <w:rPr>
          <w:color w:val="000000"/>
        </w:rPr>
        <w:t xml:space="preserve"> Projektai)</w:t>
      </w:r>
      <w:r w:rsidR="00B16F7C">
        <w:rPr>
          <w:color w:val="000000"/>
        </w:rPr>
        <w:t xml:space="preserve">, </w:t>
      </w:r>
      <w:r w:rsidR="006E4779" w:rsidRPr="006E7109">
        <w:t>teikia šias pastabas ir pasiūlymus</w:t>
      </w:r>
      <w:r w:rsidR="006E4779" w:rsidRPr="00415AFA">
        <w:rPr>
          <w:i/>
        </w:rPr>
        <w:t>.</w:t>
      </w:r>
    </w:p>
    <w:p w14:paraId="4AA03E49" w14:textId="77777777" w:rsidR="00BF46ED" w:rsidRDefault="00B16F7C" w:rsidP="00BF46ED">
      <w:pPr>
        <w:pStyle w:val="Sraopastraipa"/>
        <w:numPr>
          <w:ilvl w:val="0"/>
          <w:numId w:val="25"/>
        </w:numPr>
        <w:tabs>
          <w:tab w:val="left" w:pos="993"/>
        </w:tabs>
        <w:spacing w:line="360" w:lineRule="auto"/>
        <w:ind w:left="0" w:firstLine="720"/>
        <w:jc w:val="both"/>
      </w:pPr>
      <w:r w:rsidRPr="00C32E2A">
        <w:t xml:space="preserve">Kadangi </w:t>
      </w:r>
      <w:r>
        <w:t>keičiamo Lietuvos Respublikos užimtumo į</w:t>
      </w:r>
      <w:r w:rsidRPr="00C32E2A">
        <w:t xml:space="preserve">statymo </w:t>
      </w:r>
      <w:r>
        <w:t xml:space="preserve">(toliau – Įstatymas)                             </w:t>
      </w:r>
      <w:r w:rsidRPr="00C32E2A">
        <w:t xml:space="preserve">1 straipsnio 2 dalies 4 punktu keičiamos sąlygos (vietoje sąlygos darbdaviui turėti nuolatinę buveinę Lietuvos Respublikoje numatoma – būti registruotiems Lietuvos Respublikos juridinių asmenų registre), kurioms esant darbdaviui taikomos </w:t>
      </w:r>
      <w:r>
        <w:t>Įstatyme</w:t>
      </w:r>
      <w:r w:rsidRPr="00C32E2A">
        <w:t xml:space="preserve"> nustatytos darbo rinkos paslaugos ir užimtumo rėmimo priemonės, turi būti nustatytos įstatymo pereinamosios nuostatos, numatančios, kaip naujos įstatymo nuostatos bus taikomos tų darbdavių atžvilgiu, kuriems iki įstatymo įsigaliojimo jau yra taikomos darbo rinkos paslaugos ir užimtumo rėmimo priemonės</w:t>
      </w:r>
      <w:r>
        <w:t>.</w:t>
      </w:r>
      <w:r w:rsidR="00804090">
        <w:t xml:space="preserve"> </w:t>
      </w:r>
    </w:p>
    <w:p w14:paraId="2555A325" w14:textId="6AA803A2" w:rsidR="00BF46ED" w:rsidRDefault="00BF46ED" w:rsidP="00BF46ED">
      <w:pPr>
        <w:pStyle w:val="Sraopastraipa"/>
        <w:numPr>
          <w:ilvl w:val="0"/>
          <w:numId w:val="25"/>
        </w:numPr>
        <w:tabs>
          <w:tab w:val="left" w:pos="993"/>
        </w:tabs>
        <w:spacing w:line="360" w:lineRule="auto"/>
        <w:ind w:left="0" w:firstLine="720"/>
        <w:jc w:val="both"/>
      </w:pPr>
      <w:r w:rsidRPr="00C32E2A">
        <w:t>Atsižvelgiant į tai, kad Įstatyme (1 str. 3 d. 2 p.) atsiranda „prieglobsčio prašytojas“, siekiant aiškumo, Įstatyme turi būti apibrėžta, kaip Įstatyme yra suprantamas prieglobsčio prašytojas</w:t>
      </w:r>
      <w:r>
        <w:t xml:space="preserve"> arba duodama nuoroda į šią sąvoką apibrėžiantį įstatymą.</w:t>
      </w:r>
    </w:p>
    <w:p w14:paraId="0425EA3B" w14:textId="7BF11824" w:rsidR="00804090" w:rsidRPr="00804090" w:rsidRDefault="00804090" w:rsidP="00BF46ED">
      <w:pPr>
        <w:pStyle w:val="Sraopastraipa"/>
        <w:numPr>
          <w:ilvl w:val="0"/>
          <w:numId w:val="25"/>
        </w:numPr>
        <w:tabs>
          <w:tab w:val="left" w:pos="993"/>
        </w:tabs>
        <w:spacing w:line="360" w:lineRule="auto"/>
        <w:ind w:left="0" w:firstLine="720"/>
        <w:jc w:val="both"/>
      </w:pPr>
      <w:r w:rsidRPr="00BF46ED">
        <w:rPr>
          <w:color w:val="000000"/>
          <w:shd w:val="clear" w:color="auto" w:fill="FFFFFF"/>
        </w:rPr>
        <w:t>Projekto 1 straipsniu, keičiamo Įstatymo 1 straipsnio 2 dalies 4 punkto nuostatose, numatyta, kad</w:t>
      </w:r>
      <w:r w:rsidRPr="00BF46ED">
        <w:rPr>
          <w:color w:val="000000"/>
        </w:rPr>
        <w:t xml:space="preserve"> šiuo įstatymu nustatytos darbo rinkos paslaugos ir užimtumo rėmimo priemonės taikomos:</w:t>
      </w:r>
      <w:r w:rsidRPr="00BF46ED">
        <w:rPr>
          <w:color w:val="000000"/>
          <w:shd w:val="clear" w:color="auto" w:fill="FFFFFF"/>
        </w:rPr>
        <w:t xml:space="preserve"> </w:t>
      </w:r>
      <w:r w:rsidRPr="00BF46ED">
        <w:rPr>
          <w:i/>
          <w:iCs/>
          <w:color w:val="000000"/>
          <w:shd w:val="clear" w:color="auto" w:fill="FFFFFF"/>
        </w:rPr>
        <w:t>„</w:t>
      </w:r>
      <w:r w:rsidRPr="00BF46ED">
        <w:rPr>
          <w:i/>
          <w:iCs/>
          <w:color w:val="000000"/>
        </w:rPr>
        <w:t xml:space="preserve">4) darbdaviams, registruotiems Lietuvos Respublikos juridinių asmenų registre, </w:t>
      </w:r>
      <w:r w:rsidRPr="00BF46ED">
        <w:rPr>
          <w:b/>
          <w:bCs/>
          <w:i/>
          <w:iCs/>
          <w:color w:val="000000"/>
        </w:rPr>
        <w:t>ir darbdaviams fiziniams asmenims, kurie yra nuolatiniai Lietuvos Respublikos gyventojai“</w:t>
      </w:r>
      <w:r w:rsidRPr="00BF46ED">
        <w:rPr>
          <w:i/>
          <w:iCs/>
          <w:color w:val="000000"/>
        </w:rPr>
        <w:t xml:space="preserve"> </w:t>
      </w:r>
      <w:bookmarkStart w:id="0" w:name="_Hlk89345416"/>
      <w:r w:rsidRPr="00BF46ED">
        <w:rPr>
          <w:iCs/>
          <w:color w:val="000000"/>
        </w:rPr>
        <w:t>(čia išskirta ir paryškinta mūsų)</w:t>
      </w:r>
      <w:r w:rsidRPr="00BF46ED">
        <w:rPr>
          <w:i/>
          <w:iCs/>
          <w:color w:val="000000"/>
        </w:rPr>
        <w:t xml:space="preserve">. </w:t>
      </w:r>
      <w:bookmarkEnd w:id="0"/>
      <w:r w:rsidRPr="00BF46ED">
        <w:rPr>
          <w:iCs/>
          <w:color w:val="000000"/>
        </w:rPr>
        <w:t xml:space="preserve">Remiantis šia nuostata </w:t>
      </w:r>
      <w:r>
        <w:t xml:space="preserve">darbdaviai fiziniai asmenys, kurie nėra pragyvenę Lietuvos Respublikoje penkerių metų, nėra laikomi nuolatiniais Lietuvos Respublikos gyventojais, todėl jiems įstatymu </w:t>
      </w:r>
      <w:r w:rsidRPr="00BF46ED">
        <w:rPr>
          <w:color w:val="000000"/>
        </w:rPr>
        <w:t xml:space="preserve">nustatytos darbo rinkos paslaugos ir užimtumo rėmimo priemonės negali būti taikomos. Šiame kontekste pažymėtina, kad Sutarties dėl Europos Sąjungos veikimo 49 straipsnis, reglamentuojantis įsisteigimo laisvę, apima ir teisę imtis savarankiškai dirbančių asmenų veiklos bei </w:t>
      </w:r>
      <w:r w:rsidRPr="00BF46ED">
        <w:rPr>
          <w:color w:val="000000"/>
        </w:rPr>
        <w:lastRenderedPageBreak/>
        <w:t>ja verstis, o vadovaujantis Europos Sąjungos Teisingumo Teismo praktika draudžiama riboti ūkinės veiklos laisvę dėl subjekto teisinės formos (pavyzdžiui, žr. Sprendimo </w:t>
      </w:r>
      <w:proofErr w:type="spellStart"/>
      <w:r w:rsidRPr="00BF46ED">
        <w:rPr>
          <w:i/>
          <w:iCs/>
          <w:color w:val="000000"/>
        </w:rPr>
        <w:t>Oy</w:t>
      </w:r>
      <w:proofErr w:type="spellEnd"/>
      <w:r w:rsidRPr="00BF46ED">
        <w:rPr>
          <w:i/>
          <w:iCs/>
          <w:color w:val="000000"/>
        </w:rPr>
        <w:t xml:space="preserve"> AA</w:t>
      </w:r>
      <w:r w:rsidRPr="00BF46ED">
        <w:rPr>
          <w:color w:val="000000"/>
        </w:rPr>
        <w:t xml:space="preserve">, C-231/05, EU:C:2007:439, 40 punktą). Vertinant aptariamą įstatymo projekto nuostatą pažymėtina, kad juridinio asmens formą turinčiam darbdaviui galimybės dalyvauti užimtumo rėmimo priemonėse nėra ribojamos, tuo tarpu darbdaviams fiziniams asmenims iš esmės taikomas penkerių metų gyvenimo Lietuvos Respublikoje reikalavimas. Siekiant neriboti galimybės pasinaudoti </w:t>
      </w:r>
      <w:r>
        <w:t xml:space="preserve">įstatyme </w:t>
      </w:r>
      <w:r w:rsidRPr="00BF46ED">
        <w:rPr>
          <w:color w:val="000000"/>
        </w:rPr>
        <w:t xml:space="preserve">nustatytomis darbo rinkos paslaugomis ir užimtumo rėmimo priemonėmis darbdaviams fiziniams asmenims, kurie yra įsteigę </w:t>
      </w:r>
      <w:r w:rsidRPr="0093704D">
        <w:rPr>
          <w:color w:val="000000"/>
        </w:rPr>
        <w:t>darbo vietas Lietuvos Respublikoje, nors ir nėra pragyvenę 5 metų laikotarpio, aptariamą įstatymo projekto nuostatą siūlytume suformuluoti sekančiai:  „</w:t>
      </w:r>
      <w:r w:rsidRPr="0093704D">
        <w:rPr>
          <w:i/>
          <w:iCs/>
          <w:color w:val="000000"/>
        </w:rPr>
        <w:t xml:space="preserve">4) &lt;...&gt; </w:t>
      </w:r>
      <w:r w:rsidRPr="0093704D">
        <w:rPr>
          <w:bCs/>
          <w:i/>
        </w:rPr>
        <w:t>ir darbdaviams fiziniams asmenims, kurie yra</w:t>
      </w:r>
      <w:r w:rsidR="00376576" w:rsidRPr="0093704D">
        <w:rPr>
          <w:bCs/>
          <w:i/>
        </w:rPr>
        <w:t xml:space="preserve"> deklaravę gyvenamąją vietą pagal Lietuvos Respublikos gyvenamosios vietos deklaravimo įstatymą.</w:t>
      </w:r>
      <w:r w:rsidRPr="0093704D">
        <w:rPr>
          <w:bCs/>
          <w:i/>
        </w:rPr>
        <w:t>“.</w:t>
      </w:r>
    </w:p>
    <w:p w14:paraId="5D236A05" w14:textId="3B338C1F" w:rsidR="00804090" w:rsidRPr="00804090" w:rsidRDefault="00804090" w:rsidP="00804090">
      <w:pPr>
        <w:pStyle w:val="Sraopastraipa"/>
        <w:numPr>
          <w:ilvl w:val="0"/>
          <w:numId w:val="25"/>
        </w:numPr>
        <w:tabs>
          <w:tab w:val="left" w:pos="993"/>
        </w:tabs>
        <w:spacing w:line="360" w:lineRule="auto"/>
        <w:ind w:left="0" w:firstLine="720"/>
        <w:jc w:val="both"/>
      </w:pPr>
      <w:r>
        <w:rPr>
          <w:color w:val="000000"/>
          <w:shd w:val="clear" w:color="auto" w:fill="FFFFFF"/>
        </w:rPr>
        <w:t>Projekto</w:t>
      </w:r>
      <w:r w:rsidRPr="00804090">
        <w:rPr>
          <w:color w:val="000000"/>
          <w:shd w:val="clear" w:color="auto" w:fill="FFFFFF"/>
        </w:rPr>
        <w:t xml:space="preserve"> 4 straipsniu, keičiamo </w:t>
      </w:r>
      <w:r>
        <w:rPr>
          <w:color w:val="000000"/>
          <w:shd w:val="clear" w:color="auto" w:fill="FFFFFF"/>
        </w:rPr>
        <w:t>Į</w:t>
      </w:r>
      <w:r w:rsidRPr="00804090">
        <w:rPr>
          <w:color w:val="000000"/>
          <w:shd w:val="clear" w:color="auto" w:fill="FFFFFF"/>
        </w:rPr>
        <w:t>statymo 22 straipsnio 1 dalis papildoma 7 punktu, numatančiu, kad bedarbis yra asmuo, atitinkantis visas nurodytas sąlygas, t.</w:t>
      </w:r>
      <w:r w:rsidR="00C64183">
        <w:rPr>
          <w:color w:val="000000"/>
          <w:shd w:val="clear" w:color="auto" w:fill="FFFFFF"/>
        </w:rPr>
        <w:t xml:space="preserve"> </w:t>
      </w:r>
      <w:r w:rsidRPr="00804090">
        <w:rPr>
          <w:color w:val="000000"/>
          <w:shd w:val="clear" w:color="auto" w:fill="FFFFFF"/>
        </w:rPr>
        <w:t xml:space="preserve">y. atitinkantis ir naujai siūlomą įstatymo projekto nuostatą, numatančią, kad </w:t>
      </w:r>
      <w:r w:rsidRPr="00804090">
        <w:rPr>
          <w:i/>
          <w:iCs/>
          <w:color w:val="000000"/>
          <w:shd w:val="clear" w:color="auto" w:fill="FFFFFF"/>
        </w:rPr>
        <w:t>„</w:t>
      </w:r>
      <w:r w:rsidRPr="00804090">
        <w:rPr>
          <w:i/>
          <w:iCs/>
          <w:color w:val="000000"/>
        </w:rPr>
        <w:t xml:space="preserve">7) nėra deklaravęs išvykimo iš Lietuvos Respublikos, išskyrus Europos Sąjungos reglamentuose dėl socialinės apsaugos sistemų koordinavimo numatytą laikotarpį, kuriuo mokama asmens nedarbo socialinio draudimo išmoka.“ </w:t>
      </w:r>
      <w:r w:rsidRPr="00804090">
        <w:rPr>
          <w:color w:val="000000"/>
          <w:shd w:val="clear" w:color="auto" w:fill="FFFFFF"/>
        </w:rPr>
        <w:t>2004 m. balandžio 29 d. Europos Parlamento ir Tarybos reglamento  (EB) Nr. 883/2004 dėl socialinės apsaugos sistemų koordinavimo (toliau – Reglamentas (EB) 883/2004) 65 straipsnio 1 dalyje numatyta, kad „</w:t>
      </w:r>
      <w:r w:rsidRPr="00804090">
        <w:rPr>
          <w:i/>
          <w:iCs/>
          <w:color w:val="000000"/>
          <w:shd w:val="clear" w:color="auto" w:fill="FFFFFF"/>
        </w:rPr>
        <w:t xml:space="preserve">Asmuo, kuris iš dalies arba atsitiktinai tapo bedarbiu ir dirbdamas paskiausią darbą pagal darbo sutartį arba savarankiškai gyveno valstybėje narėje, kuri nėra kompetentinga valstybė narė, turi likti savo darbdavio arba kompetentingos valstybės narės įdarbinimo tarnybų žinioje. </w:t>
      </w:r>
      <w:r w:rsidRPr="00804090">
        <w:rPr>
          <w:b/>
          <w:i/>
          <w:iCs/>
          <w:color w:val="000000"/>
          <w:shd w:val="clear" w:color="auto" w:fill="FFFFFF"/>
        </w:rPr>
        <w:t>Išmokas jis gauna pagal kompetentingos valstybės narės teisės aktų nuostatas, tartum jis gyventų toje valstybėje narėje</w:t>
      </w:r>
      <w:r w:rsidRPr="00804090">
        <w:rPr>
          <w:i/>
          <w:iCs/>
          <w:color w:val="000000"/>
          <w:shd w:val="clear" w:color="auto" w:fill="FFFFFF"/>
        </w:rPr>
        <w:t xml:space="preserve">. Šias išmokas moka kompetentingos valstybės narės įstaiga.“. </w:t>
      </w:r>
      <w:r w:rsidRPr="00804090">
        <w:rPr>
          <w:color w:val="000000"/>
          <w:shd w:val="clear" w:color="auto" w:fill="FFFFFF"/>
        </w:rPr>
        <w:t xml:space="preserve">Be to, Reglamento (EB) 883/2004 65 straipsnio 2 dalyje numatyta, kad </w:t>
      </w:r>
      <w:r w:rsidRPr="00804090">
        <w:rPr>
          <w:i/>
          <w:iCs/>
          <w:color w:val="000000"/>
          <w:shd w:val="clear" w:color="auto" w:fill="FFFFFF"/>
        </w:rPr>
        <w:t xml:space="preserve">„Visiškas bedarbis, kuris, dirbdamas paskiausią darbą pagal darbo sutartį arba savarankiškai, gyveno valstybėje narėje, kuri nėra kompetentinga valstybė narė, ir kuris ir toliau gyvena toje valstybėje narėje arba grįžta į ją, turi būti gyvenamosios valstybės narės įdarbinimo tarnybų žinioje. </w:t>
      </w:r>
      <w:r w:rsidRPr="00804090">
        <w:rPr>
          <w:b/>
          <w:i/>
          <w:iCs/>
          <w:color w:val="000000"/>
          <w:shd w:val="clear" w:color="auto" w:fill="FFFFFF"/>
        </w:rPr>
        <w:t>Nepažeidžiant 64 straipsnio nuostatų, visiškas bedarbis papildomai gali būti valstybės narės, kurioje jis dirbo paskiausią darbą pagal darbo sutartį arba savarankiškai, įdarbinimo tarnybų žinioje</w:t>
      </w:r>
      <w:r w:rsidRPr="00804090">
        <w:rPr>
          <w:i/>
          <w:iCs/>
          <w:color w:val="000000"/>
          <w:shd w:val="clear" w:color="auto" w:fill="FFFFFF"/>
        </w:rPr>
        <w:t xml:space="preserve">.“ </w:t>
      </w:r>
      <w:r w:rsidRPr="00804090">
        <w:rPr>
          <w:iCs/>
          <w:color w:val="000000"/>
          <w:shd w:val="clear" w:color="auto" w:fill="FFFFFF"/>
        </w:rPr>
        <w:t xml:space="preserve">Atsižvelgdami į šias nuostatas, įstatymo projekto rengėjams siūlytume papildomai įsivertinti, ar bedarbiais gali būti laikomi tik tie asmenys, kurie yra deklaravę gyvenamąją vietą Lietuvos Respublikoje, bei siūlytume </w:t>
      </w:r>
      <w:r w:rsidRPr="00804090">
        <w:rPr>
          <w:color w:val="000000"/>
          <w:shd w:val="clear" w:color="auto" w:fill="FFFFFF"/>
        </w:rPr>
        <w:t xml:space="preserve">minėtą įstatymo projekto nuostatą formuluoti plačiau, </w:t>
      </w:r>
      <w:proofErr w:type="spellStart"/>
      <w:r w:rsidRPr="00804090">
        <w:rPr>
          <w:color w:val="000000"/>
          <w:shd w:val="clear" w:color="auto" w:fill="FFFFFF"/>
        </w:rPr>
        <w:t>t.y</w:t>
      </w:r>
      <w:proofErr w:type="spellEnd"/>
      <w:r w:rsidRPr="00804090">
        <w:rPr>
          <w:color w:val="000000"/>
          <w:shd w:val="clear" w:color="auto" w:fill="FFFFFF"/>
        </w:rPr>
        <w:t xml:space="preserve">. </w:t>
      </w:r>
      <w:r w:rsidRPr="00804090">
        <w:rPr>
          <w:i/>
          <w:iCs/>
          <w:color w:val="000000"/>
          <w:shd w:val="clear" w:color="auto" w:fill="FFFFFF"/>
        </w:rPr>
        <w:t>„</w:t>
      </w:r>
      <w:r w:rsidRPr="00804090">
        <w:rPr>
          <w:i/>
          <w:iCs/>
        </w:rPr>
        <w:t>7) nėra deklaravęs išvykimo iš Lietuvos Respublikos, išskyrus Europos Sąjungos reglamentuose dėl socialinės apsaugos sistemų koordinavimo numatytus atvejus, kai bedarbis asmuo turi būti Užimtumo tarnybos žinioje“.</w:t>
      </w:r>
    </w:p>
    <w:p w14:paraId="0BD59137" w14:textId="77777777" w:rsidR="00B16F7C" w:rsidRDefault="00B16F7C" w:rsidP="00B16F7C">
      <w:pPr>
        <w:pStyle w:val="Sraopastraipa"/>
        <w:numPr>
          <w:ilvl w:val="0"/>
          <w:numId w:val="25"/>
        </w:numPr>
        <w:tabs>
          <w:tab w:val="left" w:pos="993"/>
        </w:tabs>
        <w:spacing w:line="360" w:lineRule="auto"/>
        <w:ind w:left="0" w:firstLine="720"/>
        <w:jc w:val="both"/>
      </w:pPr>
      <w:r w:rsidRPr="00C32E2A">
        <w:lastRenderedPageBreak/>
        <w:t>Atsižvelgiant į tai, kad nebelieka Įstatymo 22 straipsnio  5 dalies nuostatos, teigiančios, kad „</w:t>
      </w:r>
      <w:r w:rsidRPr="00C32E2A">
        <w:rPr>
          <w:lang w:eastAsia="lt-LT"/>
        </w:rPr>
        <w:t>Asmenų, kurių bedarbio statusas panaikintas dėl šio įstatymo 24 straipsnio 4 dalies 1–4 punktuose nurodytų aplinkybių, registracija Užimtumo tarnyboje tęsiama asmens prašymu“, turi būti numatytos pereinamosios nuostatos, numatančios kaip po įstatymo įsigaliojimo bus su tais asmenimis, kuriems iki įstatymo įsigaliojimo jų prašymu yra tęsiama registracija.</w:t>
      </w:r>
      <w:r w:rsidRPr="00C32E2A">
        <w:t xml:space="preserve"> Atitinkamai, kadangi atsiranda nauja sąlyga paminėto straipsnio 5 dalyje, kuriai esant gali būti tęsiama registracija Užimtumo tarnyboje asmens prašymu, taip pat turi būti numatytos Įstatymo pereinamosios nuostatos, kadangi nėra aišku, kaip būtų jei bedarbio statutas, kuris naikinamas dėl Įstatymo </w:t>
      </w:r>
      <w:r w:rsidRPr="00C32E2A">
        <w:rPr>
          <w:lang w:eastAsia="lt-LT"/>
        </w:rPr>
        <w:t>24 straipsnio 4 dalies 5–9 punktuose nurodytų aplinkybių,</w:t>
      </w:r>
      <w:r w:rsidRPr="00C32E2A">
        <w:t xml:space="preserve"> asmeniui būtų panaikinamas prieš Įstatymo įsigaliojimą, kuomet, kai dar nėra sąlygos prašymą dėl registracijos tęsimo tokiam asmeniui pateikti ne vėliau kaip per 3 darbo dienas nuo bedarbio statuso panaikinimo. Manytina, kad aptariama norma turi būti taikoma tik tiems asmenims, kuriems bedarbio statusas panaikinamas po Įstatymo įsigaliojimo dienos. Analogiškas pastebėjimas teikiamas ir aptariamo straipsnio 6 daliai, kadangi Projekte nebelieka pakartotinio registravimosi Užimtumo tarnyboje galimybės, kuri buvo numatyta minimo straipsnio 4 dalyje nurodytiems asmenims.</w:t>
      </w:r>
    </w:p>
    <w:p w14:paraId="4551624F" w14:textId="301E547F" w:rsidR="00F4533B" w:rsidRDefault="00B16F7C" w:rsidP="00F4533B">
      <w:pPr>
        <w:pStyle w:val="Sraopastraipa"/>
        <w:numPr>
          <w:ilvl w:val="0"/>
          <w:numId w:val="25"/>
        </w:numPr>
        <w:tabs>
          <w:tab w:val="left" w:pos="993"/>
        </w:tabs>
        <w:spacing w:after="0" w:line="360" w:lineRule="auto"/>
        <w:ind w:left="0" w:firstLine="709"/>
        <w:jc w:val="both"/>
      </w:pPr>
      <w:r w:rsidRPr="00C32E2A">
        <w:t>Manytina, kad per</w:t>
      </w:r>
      <w:r w:rsidR="00CF122E">
        <w:t>e</w:t>
      </w:r>
      <w:r w:rsidRPr="00C32E2A">
        <w:t>inamosios įstatymo nuostatos turi būti numatytos ir dėl Įstatymo 24 straipsnio nuostatų, kadangi juo keičiamos bedarbio statuso panaikinimo sąlygos, todėl</w:t>
      </w:r>
      <w:r w:rsidR="00163B9E">
        <w:t xml:space="preserve"> </w:t>
      </w:r>
      <w:r w:rsidRPr="00C32E2A">
        <w:t xml:space="preserve">turi būti </w:t>
      </w:r>
      <w:r w:rsidR="00CF122E">
        <w:t xml:space="preserve">aiškiai </w:t>
      </w:r>
      <w:r w:rsidRPr="00C32E2A">
        <w:t xml:space="preserve">nustatyta, </w:t>
      </w:r>
      <w:r w:rsidR="00CF122E">
        <w:t>kad atitinkama naujai nustatoma aplinkybė turi būti atsiradusi po pakeitimų įsigaliojimo</w:t>
      </w:r>
      <w:r w:rsidRPr="00C32E2A">
        <w:t>.</w:t>
      </w:r>
    </w:p>
    <w:p w14:paraId="361D16F7" w14:textId="0D0D3B1E" w:rsidR="00F4533B" w:rsidRPr="00F94585" w:rsidRDefault="00F4533B" w:rsidP="00F4533B">
      <w:pPr>
        <w:pStyle w:val="Sraopastraipa"/>
        <w:numPr>
          <w:ilvl w:val="0"/>
          <w:numId w:val="25"/>
        </w:numPr>
        <w:tabs>
          <w:tab w:val="left" w:pos="993"/>
        </w:tabs>
        <w:spacing w:after="0" w:line="360" w:lineRule="auto"/>
        <w:ind w:left="0" w:firstLine="709"/>
        <w:jc w:val="both"/>
      </w:pPr>
      <w:r w:rsidRPr="00F94585">
        <w:t>Įstatymo 29 straipsnio 1 dalį siūloma papildyti nuostata, jog Užimtumo tarnyba, įregistravusi darbo ieškantį asmenį</w:t>
      </w:r>
      <w:r w:rsidR="0087571E">
        <w:t>,</w:t>
      </w:r>
      <w:r w:rsidRPr="00F94585">
        <w:t xml:space="preserve"> atlieka jo įsidarbinimo galimybių vertinimą, kurio tikslas – parinkti darbo ieškantiems asmenims priemones, padedančias susirasti darbą, atsižvelgiant, be kita ko, į „turimus įsiskolinimus“. Manytina, kad siūlomas reguliavimas kelia abejonių dėl suderinamumo su </w:t>
      </w:r>
      <w:r w:rsidRPr="00F94585">
        <w:rPr>
          <w:lang w:eastAsia="lt-LT"/>
        </w:rPr>
        <w:t xml:space="preserve">2016 m. balandžio 27 d. Europos Parlamento ir Tarybos reglamente (ES) 2016/679 dėl fizinių asmenų apsaugos tvarkant asmens duomenis ir dėl laisvo tokių duomenų judėjimo ir kuriuo panaikinama Direktyva 95/46/EB (Bendrasis duomenų apsaugos reglamentas) apibrėžtais asmens duomenų apsaugos principais. Reglamento </w:t>
      </w:r>
      <w:r w:rsidR="008606CF">
        <w:rPr>
          <w:lang w:eastAsia="lt-LT"/>
        </w:rPr>
        <w:t xml:space="preserve">(ES) </w:t>
      </w:r>
      <w:r w:rsidRPr="00F94585">
        <w:rPr>
          <w:lang w:eastAsia="lt-LT"/>
        </w:rPr>
        <w:t>2016</w:t>
      </w:r>
      <w:r w:rsidR="008606CF">
        <w:rPr>
          <w:lang w:eastAsia="lt-LT"/>
        </w:rPr>
        <w:t>/</w:t>
      </w:r>
      <w:r w:rsidRPr="00F94585">
        <w:rPr>
          <w:lang w:eastAsia="lt-LT"/>
        </w:rPr>
        <w:t>679 5 straipsnio c punktas numato duomenų kiekio mažinimo principą, kuris reiškia, kad tvarkomi asmens duomen</w:t>
      </w:r>
      <w:r w:rsidR="008606CF">
        <w:rPr>
          <w:lang w:eastAsia="lt-LT"/>
        </w:rPr>
        <w:t>ys</w:t>
      </w:r>
      <w:r w:rsidRPr="00F94585">
        <w:rPr>
          <w:lang w:eastAsia="lt-LT"/>
        </w:rPr>
        <w:t xml:space="preserve"> turi būti adekvatūs, tinkami ir tik tokie, kurių reikia siekiant tikslų, dėl kurių jie tvarkomi. Nei teikime, nei aiškinamajame rašte nėra aiškiai pagrįsta, kokiu tikslu reikalinga rinkti duomenis dėl asmens turimų įsiskolinimų ir kodėl tokią informacij</w:t>
      </w:r>
      <w:r w:rsidR="0087571E">
        <w:rPr>
          <w:lang w:eastAsia="lt-LT"/>
        </w:rPr>
        <w:t>ą</w:t>
      </w:r>
      <w:r w:rsidRPr="00F94585">
        <w:rPr>
          <w:lang w:eastAsia="lt-LT"/>
        </w:rPr>
        <w:t xml:space="preserve"> vertėtų tvarkyti siekiant asmeniui padėti įsidarbinti. Atsižvelgiant į tai, abejotina, ar duomenų apie asmens įsiskolinimus tvarkymas yra būtinas aptartoje situacijoje, tad siūlytina šį aspektą įvertinti ir tokio duomenų tvarkymo atsisakyti arba pagrįsti būtinybę juos tvarkyti. </w:t>
      </w:r>
    </w:p>
    <w:p w14:paraId="61533E78" w14:textId="4C355C27" w:rsidR="00B16F7C" w:rsidRPr="00F94585" w:rsidRDefault="00B16F7C" w:rsidP="00F4533B">
      <w:pPr>
        <w:pStyle w:val="Sraopastraipa"/>
        <w:numPr>
          <w:ilvl w:val="0"/>
          <w:numId w:val="25"/>
        </w:numPr>
        <w:tabs>
          <w:tab w:val="left" w:pos="993"/>
        </w:tabs>
        <w:spacing w:after="0" w:line="360" w:lineRule="auto"/>
        <w:ind w:left="0" w:firstLine="709"/>
        <w:jc w:val="both"/>
      </w:pPr>
      <w:r w:rsidRPr="00F94585">
        <w:lastRenderedPageBreak/>
        <w:t>Manytina, kad tokie aspektai kaip: kokie asmens duomenys ir kita informacija nurodytina individualiame užimtumo veiklos plane (Įstatymo 31 str. 1 d.), kokia konkreti informacija apie bedarbio ar užimto asmens mokymo programos lankomumą teikiama Užimtumo tarnybai (37 str.                  2 d.) ar kokiu būdu ir kokius konkrečius asmens duomenis švietimo teikėjas teikia Užimtumo tarnybai  (39</w:t>
      </w:r>
      <w:r w:rsidRPr="00F94585">
        <w:rPr>
          <w:vertAlign w:val="superscript"/>
        </w:rPr>
        <w:t>2</w:t>
      </w:r>
      <w:r w:rsidRPr="00F94585">
        <w:t xml:space="preserve"> str. 2 d.), taip pat  44 str. 5 d. 4 p. nurodyti asmens duomenys ir kita informacija, yra ne įstatyminio reguliavimo dalykas, o poįstatyminio teisės akto.</w:t>
      </w:r>
    </w:p>
    <w:p w14:paraId="5B9587B1" w14:textId="77777777" w:rsidR="004A429D" w:rsidRDefault="00B16F7C" w:rsidP="004A429D">
      <w:pPr>
        <w:pStyle w:val="Sraopastraipa"/>
        <w:numPr>
          <w:ilvl w:val="0"/>
          <w:numId w:val="25"/>
        </w:numPr>
        <w:tabs>
          <w:tab w:val="left" w:pos="993"/>
        </w:tabs>
        <w:spacing w:line="360" w:lineRule="auto"/>
        <w:ind w:left="0" w:firstLine="720"/>
        <w:jc w:val="both"/>
      </w:pPr>
      <w:r w:rsidRPr="00F94585">
        <w:t xml:space="preserve">Kadangi Įstatymo 37 straipsnio  1 dalyje nebelieka užimtų asmenų profesinio mokymo (jis bus taikomas tik tiems užimtiems asmenims, kuriems dėl įmonės reorganizavimo, restruktūrizavimo, modernizavimo būtina įgyti kvalifikaciją, tobulinti turimą kvalifikaciją, įgyti kompetencijų), nėra aišku, ar ši norma bus taikoma tik </w:t>
      </w:r>
      <w:r w:rsidR="00622504" w:rsidRPr="00F94585">
        <w:t xml:space="preserve">po įstatymo įsigaliojimo </w:t>
      </w:r>
      <w:r w:rsidRPr="00F94585">
        <w:t xml:space="preserve">sudariusiems sutartis asmenims ar bus nutraukiamos sutartys </w:t>
      </w:r>
      <w:r w:rsidR="00622504" w:rsidRPr="00F94585">
        <w:t xml:space="preserve">(sudarytos iki įstatymo įsigaliojimo) </w:t>
      </w:r>
      <w:r w:rsidRPr="00F94585">
        <w:t xml:space="preserve">su tais, kurie neatitiks keičiamoje normoje nustatyto kriterijaus (dėl įmonės reorganizavimo ir t.t.). Tai turi būti aptarta įstatymo baigiamosiose nuostatose. </w:t>
      </w:r>
      <w:r w:rsidR="00F4533B" w:rsidRPr="00F94585">
        <w:t>Manytina</w:t>
      </w:r>
      <w:r w:rsidR="00322623" w:rsidRPr="00F94585">
        <w:t>,</w:t>
      </w:r>
      <w:r w:rsidR="00622504" w:rsidRPr="00F94585">
        <w:t xml:space="preserve"> kad</w:t>
      </w:r>
      <w:r w:rsidR="00322623" w:rsidRPr="00F94585">
        <w:t xml:space="preserve"> siekiant užtikrinti asmenų teisėtus lūkesčius, iki įstatymo įsigaliojimo sudarytos sutartys neturėtų būti </w:t>
      </w:r>
      <w:r w:rsidR="00CF513F" w:rsidRPr="00F94585">
        <w:t>nutraukiamos</w:t>
      </w:r>
      <w:r w:rsidR="00322623" w:rsidRPr="00F94585">
        <w:t xml:space="preserve">. </w:t>
      </w:r>
      <w:r w:rsidRPr="00F94585">
        <w:t>Analogišk</w:t>
      </w:r>
      <w:r w:rsidR="00322623" w:rsidRPr="00F94585">
        <w:t xml:space="preserve">i pastebėjimai </w:t>
      </w:r>
      <w:proofErr w:type="spellStart"/>
      <w:r w:rsidR="00322623" w:rsidRPr="00F94585">
        <w:t>teiktini</w:t>
      </w:r>
      <w:proofErr w:type="spellEnd"/>
      <w:r w:rsidR="00CF513F" w:rsidRPr="00F94585">
        <w:t xml:space="preserve"> </w:t>
      </w:r>
      <w:r w:rsidRPr="00F94585">
        <w:t xml:space="preserve"> ir aptariamo straipsnio 10 dali</w:t>
      </w:r>
      <w:r w:rsidR="00322623" w:rsidRPr="00F94585">
        <w:t>ai(kurioje</w:t>
      </w:r>
      <w:r w:rsidRPr="00F94585">
        <w:t xml:space="preserve"> atsiranda nauja sąlyga „ne toje pačioje mokymo programoje“</w:t>
      </w:r>
      <w:r w:rsidR="00322623" w:rsidRPr="00F94585">
        <w:t xml:space="preserve">) bei </w:t>
      </w:r>
      <w:r w:rsidR="00622504" w:rsidRPr="00F94585">
        <w:t>15 dalies 3 punktui, 16 dalies 2 punktui (kuriuose keičiami terminai).</w:t>
      </w:r>
      <w:r w:rsidR="00622504" w:rsidRPr="00F94585" w:rsidDel="00622504">
        <w:t xml:space="preserve"> </w:t>
      </w:r>
    </w:p>
    <w:p w14:paraId="082DDC71" w14:textId="40C9A6A4" w:rsidR="004A429D" w:rsidRPr="004A429D" w:rsidRDefault="004A429D" w:rsidP="00C64183">
      <w:pPr>
        <w:pStyle w:val="Sraopastraipa"/>
        <w:numPr>
          <w:ilvl w:val="0"/>
          <w:numId w:val="25"/>
        </w:numPr>
        <w:tabs>
          <w:tab w:val="left" w:pos="993"/>
          <w:tab w:val="left" w:pos="1134"/>
        </w:tabs>
        <w:spacing w:line="360" w:lineRule="auto"/>
        <w:ind w:left="0" w:firstLine="720"/>
        <w:jc w:val="both"/>
      </w:pPr>
      <w:r>
        <w:rPr>
          <w:color w:val="000000"/>
          <w:shd w:val="clear" w:color="auto" w:fill="FFFFFF"/>
        </w:rPr>
        <w:t>P</w:t>
      </w:r>
      <w:r w:rsidRPr="004A429D">
        <w:rPr>
          <w:color w:val="000000"/>
          <w:shd w:val="clear" w:color="auto" w:fill="FFFFFF"/>
        </w:rPr>
        <w:t xml:space="preserve">rojekto 11 straipsniu, keičiamo </w:t>
      </w:r>
      <w:r w:rsidR="00DA4C0F">
        <w:rPr>
          <w:color w:val="000000"/>
          <w:shd w:val="clear" w:color="auto" w:fill="FFFFFF"/>
        </w:rPr>
        <w:t>Į</w:t>
      </w:r>
      <w:r w:rsidRPr="004A429D">
        <w:rPr>
          <w:color w:val="000000"/>
          <w:shd w:val="clear" w:color="auto" w:fill="FFFFFF"/>
        </w:rPr>
        <w:t xml:space="preserve">statymo 37 straipsnio 3 dalyje numatyta, kad </w:t>
      </w:r>
      <w:r w:rsidRPr="004A429D">
        <w:rPr>
          <w:i/>
          <w:iCs/>
          <w:color w:val="000000"/>
          <w:shd w:val="clear" w:color="auto" w:fill="FFFFFF"/>
        </w:rPr>
        <w:t>„</w:t>
      </w:r>
      <w:r w:rsidRPr="004A429D">
        <w:rPr>
          <w:i/>
          <w:iCs/>
          <w:color w:val="000000"/>
        </w:rPr>
        <w:t>Profesinis mokymas pagal programas, kurios suteikia kvalifikaciją darbui naudojant technologijas ir nėra įtrauktos į Studijų, mokymo programų ir kvalifikacijų registrą, gali būti organizuojamas ir kitose Europos Sąjungos valstybėse narėse pagal šių valstybių galiojančius teisės aktus, įgyvendinant projektus, finansuojamus iš Europos Sąjungos struktūrinių fondų.“.</w:t>
      </w:r>
      <w:r w:rsidRPr="004A429D">
        <w:rPr>
          <w:color w:val="000000"/>
        </w:rPr>
        <w:t xml:space="preserve"> Atsižvelgiant į tai, kad, nors ši nuostata yra galiojanti, tačiau nėra aišku, ar ji taikoma praktiškai bei dėl kokių priežasčių pasirinktas būtent darbui naudojamų technologijų kriterijus, siūlytume papildomai įvertinti jos tikslingumą ir poreikį išplėsti apimtį, numatant ir kitas kvalifikacijas, kurios </w:t>
      </w:r>
      <w:r w:rsidRPr="004A429D">
        <w:rPr>
          <w:iCs/>
          <w:color w:val="000000"/>
        </w:rPr>
        <w:t>nėra įtrauktos į Studijų, mokymo programų ir kvalifikacijų registrą</w:t>
      </w:r>
      <w:r w:rsidRPr="001759E2">
        <w:t xml:space="preserve"> </w:t>
      </w:r>
      <w:r>
        <w:t xml:space="preserve">ir kurios galėtų būti finansuojamos iš Europos Sąjungos struktūrinių fondų. </w:t>
      </w:r>
    </w:p>
    <w:p w14:paraId="1D92B820" w14:textId="47AAE0CB" w:rsidR="00B16F7C" w:rsidRPr="00F94585" w:rsidRDefault="00B16F7C" w:rsidP="00C64183">
      <w:pPr>
        <w:pStyle w:val="Sraopastraipa"/>
        <w:numPr>
          <w:ilvl w:val="0"/>
          <w:numId w:val="25"/>
        </w:numPr>
        <w:tabs>
          <w:tab w:val="left" w:pos="851"/>
          <w:tab w:val="left" w:pos="1134"/>
        </w:tabs>
        <w:spacing w:line="360" w:lineRule="auto"/>
        <w:ind w:left="0" w:firstLine="720"/>
        <w:jc w:val="both"/>
      </w:pPr>
      <w:r w:rsidRPr="00F94585">
        <w:t xml:space="preserve">Aiškinamajame rašte </w:t>
      </w:r>
      <w:r w:rsidR="00CF122E" w:rsidRPr="00F94585">
        <w:t>nepagrįsta</w:t>
      </w:r>
      <w:r w:rsidRPr="00F94585">
        <w:t>, kodėl nebelieka Įstatymo 37 straipsnio  5 dalyje numatytos išimties (dėl lėšų).</w:t>
      </w:r>
    </w:p>
    <w:p w14:paraId="7ECEB9D6" w14:textId="1920E745" w:rsidR="00B16F7C" w:rsidRPr="00F94585" w:rsidRDefault="00B16F7C" w:rsidP="00C64183">
      <w:pPr>
        <w:pStyle w:val="Sraopastraipa"/>
        <w:numPr>
          <w:ilvl w:val="0"/>
          <w:numId w:val="25"/>
        </w:numPr>
        <w:tabs>
          <w:tab w:val="left" w:pos="993"/>
          <w:tab w:val="left" w:pos="1134"/>
        </w:tabs>
        <w:spacing w:line="360" w:lineRule="auto"/>
        <w:ind w:left="0" w:firstLine="720"/>
        <w:jc w:val="both"/>
      </w:pPr>
      <w:r w:rsidRPr="00F94585">
        <w:t>Atsižvelgiant į tai, kad atsiranda apmokėjimas už kelionės, privalomojo sveikatos tikrinimo ir skiepijimo nuo užkrečiamų ligų išlaidų apmokėjimas bedarbiams (39</w:t>
      </w:r>
      <w:r w:rsidRPr="00F94585">
        <w:rPr>
          <w:vertAlign w:val="superscript"/>
        </w:rPr>
        <w:t>1</w:t>
      </w:r>
      <w:r w:rsidRPr="00F94585">
        <w:t xml:space="preserve"> straipsnis), siūlytina, įvertinus Vyriausybės ar jos įgaliotos institucijos nustatytą tokių kompensacijų  tvarką (pavyzdžiui, ar nėra kompensuojama už praėjusį laikotarpį), įsivertinti, ar neturi būti nustatytos įstatymo pereinamosios nuostatos dėl aptariamame straipsnyje nurodyto apmokėjimo taikymo</w:t>
      </w:r>
      <w:r w:rsidR="00CF122E" w:rsidRPr="00F94585">
        <w:t>.</w:t>
      </w:r>
    </w:p>
    <w:p w14:paraId="42D717CE" w14:textId="77777777" w:rsidR="001201B1" w:rsidRPr="00F94585" w:rsidRDefault="00B16F7C" w:rsidP="001201B1">
      <w:pPr>
        <w:pStyle w:val="Sraopastraipa"/>
        <w:numPr>
          <w:ilvl w:val="0"/>
          <w:numId w:val="25"/>
        </w:numPr>
        <w:tabs>
          <w:tab w:val="left" w:pos="993"/>
          <w:tab w:val="left" w:pos="1134"/>
        </w:tabs>
        <w:spacing w:after="0" w:line="360" w:lineRule="auto"/>
        <w:ind w:left="0" w:firstLine="709"/>
        <w:jc w:val="both"/>
      </w:pPr>
      <w:r w:rsidRPr="00F94585">
        <w:lastRenderedPageBreak/>
        <w:t>Kadangi keičiasi kreipimosi dėl kelionės išlaidų kompensacijų (dėl paramos judumui) laikotarpis, per kurį privaloma kreiptis, norint gauti kompensaciją, būtina nustatyti įstatymo pereinamąsias nuostatas, aiškiai numatant, ar asmenys kurie iki įstatymo įsigaliojimo įsidarbino arba dalyvavo remiamojo įdarbinimo priemonėse ir pan., tačiau jau įsigaliojus įstatymui (nepraėjus nustatytam vieno mėnesiui terminui), galės kreiptis dėl kompensacijos gavimo.</w:t>
      </w:r>
    </w:p>
    <w:p w14:paraId="67829A2F" w14:textId="77777777" w:rsidR="001201B1" w:rsidRPr="00F94585" w:rsidRDefault="001201B1" w:rsidP="001201B1">
      <w:pPr>
        <w:pStyle w:val="Sraopastraipa"/>
        <w:numPr>
          <w:ilvl w:val="0"/>
          <w:numId w:val="25"/>
        </w:numPr>
        <w:tabs>
          <w:tab w:val="left" w:pos="993"/>
          <w:tab w:val="left" w:pos="1134"/>
        </w:tabs>
        <w:spacing w:after="0" w:line="360" w:lineRule="auto"/>
        <w:ind w:left="0" w:firstLine="709"/>
        <w:jc w:val="both"/>
      </w:pPr>
      <w:r w:rsidRPr="00F94585">
        <w:rPr>
          <w:lang w:eastAsia="lt-LT"/>
        </w:rPr>
        <w:t xml:space="preserve">Projekto 21 straipsnio pavadinimas turėtų būti suformuluotas pagal Galiojančio teisinio reguliavimo poveikio </w:t>
      </w:r>
      <w:proofErr w:type="spellStart"/>
      <w:r w:rsidRPr="00F94585">
        <w:rPr>
          <w:i/>
          <w:lang w:eastAsia="lt-LT"/>
        </w:rPr>
        <w:t>ex</w:t>
      </w:r>
      <w:proofErr w:type="spellEnd"/>
      <w:r w:rsidRPr="00F94585">
        <w:rPr>
          <w:i/>
          <w:lang w:eastAsia="lt-LT"/>
        </w:rPr>
        <w:t xml:space="preserve"> post </w:t>
      </w:r>
      <w:r w:rsidRPr="00F94585">
        <w:rPr>
          <w:lang w:eastAsia="lt-LT"/>
        </w:rPr>
        <w:t>vertinimo metodikos, patvirtintos Lietuvos Respublikos Vyriausybės 2021 m. gegužės 5 d. nutarimu, Nr. 308 (toliau – Metodika), 1 priede nurodytus pavyzdžius. Atkreipiamas dėmesys, kad Lietuvos Respublikos teisėkūros pagrindų įstatyme nebeliko teisinio reguliavimo stebėsenos.</w:t>
      </w:r>
    </w:p>
    <w:p w14:paraId="3D0F4C1A" w14:textId="77777777" w:rsidR="001201B1" w:rsidRPr="00F94585" w:rsidRDefault="001201B1" w:rsidP="001201B1">
      <w:pPr>
        <w:pStyle w:val="Sraopastraipa"/>
        <w:numPr>
          <w:ilvl w:val="0"/>
          <w:numId w:val="25"/>
        </w:numPr>
        <w:tabs>
          <w:tab w:val="left" w:pos="993"/>
          <w:tab w:val="left" w:pos="1134"/>
        </w:tabs>
        <w:spacing w:after="0" w:line="360" w:lineRule="auto"/>
        <w:ind w:left="0" w:firstLine="709"/>
        <w:jc w:val="both"/>
      </w:pPr>
      <w:r w:rsidRPr="00F94585">
        <w:rPr>
          <w:lang w:eastAsia="lt-LT"/>
        </w:rPr>
        <w:t xml:space="preserve">Pagal Metodikos 14.1 papunktį, Projekto 21 straipsnio 1 dalyje turi būti nurodyta tik </w:t>
      </w:r>
      <w:proofErr w:type="spellStart"/>
      <w:r w:rsidRPr="00F94585">
        <w:rPr>
          <w:i/>
          <w:iCs/>
          <w:lang w:eastAsia="lt-LT"/>
        </w:rPr>
        <w:t>ex</w:t>
      </w:r>
      <w:proofErr w:type="spellEnd"/>
      <w:r w:rsidRPr="00F94585">
        <w:rPr>
          <w:i/>
          <w:iCs/>
          <w:lang w:eastAsia="lt-LT"/>
        </w:rPr>
        <w:t xml:space="preserve"> post</w:t>
      </w:r>
      <w:r w:rsidRPr="00F94585">
        <w:rPr>
          <w:lang w:eastAsia="lt-LT"/>
        </w:rPr>
        <w:t xml:space="preserve"> vertinimą atliekanti ministerija. Todėl paminėta Projekto straipsnio dalis turi būti patikslinta. </w:t>
      </w:r>
    </w:p>
    <w:p w14:paraId="07B117A1" w14:textId="77777777" w:rsidR="001201B1" w:rsidRPr="00F94585" w:rsidRDefault="001201B1" w:rsidP="001201B1">
      <w:pPr>
        <w:pStyle w:val="Sraopastraipa"/>
        <w:numPr>
          <w:ilvl w:val="0"/>
          <w:numId w:val="25"/>
        </w:numPr>
        <w:tabs>
          <w:tab w:val="left" w:pos="993"/>
          <w:tab w:val="left" w:pos="1134"/>
        </w:tabs>
        <w:spacing w:after="0" w:line="360" w:lineRule="auto"/>
        <w:ind w:left="0" w:firstLine="709"/>
        <w:jc w:val="both"/>
      </w:pPr>
      <w:r w:rsidRPr="00F94585">
        <w:rPr>
          <w:lang w:eastAsia="lt-LT"/>
        </w:rPr>
        <w:t>Numatomo teisinio poveikio vertinimas (</w:t>
      </w:r>
      <w:proofErr w:type="spellStart"/>
      <w:r w:rsidRPr="00F94585">
        <w:rPr>
          <w:i/>
          <w:iCs/>
          <w:lang w:eastAsia="lt-LT"/>
        </w:rPr>
        <w:t>ex</w:t>
      </w:r>
      <w:proofErr w:type="spellEnd"/>
      <w:r w:rsidRPr="00F94585">
        <w:rPr>
          <w:i/>
          <w:iCs/>
          <w:lang w:eastAsia="lt-LT"/>
        </w:rPr>
        <w:t xml:space="preserve"> ante</w:t>
      </w:r>
      <w:r w:rsidRPr="00F94585">
        <w:rPr>
          <w:lang w:eastAsia="lt-LT"/>
        </w:rPr>
        <w:t xml:space="preserve">) ir </w:t>
      </w:r>
      <w:proofErr w:type="spellStart"/>
      <w:r w:rsidRPr="00F94585">
        <w:rPr>
          <w:i/>
          <w:iCs/>
          <w:lang w:eastAsia="lt-LT"/>
        </w:rPr>
        <w:t>ex</w:t>
      </w:r>
      <w:proofErr w:type="spellEnd"/>
      <w:r w:rsidRPr="00F94585">
        <w:rPr>
          <w:i/>
          <w:iCs/>
          <w:lang w:eastAsia="lt-LT"/>
        </w:rPr>
        <w:t xml:space="preserve"> post</w:t>
      </w:r>
      <w:r w:rsidRPr="00F94585">
        <w:rPr>
          <w:lang w:eastAsia="lt-LT"/>
        </w:rPr>
        <w:t xml:space="preserve"> vertinimas turi būti susiję, todėl visų pirma aiškinamajame rašte turi būti aiškiai nurodyta, kokių teigiamų pasekmių tikimasi, tada pagal tai formuluotinas </w:t>
      </w:r>
      <w:proofErr w:type="spellStart"/>
      <w:r w:rsidRPr="00F94585">
        <w:rPr>
          <w:i/>
          <w:iCs/>
          <w:lang w:eastAsia="lt-LT"/>
        </w:rPr>
        <w:t>ex</w:t>
      </w:r>
      <w:proofErr w:type="spellEnd"/>
      <w:r w:rsidRPr="00F94585">
        <w:rPr>
          <w:i/>
          <w:iCs/>
          <w:lang w:eastAsia="lt-LT"/>
        </w:rPr>
        <w:t xml:space="preserve"> post</w:t>
      </w:r>
      <w:r w:rsidRPr="00F94585">
        <w:rPr>
          <w:lang w:eastAsia="lt-LT"/>
        </w:rPr>
        <w:t xml:space="preserve"> vertinimo dalykas. Turi būti patikslintas aiškinamasis raštas, atitinkamai ir Projekto 21 straipsnio 2 dalis.</w:t>
      </w:r>
    </w:p>
    <w:p w14:paraId="05449339" w14:textId="77777777" w:rsidR="001201B1" w:rsidRPr="00F94585" w:rsidRDefault="001201B1" w:rsidP="001201B1">
      <w:pPr>
        <w:pStyle w:val="Sraopastraipa"/>
        <w:numPr>
          <w:ilvl w:val="0"/>
          <w:numId w:val="25"/>
        </w:numPr>
        <w:tabs>
          <w:tab w:val="left" w:pos="993"/>
          <w:tab w:val="left" w:pos="1134"/>
        </w:tabs>
        <w:spacing w:after="0" w:line="360" w:lineRule="auto"/>
        <w:ind w:left="0" w:firstLine="709"/>
        <w:jc w:val="both"/>
      </w:pPr>
      <w:r w:rsidRPr="00F94585">
        <w:rPr>
          <w:lang w:eastAsia="lt-LT"/>
        </w:rPr>
        <w:t xml:space="preserve">Siūlyta įvertinti galimybę nustatyti ilgesnį </w:t>
      </w:r>
      <w:proofErr w:type="spellStart"/>
      <w:r w:rsidRPr="00F94585">
        <w:rPr>
          <w:lang w:eastAsia="lt-LT"/>
        </w:rPr>
        <w:t>ex</w:t>
      </w:r>
      <w:proofErr w:type="spellEnd"/>
      <w:r w:rsidRPr="00F94585">
        <w:rPr>
          <w:lang w:eastAsia="lt-LT"/>
        </w:rPr>
        <w:t xml:space="preserve"> post vertinimo laikotarpį, kadangi įgyti kvalifikacijų ir kompetencijų bei įsidarbinti ir išlikti darbo rinkoje užtruks. Be to, ir pagal Metodiką (14.3 p.) rekomenduojamas ilgesnis </w:t>
      </w:r>
      <w:proofErr w:type="spellStart"/>
      <w:r w:rsidRPr="00F94585">
        <w:rPr>
          <w:i/>
          <w:iCs/>
          <w:lang w:eastAsia="lt-LT"/>
        </w:rPr>
        <w:t>ex</w:t>
      </w:r>
      <w:proofErr w:type="spellEnd"/>
      <w:r w:rsidRPr="00F94585">
        <w:rPr>
          <w:i/>
          <w:iCs/>
          <w:lang w:eastAsia="lt-LT"/>
        </w:rPr>
        <w:t xml:space="preserve"> post</w:t>
      </w:r>
      <w:r w:rsidRPr="00F94585">
        <w:rPr>
          <w:lang w:eastAsia="lt-LT"/>
        </w:rPr>
        <w:t xml:space="preserve"> vertinimo atlikimo laikotarpis.</w:t>
      </w:r>
    </w:p>
    <w:p w14:paraId="4CDDA73E" w14:textId="11792415" w:rsidR="001201B1" w:rsidRPr="001201B1" w:rsidRDefault="00B16F7C" w:rsidP="001201B1">
      <w:pPr>
        <w:pStyle w:val="Sraopastraipa"/>
        <w:numPr>
          <w:ilvl w:val="0"/>
          <w:numId w:val="25"/>
        </w:numPr>
        <w:tabs>
          <w:tab w:val="left" w:pos="993"/>
          <w:tab w:val="left" w:pos="1134"/>
        </w:tabs>
        <w:spacing w:after="0" w:line="360" w:lineRule="auto"/>
        <w:ind w:left="0" w:firstLine="709"/>
        <w:jc w:val="both"/>
      </w:pPr>
      <w:r w:rsidRPr="001201B1">
        <w:rPr>
          <w:shd w:val="clear" w:color="auto" w:fill="FFFFFF"/>
        </w:rPr>
        <w:t xml:space="preserve">Laikantis Europos Sąjungos reikalų koordinavimo taisyklių, patvirtintų Lietuvos Respublikos Vyriausybės 2004 m. sausio 9 d. nutarimu Nr. 21, 69 ir 79 </w:t>
      </w:r>
      <w:r w:rsidR="008606CF" w:rsidRPr="001201B1">
        <w:rPr>
          <w:shd w:val="clear" w:color="auto" w:fill="FFFFFF"/>
        </w:rPr>
        <w:t>punkt</w:t>
      </w:r>
      <w:r w:rsidR="008606CF">
        <w:rPr>
          <w:shd w:val="clear" w:color="auto" w:fill="FFFFFF"/>
        </w:rPr>
        <w:t>ų</w:t>
      </w:r>
      <w:r w:rsidRPr="001201B1">
        <w:rPr>
          <w:shd w:val="clear" w:color="auto" w:fill="FFFFFF"/>
        </w:rPr>
        <w:t xml:space="preserve">, prašytume Lietuvos narystės Europos Sąjungoje informacinės sistemos (LINESIS) </w:t>
      </w:r>
      <w:r w:rsidR="008606CF" w:rsidRPr="00C32E2A">
        <w:t>2013 m. birželio 26 d. Europos Parlamento ir Tarybos direktyv</w:t>
      </w:r>
      <w:r w:rsidR="008606CF">
        <w:t>os</w:t>
      </w:r>
      <w:r w:rsidR="008606CF" w:rsidRPr="00C32E2A">
        <w:t xml:space="preserve"> </w:t>
      </w:r>
      <w:r w:rsidR="008606CF" w:rsidRPr="001201B1">
        <w:rPr>
          <w:shd w:val="clear" w:color="auto" w:fill="FFFFFF"/>
        </w:rPr>
        <w:t>2013/33/ES</w:t>
      </w:r>
      <w:r w:rsidR="008606CF">
        <w:rPr>
          <w:shd w:val="clear" w:color="auto" w:fill="FFFFFF"/>
        </w:rPr>
        <w:t>,</w:t>
      </w:r>
      <w:r w:rsidR="008606CF" w:rsidRPr="001201B1">
        <w:rPr>
          <w:shd w:val="clear" w:color="auto" w:fill="FFFFFF"/>
        </w:rPr>
        <w:t xml:space="preserve"> </w:t>
      </w:r>
      <w:r w:rsidR="008606CF" w:rsidRPr="00C32E2A">
        <w:t>kuria nustatomos normos dėl tarptautinės apsaugos prašytojų priėmimo (nauja redakcija)</w:t>
      </w:r>
      <w:r w:rsidR="008606CF">
        <w:t>,</w:t>
      </w:r>
      <w:r w:rsidR="00537EE3">
        <w:t xml:space="preserve"> </w:t>
      </w:r>
      <w:r w:rsidRPr="001201B1">
        <w:rPr>
          <w:shd w:val="clear" w:color="auto" w:fill="FFFFFF"/>
        </w:rPr>
        <w:t xml:space="preserve">perkėlimo ir įgyvendinimo plane suvesti nesuvestas priemones bei kartu patalpinti atitikties lentelę, pataisytą pagal darbo tvarka </w:t>
      </w:r>
      <w:r w:rsidR="00847D98">
        <w:rPr>
          <w:shd w:val="clear" w:color="auto" w:fill="FFFFFF"/>
        </w:rPr>
        <w:t>P</w:t>
      </w:r>
      <w:r w:rsidRPr="001201B1">
        <w:rPr>
          <w:shd w:val="clear" w:color="auto" w:fill="FFFFFF"/>
        </w:rPr>
        <w:t>rojektų rengėjams pateiktas pastabas. </w:t>
      </w:r>
    </w:p>
    <w:p w14:paraId="38C8CBC0" w14:textId="06668895" w:rsidR="00173698" w:rsidRPr="00F7417D" w:rsidRDefault="00B16F7C" w:rsidP="00F7417D">
      <w:pPr>
        <w:pStyle w:val="Sraopastraipa"/>
        <w:numPr>
          <w:ilvl w:val="0"/>
          <w:numId w:val="25"/>
        </w:numPr>
        <w:tabs>
          <w:tab w:val="left" w:pos="993"/>
          <w:tab w:val="left" w:pos="1134"/>
        </w:tabs>
        <w:spacing w:after="0" w:line="360" w:lineRule="auto"/>
        <w:ind w:left="0" w:firstLine="709"/>
        <w:jc w:val="both"/>
      </w:pPr>
      <w:r w:rsidRPr="001201B1">
        <w:rPr>
          <w:shd w:val="clear" w:color="auto" w:fill="FFFFFF"/>
        </w:rPr>
        <w:t xml:space="preserve">Projektų lydimuosiuose dokumentuose nurodoma, kad, be kita ko, Projektu siekiama įgyvendinti </w:t>
      </w:r>
      <w:r w:rsidR="008606CF">
        <w:t>D</w:t>
      </w:r>
      <w:r w:rsidRPr="00C32E2A">
        <w:t xml:space="preserve">irektyvą </w:t>
      </w:r>
      <w:r w:rsidRPr="001201B1">
        <w:rPr>
          <w:shd w:val="clear" w:color="auto" w:fill="FFFFFF"/>
        </w:rPr>
        <w:t xml:space="preserve">2013/33/ES. Atitinkamai, Projektas turėtų būti papildytas, t. y. šio įstatymo priede prie įgyvendinamų Europos Sąjungos teisės aktų nurodant </w:t>
      </w:r>
      <w:r w:rsidRPr="00C32E2A">
        <w:t xml:space="preserve">Direktyvą </w:t>
      </w:r>
      <w:r w:rsidRPr="001201B1">
        <w:rPr>
          <w:shd w:val="clear" w:color="auto" w:fill="FFFFFF"/>
        </w:rPr>
        <w:t>2013/33/ES. </w:t>
      </w:r>
    </w:p>
    <w:p w14:paraId="269281BD" w14:textId="77777777" w:rsidR="00F7417D" w:rsidRPr="00173698" w:rsidRDefault="00F7417D" w:rsidP="00F7417D">
      <w:pPr>
        <w:pStyle w:val="Sraopastraipa"/>
        <w:tabs>
          <w:tab w:val="left" w:pos="993"/>
          <w:tab w:val="left" w:pos="1134"/>
        </w:tabs>
        <w:spacing w:after="0" w:line="360" w:lineRule="auto"/>
        <w:ind w:left="709"/>
        <w:jc w:val="both"/>
      </w:pPr>
    </w:p>
    <w:p w14:paraId="24C3861C" w14:textId="65D19939" w:rsidR="00B96D90" w:rsidRDefault="00741714" w:rsidP="00741714">
      <w:pPr>
        <w:tabs>
          <w:tab w:val="left" w:pos="2662"/>
          <w:tab w:val="right" w:pos="9638"/>
        </w:tabs>
      </w:pPr>
      <w:r>
        <w:t>Teisingumo m</w:t>
      </w:r>
      <w:r w:rsidR="006E4779">
        <w:t>inistrė</w:t>
      </w:r>
      <w:r w:rsidR="0056694C">
        <w:t xml:space="preserve">                                                     </w:t>
      </w:r>
      <w:r w:rsidR="006A65D1">
        <w:tab/>
      </w:r>
      <w:r w:rsidR="0056694C">
        <w:t xml:space="preserve"> </w:t>
      </w:r>
      <w:r w:rsidR="0056694C" w:rsidRPr="0056694C">
        <w:t xml:space="preserve"> </w:t>
      </w:r>
      <w:r>
        <w:t xml:space="preserve">   </w:t>
      </w:r>
      <w:r w:rsidR="006E4779">
        <w:t xml:space="preserve">Evelina </w:t>
      </w:r>
      <w:proofErr w:type="spellStart"/>
      <w:r w:rsidR="006E4779">
        <w:t>Dobrovolska</w:t>
      </w:r>
      <w:proofErr w:type="spellEnd"/>
    </w:p>
    <w:p w14:paraId="34F0072F" w14:textId="775069FE" w:rsidR="00C64183" w:rsidRDefault="00C64183" w:rsidP="00741714">
      <w:pPr>
        <w:tabs>
          <w:tab w:val="left" w:pos="2662"/>
          <w:tab w:val="right" w:pos="9638"/>
        </w:tabs>
      </w:pPr>
    </w:p>
    <w:p w14:paraId="0E08698C" w14:textId="5D1F52B2" w:rsidR="00C82278" w:rsidRDefault="00C82278" w:rsidP="004B6653">
      <w:pPr>
        <w:rPr>
          <w:sz w:val="20"/>
          <w:szCs w:val="20"/>
        </w:rPr>
      </w:pPr>
    </w:p>
    <w:p w14:paraId="43F283C3" w14:textId="77777777" w:rsidR="00F7417D" w:rsidRPr="00D61A18" w:rsidRDefault="00F7417D" w:rsidP="004B6653">
      <w:pPr>
        <w:rPr>
          <w:sz w:val="20"/>
          <w:szCs w:val="20"/>
        </w:rPr>
      </w:pPr>
    </w:p>
    <w:p w14:paraId="79956697" w14:textId="730629E1" w:rsidR="00E75D83" w:rsidRPr="00D61A18" w:rsidRDefault="00DC2834" w:rsidP="004B6653">
      <w:pPr>
        <w:rPr>
          <w:sz w:val="20"/>
          <w:szCs w:val="20"/>
        </w:rPr>
      </w:pPr>
      <w:r w:rsidRPr="00D61A18">
        <w:rPr>
          <w:sz w:val="20"/>
          <w:szCs w:val="20"/>
        </w:rPr>
        <w:t>E</w:t>
      </w:r>
      <w:r w:rsidR="003816CC" w:rsidRPr="00D61A18">
        <w:rPr>
          <w:sz w:val="20"/>
          <w:szCs w:val="20"/>
        </w:rPr>
        <w:t>glė Betingienė</w:t>
      </w:r>
      <w:r w:rsidR="00701D09" w:rsidRPr="00D61A18">
        <w:rPr>
          <w:sz w:val="20"/>
          <w:szCs w:val="20"/>
        </w:rPr>
        <w:t>,</w:t>
      </w:r>
      <w:r w:rsidR="006C7C72" w:rsidRPr="00D61A18">
        <w:rPr>
          <w:sz w:val="20"/>
          <w:szCs w:val="20"/>
        </w:rPr>
        <w:t xml:space="preserve"> tel.</w:t>
      </w:r>
      <w:r w:rsidR="00701D09" w:rsidRPr="00D61A18">
        <w:rPr>
          <w:sz w:val="20"/>
          <w:szCs w:val="20"/>
        </w:rPr>
        <w:t xml:space="preserve"> (8 5) 266 </w:t>
      </w:r>
      <w:r w:rsidR="003816CC" w:rsidRPr="00D61A18">
        <w:rPr>
          <w:sz w:val="20"/>
          <w:szCs w:val="20"/>
        </w:rPr>
        <w:t>2882</w:t>
      </w:r>
      <w:r w:rsidR="00701D09" w:rsidRPr="00D61A18">
        <w:rPr>
          <w:sz w:val="20"/>
          <w:szCs w:val="20"/>
        </w:rPr>
        <w:t xml:space="preserve">, el. p. </w:t>
      </w:r>
      <w:hyperlink r:id="rId10" w:history="1">
        <w:r w:rsidR="003816CC" w:rsidRPr="00D61A18">
          <w:rPr>
            <w:rStyle w:val="Hipersaitas"/>
            <w:color w:val="auto"/>
            <w:sz w:val="20"/>
            <w:szCs w:val="20"/>
            <w:u w:val="none"/>
          </w:rPr>
          <w:t>egle.betingiene@tm.lt</w:t>
        </w:r>
      </w:hyperlink>
      <w:r w:rsidR="00701D09" w:rsidRPr="00D61A18">
        <w:rPr>
          <w:sz w:val="20"/>
          <w:szCs w:val="20"/>
        </w:rPr>
        <w:t xml:space="preserve"> </w:t>
      </w:r>
    </w:p>
    <w:p w14:paraId="4E81960C" w14:textId="5D92FA3E" w:rsidR="00B16F7C" w:rsidRPr="00D61A18" w:rsidRDefault="00B16F7C" w:rsidP="004B6653">
      <w:pPr>
        <w:rPr>
          <w:sz w:val="20"/>
          <w:szCs w:val="20"/>
        </w:rPr>
      </w:pPr>
      <w:r w:rsidRPr="00D61A18">
        <w:rPr>
          <w:sz w:val="20"/>
          <w:szCs w:val="20"/>
        </w:rPr>
        <w:t xml:space="preserve">Indrė </w:t>
      </w:r>
      <w:proofErr w:type="spellStart"/>
      <w:r w:rsidRPr="00D61A18">
        <w:rPr>
          <w:sz w:val="20"/>
          <w:szCs w:val="20"/>
        </w:rPr>
        <w:t>Gaisrytė</w:t>
      </w:r>
      <w:proofErr w:type="spellEnd"/>
      <w:r w:rsidRPr="00D61A18">
        <w:rPr>
          <w:sz w:val="20"/>
          <w:szCs w:val="20"/>
        </w:rPr>
        <w:t xml:space="preserve">, </w:t>
      </w:r>
      <w:r w:rsidR="00F4533B" w:rsidRPr="00D61A18">
        <w:rPr>
          <w:sz w:val="20"/>
          <w:szCs w:val="20"/>
        </w:rPr>
        <w:t>tel.</w:t>
      </w:r>
      <w:r w:rsidR="00D61A18" w:rsidRPr="00D61A18">
        <w:rPr>
          <w:sz w:val="20"/>
          <w:szCs w:val="20"/>
        </w:rPr>
        <w:t xml:space="preserve"> (8 5)</w:t>
      </w:r>
      <w:r w:rsidR="00F4533B" w:rsidRPr="00D61A18">
        <w:rPr>
          <w:sz w:val="20"/>
          <w:szCs w:val="20"/>
        </w:rPr>
        <w:t xml:space="preserve"> </w:t>
      </w:r>
      <w:r w:rsidR="00D61A18" w:rsidRPr="00D61A18">
        <w:rPr>
          <w:color w:val="333333"/>
          <w:sz w:val="20"/>
          <w:szCs w:val="20"/>
          <w:shd w:val="clear" w:color="auto" w:fill="FFFFFF"/>
        </w:rPr>
        <w:t>266 2923, el. p. indre.gaisryte@tm.lt</w:t>
      </w:r>
    </w:p>
    <w:p w14:paraId="2C271966" w14:textId="6144D3E9" w:rsidR="00B16F7C" w:rsidRPr="0059156B" w:rsidRDefault="00B16F7C" w:rsidP="004B6653">
      <w:pPr>
        <w:rPr>
          <w:color w:val="0000FF"/>
          <w:sz w:val="20"/>
          <w:szCs w:val="20"/>
          <w:u w:val="single"/>
        </w:rPr>
      </w:pPr>
      <w:r w:rsidRPr="00D61A18">
        <w:rPr>
          <w:sz w:val="20"/>
          <w:szCs w:val="20"/>
        </w:rPr>
        <w:t xml:space="preserve">Agnė </w:t>
      </w:r>
      <w:r w:rsidR="00D61A18" w:rsidRPr="00D61A18">
        <w:rPr>
          <w:sz w:val="20"/>
          <w:szCs w:val="20"/>
        </w:rPr>
        <w:t>Vitkutė</w:t>
      </w:r>
      <w:r w:rsidR="00D1093C" w:rsidRPr="00D61A18">
        <w:rPr>
          <w:sz w:val="20"/>
          <w:szCs w:val="20"/>
        </w:rPr>
        <w:t xml:space="preserve">, </w:t>
      </w:r>
      <w:r w:rsidR="00D61A18" w:rsidRPr="00D61A18">
        <w:rPr>
          <w:sz w:val="20"/>
          <w:szCs w:val="20"/>
        </w:rPr>
        <w:t xml:space="preserve">tel. (8 5) </w:t>
      </w:r>
      <w:r w:rsidR="00D61A18" w:rsidRPr="00D61A18">
        <w:rPr>
          <w:color w:val="333333"/>
          <w:sz w:val="20"/>
          <w:szCs w:val="20"/>
          <w:shd w:val="clear" w:color="auto" w:fill="FFFFFF"/>
        </w:rPr>
        <w:t>266 2900, el. p. agne.vitkute@tm.lt</w:t>
      </w:r>
    </w:p>
    <w:sectPr w:rsidR="00B16F7C" w:rsidRPr="0059156B" w:rsidSect="00C82278">
      <w:headerReference w:type="default" r:id="rId11"/>
      <w:headerReference w:type="first" r:id="rId12"/>
      <w:footerReference w:type="first" r:id="rId13"/>
      <w:footnotePr>
        <w:pos w:val="beneathText"/>
      </w:footnotePr>
      <w:pgSz w:w="11905" w:h="16837"/>
      <w:pgMar w:top="1134" w:right="56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722E4" w14:textId="77777777" w:rsidR="00E4368A" w:rsidRDefault="00E4368A">
      <w:r>
        <w:separator/>
      </w:r>
    </w:p>
  </w:endnote>
  <w:endnote w:type="continuationSeparator" w:id="0">
    <w:p w14:paraId="0DF6938B" w14:textId="77777777" w:rsidR="00E4368A" w:rsidRDefault="00E4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C47A7" w14:textId="247F7B58" w:rsidR="001F4940" w:rsidRDefault="001F4940" w:rsidP="00137EFF">
    <w:pPr>
      <w:pStyle w:val="Porat"/>
      <w:tabs>
        <w:tab w:val="clear" w:pos="8306"/>
        <w:tab w:val="left" w:pos="8080"/>
        <w:tab w:val="right" w:pos="9356"/>
      </w:tabs>
    </w:pPr>
  </w:p>
  <w:p w14:paraId="2B95AC7C"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4D2F5" w14:textId="77777777" w:rsidR="00E4368A" w:rsidRDefault="00E4368A">
      <w:r>
        <w:separator/>
      </w:r>
    </w:p>
  </w:footnote>
  <w:footnote w:type="continuationSeparator" w:id="0">
    <w:p w14:paraId="50D9F319" w14:textId="77777777" w:rsidR="00E4368A" w:rsidRDefault="00E43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027A7"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B5765"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3D1D37C7" wp14:editId="24F191A1">
          <wp:extent cx="563880" cy="556260"/>
          <wp:effectExtent l="0" t="0" r="7620" b="0"/>
          <wp:docPr id="8" name="Paveikslėlis 8"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38D47F8E" w14:textId="77777777" w:rsidR="006A0169" w:rsidRPr="006A0169" w:rsidRDefault="006A0169" w:rsidP="006A0169">
    <w:pPr>
      <w:tabs>
        <w:tab w:val="right" w:pos="8306"/>
      </w:tabs>
      <w:suppressAutoHyphens w:val="0"/>
      <w:jc w:val="center"/>
      <w:rPr>
        <w:sz w:val="16"/>
        <w:lang w:eastAsia="en-US"/>
      </w:rPr>
    </w:pPr>
  </w:p>
  <w:p w14:paraId="4B2E3776"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471291A5" w14:textId="77777777" w:rsidR="006A0169" w:rsidRPr="006A0169" w:rsidRDefault="006A0169" w:rsidP="006A0169">
    <w:pPr>
      <w:suppressAutoHyphens w:val="0"/>
      <w:jc w:val="center"/>
      <w:rPr>
        <w:b/>
        <w:bCs/>
        <w:sz w:val="26"/>
        <w:lang w:eastAsia="en-US"/>
      </w:rPr>
    </w:pPr>
  </w:p>
  <w:p w14:paraId="578187AD" w14:textId="77777777" w:rsidR="00415AFA" w:rsidRDefault="00415AFA" w:rsidP="00415AFA">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1F3EC9F9" w14:textId="77777777" w:rsidR="00415AFA" w:rsidRDefault="00415AFA" w:rsidP="00415AFA">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sidRPr="000F6070">
        <w:rPr>
          <w:rStyle w:val="Hipersaitas"/>
          <w:sz w:val="20"/>
          <w:lang w:eastAsia="en-US"/>
        </w:rPr>
        <w:t>rastine@tm.lt</w:t>
      </w:r>
    </w:hyperlink>
    <w:r>
      <w:rPr>
        <w:sz w:val="20"/>
        <w:lang w:eastAsia="en-US"/>
      </w:rPr>
      <w:t xml:space="preserve">, </w:t>
    </w:r>
    <w:r w:rsidRPr="00293077">
      <w:rPr>
        <w:sz w:val="20"/>
        <w:lang w:eastAsia="en-US"/>
      </w:rPr>
      <w:t>https://tm.lrv.lt</w:t>
    </w:r>
    <w:r>
      <w:rPr>
        <w:sz w:val="20"/>
        <w:lang w:eastAsia="en-US"/>
      </w:rPr>
      <w:t>.</w:t>
    </w:r>
  </w:p>
  <w:p w14:paraId="46D70BEE" w14:textId="77777777" w:rsidR="00415AFA" w:rsidRDefault="00415AFA" w:rsidP="00415AFA">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568B6C2B" w14:textId="77777777" w:rsidR="006A0169" w:rsidRPr="006A0169" w:rsidRDefault="006A0169" w:rsidP="006A0169">
    <w:pPr>
      <w:tabs>
        <w:tab w:val="right" w:pos="8306"/>
      </w:tabs>
      <w:suppressAutoHyphens w:val="0"/>
      <w:jc w:val="center"/>
      <w:rPr>
        <w:sz w:val="20"/>
        <w:lang w:eastAsia="en-US"/>
      </w:rPr>
    </w:pPr>
  </w:p>
  <w:p w14:paraId="3DC191A7"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A2DCD8"/>
    <w:multiLevelType w:val="multilevel"/>
    <w:tmpl w:val="8AA2DCD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72DDE92"/>
    <w:multiLevelType w:val="multilevel"/>
    <w:tmpl w:val="E72DDE9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7296F12"/>
    <w:multiLevelType w:val="hybridMultilevel"/>
    <w:tmpl w:val="776E1192"/>
    <w:lvl w:ilvl="0" w:tplc="FB50E2DA">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9193D"/>
    <w:multiLevelType w:val="multilevel"/>
    <w:tmpl w:val="0759193D"/>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0B3778E5"/>
    <w:multiLevelType w:val="hybridMultilevel"/>
    <w:tmpl w:val="4D9E279E"/>
    <w:lvl w:ilvl="0" w:tplc="3E2A1EFE">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39D1990"/>
    <w:multiLevelType w:val="multilevel"/>
    <w:tmpl w:val="D36A4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8" w15:restartNumberingAfterBreak="0">
    <w:nsid w:val="1B0B2501"/>
    <w:multiLevelType w:val="hybridMultilevel"/>
    <w:tmpl w:val="16ECB7A2"/>
    <w:lvl w:ilvl="0" w:tplc="6A108912">
      <w:start w:val="1"/>
      <w:numFmt w:val="decimal"/>
      <w:lvlText w:val="%1."/>
      <w:lvlJc w:val="left"/>
      <w:pPr>
        <w:ind w:left="1100" w:hanging="360"/>
      </w:pPr>
      <w:rPr>
        <w:rFonts w:hint="default"/>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9"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10"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15:restartNumberingAfterBreak="0">
    <w:nsid w:val="339F1E0A"/>
    <w:multiLevelType w:val="multilevel"/>
    <w:tmpl w:val="30CC6178"/>
    <w:lvl w:ilvl="0">
      <w:start w:val="1"/>
      <w:numFmt w:val="decimal"/>
      <w:lvlText w:val="%1."/>
      <w:lvlJc w:val="left"/>
      <w:pPr>
        <w:ind w:left="1080" w:hanging="360"/>
      </w:pPr>
      <w:rPr>
        <w:rFonts w:cs="Times New Roman" w:hint="default"/>
        <w:i w:val="0"/>
        <w:color w:val="auto"/>
        <w:u w:val="none"/>
      </w:rPr>
    </w:lvl>
    <w:lvl w:ilvl="1">
      <w:start w:val="1"/>
      <w:numFmt w:val="decimal"/>
      <w:isLgl/>
      <w:lvlText w:val="%1.%2."/>
      <w:lvlJc w:val="left"/>
      <w:pPr>
        <w:ind w:left="1440" w:hanging="720"/>
      </w:pPr>
      <w:rPr>
        <w:rFonts w:ascii="Times New Roman" w:hAnsi="Times New Roman" w:cs="Times New Roman" w:hint="default"/>
        <w:color w:val="auto"/>
        <w:sz w:val="24"/>
      </w:rPr>
    </w:lvl>
    <w:lvl w:ilvl="2">
      <w:start w:val="1"/>
      <w:numFmt w:val="decimal"/>
      <w:isLgl/>
      <w:lvlText w:val="%1.%2.%3."/>
      <w:lvlJc w:val="left"/>
      <w:pPr>
        <w:ind w:left="1440" w:hanging="720"/>
      </w:pPr>
      <w:rPr>
        <w:rFonts w:ascii="Times New Roman" w:hAnsi="Times New Roman" w:cs="Times New Roman" w:hint="default"/>
        <w:color w:val="auto"/>
        <w:sz w:val="24"/>
      </w:rPr>
    </w:lvl>
    <w:lvl w:ilvl="3">
      <w:start w:val="1"/>
      <w:numFmt w:val="decimal"/>
      <w:isLgl/>
      <w:lvlText w:val="%1.%2.%3.%4."/>
      <w:lvlJc w:val="left"/>
      <w:pPr>
        <w:ind w:left="1800" w:hanging="1080"/>
      </w:pPr>
      <w:rPr>
        <w:rFonts w:ascii="Times New Roman" w:hAnsi="Times New Roman" w:cs="Times New Roman" w:hint="default"/>
        <w:color w:val="auto"/>
        <w:sz w:val="24"/>
      </w:rPr>
    </w:lvl>
    <w:lvl w:ilvl="4">
      <w:start w:val="1"/>
      <w:numFmt w:val="decimal"/>
      <w:isLgl/>
      <w:lvlText w:val="%1.%2.%3.%4.%5."/>
      <w:lvlJc w:val="left"/>
      <w:pPr>
        <w:ind w:left="2160" w:hanging="1440"/>
      </w:pPr>
      <w:rPr>
        <w:rFonts w:ascii="Times New Roman" w:hAnsi="Times New Roman" w:cs="Times New Roman" w:hint="default"/>
        <w:color w:val="auto"/>
        <w:sz w:val="24"/>
      </w:rPr>
    </w:lvl>
    <w:lvl w:ilvl="5">
      <w:start w:val="1"/>
      <w:numFmt w:val="decimal"/>
      <w:isLgl/>
      <w:lvlText w:val="%1.%2.%3.%4.%5.%6."/>
      <w:lvlJc w:val="left"/>
      <w:pPr>
        <w:ind w:left="2160" w:hanging="1440"/>
      </w:pPr>
      <w:rPr>
        <w:rFonts w:ascii="Times New Roman" w:hAnsi="Times New Roman" w:cs="Times New Roman" w:hint="default"/>
        <w:color w:val="auto"/>
        <w:sz w:val="24"/>
      </w:rPr>
    </w:lvl>
    <w:lvl w:ilvl="6">
      <w:start w:val="1"/>
      <w:numFmt w:val="decimal"/>
      <w:isLgl/>
      <w:lvlText w:val="%1.%2.%3.%4.%5.%6.%7."/>
      <w:lvlJc w:val="left"/>
      <w:pPr>
        <w:ind w:left="2520" w:hanging="1800"/>
      </w:pPr>
      <w:rPr>
        <w:rFonts w:ascii="Times New Roman" w:hAnsi="Times New Roman" w:cs="Times New Roman" w:hint="default"/>
        <w:color w:val="auto"/>
        <w:sz w:val="24"/>
      </w:rPr>
    </w:lvl>
    <w:lvl w:ilvl="7">
      <w:start w:val="1"/>
      <w:numFmt w:val="decimal"/>
      <w:isLgl/>
      <w:lvlText w:val="%1.%2.%3.%4.%5.%6.%7.%8."/>
      <w:lvlJc w:val="left"/>
      <w:pPr>
        <w:ind w:left="2520" w:hanging="1800"/>
      </w:pPr>
      <w:rPr>
        <w:rFonts w:ascii="Times New Roman" w:hAnsi="Times New Roman" w:cs="Times New Roman" w:hint="default"/>
        <w:color w:val="auto"/>
        <w:sz w:val="24"/>
      </w:rPr>
    </w:lvl>
    <w:lvl w:ilvl="8">
      <w:start w:val="1"/>
      <w:numFmt w:val="decimal"/>
      <w:isLgl/>
      <w:lvlText w:val="%1.%2.%3.%4.%5.%6.%7.%8.%9."/>
      <w:lvlJc w:val="left"/>
      <w:pPr>
        <w:ind w:left="2880" w:hanging="2160"/>
      </w:pPr>
      <w:rPr>
        <w:rFonts w:ascii="Times New Roman" w:hAnsi="Times New Roman" w:cs="Times New Roman" w:hint="default"/>
        <w:color w:val="auto"/>
        <w:sz w:val="24"/>
      </w:rPr>
    </w:lvl>
  </w:abstractNum>
  <w:abstractNum w:abstractNumId="12" w15:restartNumberingAfterBreak="0">
    <w:nsid w:val="382C35B3"/>
    <w:multiLevelType w:val="hybridMultilevel"/>
    <w:tmpl w:val="E4E6EF9C"/>
    <w:lvl w:ilvl="0" w:tplc="14B26CF8">
      <w:start w:val="1"/>
      <w:numFmt w:val="decimal"/>
      <w:lvlText w:val="%1."/>
      <w:lvlJc w:val="left"/>
      <w:pPr>
        <w:ind w:left="1080" w:hanging="360"/>
      </w:pPr>
      <w:rPr>
        <w:rFonts w:eastAsia="SimSu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4" w15:restartNumberingAfterBreak="0">
    <w:nsid w:val="3A725EA8"/>
    <w:multiLevelType w:val="hybridMultilevel"/>
    <w:tmpl w:val="580A05C2"/>
    <w:lvl w:ilvl="0" w:tplc="FB12AE3A">
      <w:start w:val="1"/>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8" w15:restartNumberingAfterBreak="0">
    <w:nsid w:val="49AA362C"/>
    <w:multiLevelType w:val="hybridMultilevel"/>
    <w:tmpl w:val="C2BE9FF8"/>
    <w:lvl w:ilvl="0" w:tplc="F22C0B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0" w15:restartNumberingAfterBreak="0">
    <w:nsid w:val="607D5E46"/>
    <w:multiLevelType w:val="hybridMultilevel"/>
    <w:tmpl w:val="91DC4FC8"/>
    <w:lvl w:ilvl="0" w:tplc="E91686DE">
      <w:start w:val="1"/>
      <w:numFmt w:val="decimal"/>
      <w:lvlText w:val="%1."/>
      <w:lvlJc w:val="left"/>
      <w:pPr>
        <w:ind w:left="1080" w:hanging="360"/>
      </w:pPr>
      <w:rPr>
        <w:rFonts w:ascii="Calibri" w:hAnsi="Calibri" w:cstheme="minorBidi" w:hint="default"/>
        <w:color w:val="auto"/>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67782ADF"/>
    <w:multiLevelType w:val="hybridMultilevel"/>
    <w:tmpl w:val="11B6B644"/>
    <w:lvl w:ilvl="0" w:tplc="F5704E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AAF0491"/>
    <w:multiLevelType w:val="hybridMultilevel"/>
    <w:tmpl w:val="AEF8D9E2"/>
    <w:lvl w:ilvl="0" w:tplc="E886E31E">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D73214"/>
    <w:multiLevelType w:val="hybridMultilevel"/>
    <w:tmpl w:val="BE568BC0"/>
    <w:lvl w:ilvl="0" w:tplc="516649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9"/>
  </w:num>
  <w:num w:numId="3">
    <w:abstractNumId w:val="7"/>
  </w:num>
  <w:num w:numId="4">
    <w:abstractNumId w:val="21"/>
  </w:num>
  <w:num w:numId="5">
    <w:abstractNumId w:val="16"/>
  </w:num>
  <w:num w:numId="6">
    <w:abstractNumId w:val="15"/>
  </w:num>
  <w:num w:numId="7">
    <w:abstractNumId w:val="9"/>
  </w:num>
  <w:num w:numId="8">
    <w:abstractNumId w:val="10"/>
  </w:num>
  <w:num w:numId="9">
    <w:abstractNumId w:val="13"/>
  </w:num>
  <w:num w:numId="10">
    <w:abstractNumId w:val="17"/>
  </w:num>
  <w:num w:numId="11">
    <w:abstractNumId w:val="19"/>
  </w:num>
  <w:num w:numId="12">
    <w:abstractNumId w:val="0"/>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4"/>
  </w:num>
  <w:num w:numId="17">
    <w:abstractNumId w:val="11"/>
  </w:num>
  <w:num w:numId="18">
    <w:abstractNumId w:val="6"/>
  </w:num>
  <w:num w:numId="19">
    <w:abstractNumId w:val="20"/>
  </w:num>
  <w:num w:numId="20">
    <w:abstractNumId w:val="14"/>
  </w:num>
  <w:num w:numId="21">
    <w:abstractNumId w:val="23"/>
  </w:num>
  <w:num w:numId="22">
    <w:abstractNumId w:val="22"/>
  </w:num>
  <w:num w:numId="23">
    <w:abstractNumId w:val="5"/>
  </w:num>
  <w:num w:numId="24">
    <w:abstractNumId w:val="3"/>
  </w:num>
  <w:num w:numId="25">
    <w:abstractNumId w:val="1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203F3"/>
    <w:rsid w:val="00022E3C"/>
    <w:rsid w:val="00026455"/>
    <w:rsid w:val="00033F22"/>
    <w:rsid w:val="0003483D"/>
    <w:rsid w:val="000356BD"/>
    <w:rsid w:val="00043583"/>
    <w:rsid w:val="0004405D"/>
    <w:rsid w:val="00045F11"/>
    <w:rsid w:val="00052E3C"/>
    <w:rsid w:val="00055405"/>
    <w:rsid w:val="00056395"/>
    <w:rsid w:val="0006186E"/>
    <w:rsid w:val="00072919"/>
    <w:rsid w:val="000756A8"/>
    <w:rsid w:val="0009008E"/>
    <w:rsid w:val="00093791"/>
    <w:rsid w:val="00095F50"/>
    <w:rsid w:val="000B0D10"/>
    <w:rsid w:val="000B1ECA"/>
    <w:rsid w:val="000B67D8"/>
    <w:rsid w:val="000C676A"/>
    <w:rsid w:val="000D0B1C"/>
    <w:rsid w:val="000D3171"/>
    <w:rsid w:val="000E34D4"/>
    <w:rsid w:val="000E6E4F"/>
    <w:rsid w:val="000E7556"/>
    <w:rsid w:val="000E770F"/>
    <w:rsid w:val="000F01A0"/>
    <w:rsid w:val="00101A45"/>
    <w:rsid w:val="00106269"/>
    <w:rsid w:val="00110A05"/>
    <w:rsid w:val="00112FC6"/>
    <w:rsid w:val="001201B1"/>
    <w:rsid w:val="00125061"/>
    <w:rsid w:val="00125A96"/>
    <w:rsid w:val="00133358"/>
    <w:rsid w:val="00137EFF"/>
    <w:rsid w:val="00141DE4"/>
    <w:rsid w:val="00147A19"/>
    <w:rsid w:val="0015317B"/>
    <w:rsid w:val="00154CFF"/>
    <w:rsid w:val="00160312"/>
    <w:rsid w:val="00163B9E"/>
    <w:rsid w:val="00163C9F"/>
    <w:rsid w:val="00173698"/>
    <w:rsid w:val="00186170"/>
    <w:rsid w:val="00190B04"/>
    <w:rsid w:val="00191D1B"/>
    <w:rsid w:val="001A2BEB"/>
    <w:rsid w:val="001B28DE"/>
    <w:rsid w:val="001C1840"/>
    <w:rsid w:val="001E0731"/>
    <w:rsid w:val="001E192A"/>
    <w:rsid w:val="001E1AF5"/>
    <w:rsid w:val="001E213B"/>
    <w:rsid w:val="001E3BD4"/>
    <w:rsid w:val="001E6D10"/>
    <w:rsid w:val="001E6F39"/>
    <w:rsid w:val="001F4940"/>
    <w:rsid w:val="00216724"/>
    <w:rsid w:val="002215EC"/>
    <w:rsid w:val="00221C0B"/>
    <w:rsid w:val="00223C8E"/>
    <w:rsid w:val="00224C7E"/>
    <w:rsid w:val="00225009"/>
    <w:rsid w:val="00233137"/>
    <w:rsid w:val="00247655"/>
    <w:rsid w:val="00253D25"/>
    <w:rsid w:val="002709B3"/>
    <w:rsid w:val="00271BCA"/>
    <w:rsid w:val="0027526A"/>
    <w:rsid w:val="002C0406"/>
    <w:rsid w:val="002C31DE"/>
    <w:rsid w:val="002D24DA"/>
    <w:rsid w:val="002E63CA"/>
    <w:rsid w:val="002F357E"/>
    <w:rsid w:val="002F675D"/>
    <w:rsid w:val="00300EB0"/>
    <w:rsid w:val="003133A9"/>
    <w:rsid w:val="00314884"/>
    <w:rsid w:val="0031547F"/>
    <w:rsid w:val="00317E7B"/>
    <w:rsid w:val="00317EA5"/>
    <w:rsid w:val="00322623"/>
    <w:rsid w:val="003337BD"/>
    <w:rsid w:val="00335E75"/>
    <w:rsid w:val="00341CD9"/>
    <w:rsid w:val="00345C41"/>
    <w:rsid w:val="00350171"/>
    <w:rsid w:val="0035263F"/>
    <w:rsid w:val="00357B11"/>
    <w:rsid w:val="00374572"/>
    <w:rsid w:val="00375580"/>
    <w:rsid w:val="00376576"/>
    <w:rsid w:val="003816CC"/>
    <w:rsid w:val="00392BAA"/>
    <w:rsid w:val="003A0D57"/>
    <w:rsid w:val="003A403B"/>
    <w:rsid w:val="003A6CAA"/>
    <w:rsid w:val="003B0BF9"/>
    <w:rsid w:val="003C1BC9"/>
    <w:rsid w:val="003C76FB"/>
    <w:rsid w:val="003C7DA1"/>
    <w:rsid w:val="003E5F25"/>
    <w:rsid w:val="00402C9C"/>
    <w:rsid w:val="00414FC9"/>
    <w:rsid w:val="00415AFA"/>
    <w:rsid w:val="00422F55"/>
    <w:rsid w:val="0042798B"/>
    <w:rsid w:val="004400C5"/>
    <w:rsid w:val="00444D3C"/>
    <w:rsid w:val="004473FF"/>
    <w:rsid w:val="0046283B"/>
    <w:rsid w:val="004702C7"/>
    <w:rsid w:val="00473572"/>
    <w:rsid w:val="00477775"/>
    <w:rsid w:val="0049675A"/>
    <w:rsid w:val="004A27DB"/>
    <w:rsid w:val="004A429D"/>
    <w:rsid w:val="004A557F"/>
    <w:rsid w:val="004B6653"/>
    <w:rsid w:val="004C157C"/>
    <w:rsid w:val="004C7D66"/>
    <w:rsid w:val="004E0354"/>
    <w:rsid w:val="004E4C97"/>
    <w:rsid w:val="004F7E5E"/>
    <w:rsid w:val="00503401"/>
    <w:rsid w:val="005043EF"/>
    <w:rsid w:val="0051548F"/>
    <w:rsid w:val="00520A82"/>
    <w:rsid w:val="00526983"/>
    <w:rsid w:val="00537EE3"/>
    <w:rsid w:val="005468FA"/>
    <w:rsid w:val="00561D92"/>
    <w:rsid w:val="005658DE"/>
    <w:rsid w:val="0056694C"/>
    <w:rsid w:val="005707F3"/>
    <w:rsid w:val="00582852"/>
    <w:rsid w:val="00584AF7"/>
    <w:rsid w:val="0059156B"/>
    <w:rsid w:val="005934F7"/>
    <w:rsid w:val="00594DD2"/>
    <w:rsid w:val="005A2039"/>
    <w:rsid w:val="005A32E3"/>
    <w:rsid w:val="005B22EF"/>
    <w:rsid w:val="005B71DB"/>
    <w:rsid w:val="005C342D"/>
    <w:rsid w:val="005E53FF"/>
    <w:rsid w:val="005E7F01"/>
    <w:rsid w:val="005F6849"/>
    <w:rsid w:val="005F70CA"/>
    <w:rsid w:val="006115C1"/>
    <w:rsid w:val="00613F3D"/>
    <w:rsid w:val="00616BC0"/>
    <w:rsid w:val="006202AA"/>
    <w:rsid w:val="00622504"/>
    <w:rsid w:val="00624EC0"/>
    <w:rsid w:val="00631354"/>
    <w:rsid w:val="00632C30"/>
    <w:rsid w:val="0064113F"/>
    <w:rsid w:val="006464D7"/>
    <w:rsid w:val="006468B0"/>
    <w:rsid w:val="006729F9"/>
    <w:rsid w:val="00674E88"/>
    <w:rsid w:val="00674F0A"/>
    <w:rsid w:val="00676204"/>
    <w:rsid w:val="00683F6C"/>
    <w:rsid w:val="00684954"/>
    <w:rsid w:val="00685024"/>
    <w:rsid w:val="00692B0B"/>
    <w:rsid w:val="00695720"/>
    <w:rsid w:val="006A0169"/>
    <w:rsid w:val="006A3AEE"/>
    <w:rsid w:val="006A65D1"/>
    <w:rsid w:val="006C7C72"/>
    <w:rsid w:val="006E2FF8"/>
    <w:rsid w:val="006E4779"/>
    <w:rsid w:val="006E4C98"/>
    <w:rsid w:val="006E7109"/>
    <w:rsid w:val="006F61D9"/>
    <w:rsid w:val="0070100A"/>
    <w:rsid w:val="00701D09"/>
    <w:rsid w:val="007155A1"/>
    <w:rsid w:val="007160F6"/>
    <w:rsid w:val="00722F84"/>
    <w:rsid w:val="007328B6"/>
    <w:rsid w:val="00735C7F"/>
    <w:rsid w:val="00741714"/>
    <w:rsid w:val="007421C8"/>
    <w:rsid w:val="0074745C"/>
    <w:rsid w:val="00755247"/>
    <w:rsid w:val="0075689A"/>
    <w:rsid w:val="00762DE2"/>
    <w:rsid w:val="007665A0"/>
    <w:rsid w:val="00775BDF"/>
    <w:rsid w:val="007817D4"/>
    <w:rsid w:val="007971DA"/>
    <w:rsid w:val="007B1F82"/>
    <w:rsid w:val="007B3C8C"/>
    <w:rsid w:val="007B4A13"/>
    <w:rsid w:val="007C1CAA"/>
    <w:rsid w:val="007C7CAB"/>
    <w:rsid w:val="007D2E15"/>
    <w:rsid w:val="007E6437"/>
    <w:rsid w:val="007F18FE"/>
    <w:rsid w:val="007F7B9B"/>
    <w:rsid w:val="00801258"/>
    <w:rsid w:val="008030A5"/>
    <w:rsid w:val="00804090"/>
    <w:rsid w:val="00825AAC"/>
    <w:rsid w:val="008309E8"/>
    <w:rsid w:val="00847D98"/>
    <w:rsid w:val="008606CF"/>
    <w:rsid w:val="0086124A"/>
    <w:rsid w:val="00863479"/>
    <w:rsid w:val="00873C30"/>
    <w:rsid w:val="0087571E"/>
    <w:rsid w:val="00881B87"/>
    <w:rsid w:val="00893C76"/>
    <w:rsid w:val="008A5254"/>
    <w:rsid w:val="008B7AC4"/>
    <w:rsid w:val="008C162A"/>
    <w:rsid w:val="008D0A9D"/>
    <w:rsid w:val="008F43AC"/>
    <w:rsid w:val="00902907"/>
    <w:rsid w:val="00921A20"/>
    <w:rsid w:val="00935287"/>
    <w:rsid w:val="0093704D"/>
    <w:rsid w:val="009378A2"/>
    <w:rsid w:val="00956A10"/>
    <w:rsid w:val="00967916"/>
    <w:rsid w:val="00977F51"/>
    <w:rsid w:val="009966DE"/>
    <w:rsid w:val="009A11A6"/>
    <w:rsid w:val="009B0944"/>
    <w:rsid w:val="009B4576"/>
    <w:rsid w:val="009B4926"/>
    <w:rsid w:val="009C45C3"/>
    <w:rsid w:val="009D5D3E"/>
    <w:rsid w:val="009E11EE"/>
    <w:rsid w:val="009E135C"/>
    <w:rsid w:val="00A03EBF"/>
    <w:rsid w:val="00A17E41"/>
    <w:rsid w:val="00A249DE"/>
    <w:rsid w:val="00A36467"/>
    <w:rsid w:val="00A40CD2"/>
    <w:rsid w:val="00A43DDD"/>
    <w:rsid w:val="00A45A83"/>
    <w:rsid w:val="00A500C7"/>
    <w:rsid w:val="00A5068D"/>
    <w:rsid w:val="00A510AC"/>
    <w:rsid w:val="00A51241"/>
    <w:rsid w:val="00A52730"/>
    <w:rsid w:val="00A757C7"/>
    <w:rsid w:val="00A94549"/>
    <w:rsid w:val="00AA7981"/>
    <w:rsid w:val="00AB6EA0"/>
    <w:rsid w:val="00AC27D6"/>
    <w:rsid w:val="00AC4A48"/>
    <w:rsid w:val="00AD37E3"/>
    <w:rsid w:val="00AE0614"/>
    <w:rsid w:val="00AE3511"/>
    <w:rsid w:val="00B16F7C"/>
    <w:rsid w:val="00B34506"/>
    <w:rsid w:val="00B40D2F"/>
    <w:rsid w:val="00B419ED"/>
    <w:rsid w:val="00B63F5A"/>
    <w:rsid w:val="00B7339D"/>
    <w:rsid w:val="00B80560"/>
    <w:rsid w:val="00B942CE"/>
    <w:rsid w:val="00B96D90"/>
    <w:rsid w:val="00BA20D0"/>
    <w:rsid w:val="00BA60D3"/>
    <w:rsid w:val="00BB1BC1"/>
    <w:rsid w:val="00BB4D0A"/>
    <w:rsid w:val="00BD01B6"/>
    <w:rsid w:val="00BD5C70"/>
    <w:rsid w:val="00BD62CA"/>
    <w:rsid w:val="00BF4400"/>
    <w:rsid w:val="00BF46ED"/>
    <w:rsid w:val="00C2360C"/>
    <w:rsid w:val="00C26D5D"/>
    <w:rsid w:val="00C2778A"/>
    <w:rsid w:val="00C309A2"/>
    <w:rsid w:val="00C42A30"/>
    <w:rsid w:val="00C43A57"/>
    <w:rsid w:val="00C50F45"/>
    <w:rsid w:val="00C52D99"/>
    <w:rsid w:val="00C55CF7"/>
    <w:rsid w:val="00C64183"/>
    <w:rsid w:val="00C64BEC"/>
    <w:rsid w:val="00C82278"/>
    <w:rsid w:val="00C843F3"/>
    <w:rsid w:val="00CB0A1D"/>
    <w:rsid w:val="00CB1D28"/>
    <w:rsid w:val="00CC742A"/>
    <w:rsid w:val="00CD660D"/>
    <w:rsid w:val="00CF122E"/>
    <w:rsid w:val="00CF3021"/>
    <w:rsid w:val="00CF513F"/>
    <w:rsid w:val="00D1093C"/>
    <w:rsid w:val="00D2173F"/>
    <w:rsid w:val="00D22358"/>
    <w:rsid w:val="00D22A39"/>
    <w:rsid w:val="00D265DE"/>
    <w:rsid w:val="00D32514"/>
    <w:rsid w:val="00D5117C"/>
    <w:rsid w:val="00D519E9"/>
    <w:rsid w:val="00D553A0"/>
    <w:rsid w:val="00D61A18"/>
    <w:rsid w:val="00D6461F"/>
    <w:rsid w:val="00D82B58"/>
    <w:rsid w:val="00D9324E"/>
    <w:rsid w:val="00DA10E1"/>
    <w:rsid w:val="00DA16FD"/>
    <w:rsid w:val="00DA4C0F"/>
    <w:rsid w:val="00DB7EC6"/>
    <w:rsid w:val="00DC2834"/>
    <w:rsid w:val="00DD04F1"/>
    <w:rsid w:val="00DE51C4"/>
    <w:rsid w:val="00DE67A4"/>
    <w:rsid w:val="00DE7607"/>
    <w:rsid w:val="00DF0C32"/>
    <w:rsid w:val="00E00513"/>
    <w:rsid w:val="00E03B24"/>
    <w:rsid w:val="00E03D46"/>
    <w:rsid w:val="00E04931"/>
    <w:rsid w:val="00E117D9"/>
    <w:rsid w:val="00E2137F"/>
    <w:rsid w:val="00E214C4"/>
    <w:rsid w:val="00E32D88"/>
    <w:rsid w:val="00E35543"/>
    <w:rsid w:val="00E36636"/>
    <w:rsid w:val="00E4124B"/>
    <w:rsid w:val="00E41832"/>
    <w:rsid w:val="00E4368A"/>
    <w:rsid w:val="00E53A01"/>
    <w:rsid w:val="00E63465"/>
    <w:rsid w:val="00E66912"/>
    <w:rsid w:val="00E75D83"/>
    <w:rsid w:val="00E81F28"/>
    <w:rsid w:val="00E843B1"/>
    <w:rsid w:val="00E90BD7"/>
    <w:rsid w:val="00E96B50"/>
    <w:rsid w:val="00EA3009"/>
    <w:rsid w:val="00EB3EDB"/>
    <w:rsid w:val="00ED73D6"/>
    <w:rsid w:val="00ED7C3C"/>
    <w:rsid w:val="00EE5859"/>
    <w:rsid w:val="00EF07A0"/>
    <w:rsid w:val="00EF5630"/>
    <w:rsid w:val="00EF7AB4"/>
    <w:rsid w:val="00F05FB4"/>
    <w:rsid w:val="00F069A9"/>
    <w:rsid w:val="00F316E6"/>
    <w:rsid w:val="00F3315D"/>
    <w:rsid w:val="00F35193"/>
    <w:rsid w:val="00F43FDA"/>
    <w:rsid w:val="00F4533B"/>
    <w:rsid w:val="00F57701"/>
    <w:rsid w:val="00F60244"/>
    <w:rsid w:val="00F6147E"/>
    <w:rsid w:val="00F62B9E"/>
    <w:rsid w:val="00F705AC"/>
    <w:rsid w:val="00F73A02"/>
    <w:rsid w:val="00F7417D"/>
    <w:rsid w:val="00F85A80"/>
    <w:rsid w:val="00F87BA6"/>
    <w:rsid w:val="00F94585"/>
    <w:rsid w:val="00F947AC"/>
    <w:rsid w:val="00FB183B"/>
    <w:rsid w:val="00FB295F"/>
    <w:rsid w:val="00FB41D3"/>
    <w:rsid w:val="00FB5D01"/>
    <w:rsid w:val="00FC0237"/>
    <w:rsid w:val="00FC0E93"/>
    <w:rsid w:val="00FC36DF"/>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86C19"/>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Perirtashipersaitas">
    <w:name w:val="FollowedHyperlink"/>
    <w:basedOn w:val="Numatytasispastraiposriftas"/>
    <w:semiHidden/>
    <w:unhideWhenUsed/>
    <w:qFormat/>
    <w:rsid w:val="007D2E15"/>
    <w:rPr>
      <w:color w:val="800080" w:themeColor="followedHyperlink"/>
      <w:u w:val="single"/>
    </w:rPr>
  </w:style>
  <w:style w:type="paragraph" w:styleId="Sraopastraipa">
    <w:name w:val="List Paragraph"/>
    <w:basedOn w:val="prastasis"/>
    <w:link w:val="SraopastraipaDiagrama"/>
    <w:uiPriority w:val="34"/>
    <w:qFormat/>
    <w:rsid w:val="007D2E15"/>
    <w:pPr>
      <w:spacing w:after="160" w:line="259" w:lineRule="auto"/>
      <w:ind w:left="720"/>
      <w:contextualSpacing/>
    </w:pPr>
  </w:style>
  <w:style w:type="character" w:customStyle="1" w:styleId="SraopastraipaDiagrama">
    <w:name w:val="Sąrašo pastraipa Diagrama"/>
    <w:link w:val="Sraopastraipa"/>
    <w:uiPriority w:val="34"/>
    <w:rsid w:val="007D2E15"/>
    <w:rPr>
      <w:sz w:val="24"/>
      <w:szCs w:val="24"/>
      <w:lang w:eastAsia="ar-SA"/>
    </w:rPr>
  </w:style>
  <w:style w:type="paragraph" w:styleId="Betarp">
    <w:name w:val="No Spacing"/>
    <w:uiPriority w:val="1"/>
    <w:qFormat/>
    <w:rsid w:val="005707F3"/>
    <w:rPr>
      <w:rFonts w:ascii="Calibri" w:eastAsia="Calibri" w:hAnsi="Calibri"/>
      <w:sz w:val="22"/>
      <w:szCs w:val="22"/>
      <w:lang w:eastAsia="en-US"/>
    </w:rPr>
  </w:style>
  <w:style w:type="paragraph" w:styleId="Paprastasistekstas">
    <w:name w:val="Plain Text"/>
    <w:basedOn w:val="prastasis"/>
    <w:link w:val="PaprastasistekstasDiagrama"/>
    <w:uiPriority w:val="99"/>
    <w:unhideWhenUsed/>
    <w:rsid w:val="00253D25"/>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53D25"/>
    <w:rPr>
      <w:rFonts w:ascii="Calibri" w:eastAsiaTheme="minorHAnsi" w:hAnsi="Calibri" w:cstheme="minorBidi"/>
      <w:sz w:val="22"/>
      <w:szCs w:val="21"/>
      <w:lang w:eastAsia="en-US"/>
    </w:rPr>
  </w:style>
  <w:style w:type="character" w:styleId="Komentaronuoroda">
    <w:name w:val="annotation reference"/>
    <w:basedOn w:val="Numatytasispastraiposriftas"/>
    <w:semiHidden/>
    <w:unhideWhenUsed/>
    <w:rsid w:val="00684954"/>
    <w:rPr>
      <w:sz w:val="16"/>
      <w:szCs w:val="16"/>
    </w:rPr>
  </w:style>
  <w:style w:type="paragraph" w:styleId="Komentarotekstas">
    <w:name w:val="annotation text"/>
    <w:basedOn w:val="prastasis"/>
    <w:link w:val="KomentarotekstasDiagrama"/>
    <w:unhideWhenUsed/>
    <w:rsid w:val="00684954"/>
    <w:rPr>
      <w:sz w:val="20"/>
      <w:szCs w:val="20"/>
    </w:rPr>
  </w:style>
  <w:style w:type="character" w:customStyle="1" w:styleId="KomentarotekstasDiagrama">
    <w:name w:val="Komentaro tekstas Diagrama"/>
    <w:basedOn w:val="Numatytasispastraiposriftas"/>
    <w:link w:val="Komentarotekstas"/>
    <w:rsid w:val="00684954"/>
    <w:rPr>
      <w:lang w:eastAsia="ar-SA"/>
    </w:rPr>
  </w:style>
  <w:style w:type="paragraph" w:styleId="Komentarotema">
    <w:name w:val="annotation subject"/>
    <w:basedOn w:val="Komentarotekstas"/>
    <w:next w:val="Komentarotekstas"/>
    <w:link w:val="KomentarotemaDiagrama"/>
    <w:semiHidden/>
    <w:unhideWhenUsed/>
    <w:rsid w:val="00684954"/>
    <w:rPr>
      <w:b/>
      <w:bCs/>
    </w:rPr>
  </w:style>
  <w:style w:type="character" w:customStyle="1" w:styleId="KomentarotemaDiagrama">
    <w:name w:val="Komentaro tema Diagrama"/>
    <w:basedOn w:val="KomentarotekstasDiagrama"/>
    <w:link w:val="Komentarotema"/>
    <w:semiHidden/>
    <w:rsid w:val="00684954"/>
    <w:rPr>
      <w:b/>
      <w:bCs/>
      <w:lang w:eastAsia="ar-SA"/>
    </w:rPr>
  </w:style>
  <w:style w:type="paragraph" w:styleId="prastasiniatinklio">
    <w:name w:val="Normal (Web)"/>
    <w:basedOn w:val="prastasis"/>
    <w:uiPriority w:val="99"/>
    <w:unhideWhenUsed/>
    <w:rsid w:val="006468B0"/>
    <w:pPr>
      <w:suppressAutoHyphens w:val="0"/>
      <w:spacing w:before="100" w:beforeAutospacing="1" w:after="100" w:afterAutospacing="1"/>
    </w:pPr>
    <w:rPr>
      <w:lang w:eastAsia="lt-LT"/>
    </w:rPr>
  </w:style>
  <w:style w:type="character" w:customStyle="1" w:styleId="Neapdorotaspaminjimas1">
    <w:name w:val="Neapdorotas paminėjimas1"/>
    <w:basedOn w:val="Numatytasispastraiposriftas"/>
    <w:uiPriority w:val="99"/>
    <w:semiHidden/>
    <w:unhideWhenUsed/>
    <w:rsid w:val="00B16F7C"/>
    <w:rPr>
      <w:color w:val="605E5C"/>
      <w:shd w:val="clear" w:color="auto" w:fill="E1DFDD"/>
    </w:rPr>
  </w:style>
  <w:style w:type="character" w:styleId="Vietosrezervavimoenklotekstas">
    <w:name w:val="Placeholder Text"/>
    <w:basedOn w:val="Numatytasispastraiposriftas"/>
    <w:uiPriority w:val="99"/>
    <w:semiHidden/>
    <w:rsid w:val="00D61A18"/>
    <w:rPr>
      <w:color w:val="808080"/>
    </w:rPr>
  </w:style>
  <w:style w:type="paragraph" w:styleId="Pataisymai">
    <w:name w:val="Revision"/>
    <w:hidden/>
    <w:uiPriority w:val="99"/>
    <w:semiHidden/>
    <w:rsid w:val="0086124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584560">
      <w:bodyDiv w:val="1"/>
      <w:marLeft w:val="0"/>
      <w:marRight w:val="0"/>
      <w:marTop w:val="0"/>
      <w:marBottom w:val="0"/>
      <w:divBdr>
        <w:top w:val="none" w:sz="0" w:space="0" w:color="auto"/>
        <w:left w:val="none" w:sz="0" w:space="0" w:color="auto"/>
        <w:bottom w:val="none" w:sz="0" w:space="0" w:color="auto"/>
        <w:right w:val="none" w:sz="0" w:space="0" w:color="auto"/>
      </w:divBdr>
      <w:divsChild>
        <w:div w:id="505170605">
          <w:marLeft w:val="0"/>
          <w:marRight w:val="0"/>
          <w:marTop w:val="0"/>
          <w:marBottom w:val="0"/>
          <w:divBdr>
            <w:top w:val="none" w:sz="0" w:space="0" w:color="auto"/>
            <w:left w:val="none" w:sz="0" w:space="0" w:color="auto"/>
            <w:bottom w:val="none" w:sz="0" w:space="0" w:color="auto"/>
            <w:right w:val="none" w:sz="0" w:space="0" w:color="auto"/>
          </w:divBdr>
          <w:divsChild>
            <w:div w:id="1899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0563">
      <w:bodyDiv w:val="1"/>
      <w:marLeft w:val="0"/>
      <w:marRight w:val="0"/>
      <w:marTop w:val="0"/>
      <w:marBottom w:val="0"/>
      <w:divBdr>
        <w:top w:val="none" w:sz="0" w:space="0" w:color="auto"/>
        <w:left w:val="none" w:sz="0" w:space="0" w:color="auto"/>
        <w:bottom w:val="none" w:sz="0" w:space="0" w:color="auto"/>
        <w:right w:val="none" w:sz="0" w:space="0" w:color="auto"/>
      </w:divBdr>
    </w:div>
    <w:div w:id="981271036">
      <w:bodyDiv w:val="1"/>
      <w:marLeft w:val="0"/>
      <w:marRight w:val="0"/>
      <w:marTop w:val="0"/>
      <w:marBottom w:val="0"/>
      <w:divBdr>
        <w:top w:val="none" w:sz="0" w:space="0" w:color="auto"/>
        <w:left w:val="none" w:sz="0" w:space="0" w:color="auto"/>
        <w:bottom w:val="none" w:sz="0" w:space="0" w:color="auto"/>
        <w:right w:val="none" w:sz="0" w:space="0" w:color="auto"/>
      </w:divBdr>
    </w:div>
    <w:div w:id="1020858869">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414353926">
      <w:bodyDiv w:val="1"/>
      <w:marLeft w:val="0"/>
      <w:marRight w:val="0"/>
      <w:marTop w:val="0"/>
      <w:marBottom w:val="0"/>
      <w:divBdr>
        <w:top w:val="none" w:sz="0" w:space="0" w:color="auto"/>
        <w:left w:val="none" w:sz="0" w:space="0" w:color="auto"/>
        <w:bottom w:val="none" w:sz="0" w:space="0" w:color="auto"/>
        <w:right w:val="none" w:sz="0" w:space="0" w:color="auto"/>
      </w:divBdr>
      <w:divsChild>
        <w:div w:id="567811743">
          <w:marLeft w:val="0"/>
          <w:marRight w:val="0"/>
          <w:marTop w:val="0"/>
          <w:marBottom w:val="0"/>
          <w:divBdr>
            <w:top w:val="none" w:sz="0" w:space="0" w:color="auto"/>
            <w:left w:val="none" w:sz="0" w:space="0" w:color="auto"/>
            <w:bottom w:val="none" w:sz="0" w:space="0" w:color="auto"/>
            <w:right w:val="none" w:sz="0" w:space="0" w:color="auto"/>
          </w:divBdr>
          <w:divsChild>
            <w:div w:id="713192680">
              <w:marLeft w:val="0"/>
              <w:marRight w:val="0"/>
              <w:marTop w:val="0"/>
              <w:marBottom w:val="0"/>
              <w:divBdr>
                <w:top w:val="none" w:sz="0" w:space="0" w:color="auto"/>
                <w:left w:val="none" w:sz="0" w:space="0" w:color="auto"/>
                <w:bottom w:val="none" w:sz="0" w:space="0" w:color="auto"/>
                <w:right w:val="none" w:sz="0" w:space="0" w:color="auto"/>
              </w:divBdr>
              <w:divsChild>
                <w:div w:id="1719083081">
                  <w:marLeft w:val="0"/>
                  <w:marRight w:val="0"/>
                  <w:marTop w:val="0"/>
                  <w:marBottom w:val="0"/>
                  <w:divBdr>
                    <w:top w:val="none" w:sz="0" w:space="0" w:color="auto"/>
                    <w:left w:val="none" w:sz="0" w:space="0" w:color="auto"/>
                    <w:bottom w:val="none" w:sz="0" w:space="0" w:color="auto"/>
                    <w:right w:val="none" w:sz="0" w:space="0" w:color="auto"/>
                  </w:divBdr>
                  <w:divsChild>
                    <w:div w:id="301619399">
                      <w:marLeft w:val="120"/>
                      <w:marRight w:val="300"/>
                      <w:marTop w:val="120"/>
                      <w:marBottom w:val="120"/>
                      <w:divBdr>
                        <w:top w:val="none" w:sz="0" w:space="0" w:color="auto"/>
                        <w:left w:val="none" w:sz="0" w:space="0" w:color="auto"/>
                        <w:bottom w:val="none" w:sz="0" w:space="0" w:color="auto"/>
                        <w:right w:val="none" w:sz="0" w:space="0" w:color="auto"/>
                      </w:divBdr>
                      <w:divsChild>
                        <w:div w:id="661009195">
                          <w:marLeft w:val="780"/>
                          <w:marRight w:val="240"/>
                          <w:marTop w:val="180"/>
                          <w:marBottom w:val="0"/>
                          <w:divBdr>
                            <w:top w:val="none" w:sz="0" w:space="0" w:color="auto"/>
                            <w:left w:val="none" w:sz="0" w:space="0" w:color="auto"/>
                            <w:bottom w:val="none" w:sz="0" w:space="0" w:color="auto"/>
                            <w:right w:val="none" w:sz="0" w:space="0" w:color="auto"/>
                          </w:divBdr>
                          <w:divsChild>
                            <w:div w:id="1096947661">
                              <w:marLeft w:val="0"/>
                              <w:marRight w:val="0"/>
                              <w:marTop w:val="0"/>
                              <w:marBottom w:val="0"/>
                              <w:divBdr>
                                <w:top w:val="none" w:sz="0" w:space="0" w:color="auto"/>
                                <w:left w:val="none" w:sz="0" w:space="0" w:color="auto"/>
                                <w:bottom w:val="none" w:sz="0" w:space="0" w:color="auto"/>
                                <w:right w:val="none" w:sz="0" w:space="0" w:color="auto"/>
                              </w:divBdr>
                              <w:divsChild>
                                <w:div w:id="1145854183">
                                  <w:marLeft w:val="0"/>
                                  <w:marRight w:val="0"/>
                                  <w:marTop w:val="0"/>
                                  <w:marBottom w:val="0"/>
                                  <w:divBdr>
                                    <w:top w:val="none" w:sz="0" w:space="0" w:color="auto"/>
                                    <w:left w:val="none" w:sz="0" w:space="0" w:color="auto"/>
                                    <w:bottom w:val="none" w:sz="0" w:space="0" w:color="auto"/>
                                    <w:right w:val="none" w:sz="0" w:space="0" w:color="auto"/>
                                  </w:divBdr>
                                  <w:divsChild>
                                    <w:div w:id="159657722">
                                      <w:marLeft w:val="0"/>
                                      <w:marRight w:val="0"/>
                                      <w:marTop w:val="0"/>
                                      <w:marBottom w:val="0"/>
                                      <w:divBdr>
                                        <w:top w:val="none" w:sz="0" w:space="0" w:color="auto"/>
                                        <w:left w:val="none" w:sz="0" w:space="0" w:color="auto"/>
                                        <w:bottom w:val="none" w:sz="0" w:space="0" w:color="auto"/>
                                        <w:right w:val="none" w:sz="0" w:space="0" w:color="auto"/>
                                      </w:divBdr>
                                      <w:divsChild>
                                        <w:div w:id="19488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865991">
          <w:marLeft w:val="0"/>
          <w:marRight w:val="0"/>
          <w:marTop w:val="0"/>
          <w:marBottom w:val="0"/>
          <w:divBdr>
            <w:top w:val="none" w:sz="0" w:space="0" w:color="auto"/>
            <w:left w:val="none" w:sz="0" w:space="0" w:color="auto"/>
            <w:bottom w:val="none" w:sz="0" w:space="0" w:color="auto"/>
            <w:right w:val="none" w:sz="0" w:space="0" w:color="auto"/>
          </w:divBdr>
          <w:divsChild>
            <w:div w:id="725226388">
              <w:marLeft w:val="0"/>
              <w:marRight w:val="0"/>
              <w:marTop w:val="0"/>
              <w:marBottom w:val="0"/>
              <w:divBdr>
                <w:top w:val="none" w:sz="0" w:space="0" w:color="auto"/>
                <w:left w:val="none" w:sz="0" w:space="0" w:color="auto"/>
                <w:bottom w:val="none" w:sz="0" w:space="0" w:color="auto"/>
                <w:right w:val="none" w:sz="0" w:space="0" w:color="auto"/>
              </w:divBdr>
              <w:divsChild>
                <w:div w:id="1646427740">
                  <w:marLeft w:val="0"/>
                  <w:marRight w:val="0"/>
                  <w:marTop w:val="0"/>
                  <w:marBottom w:val="0"/>
                  <w:divBdr>
                    <w:top w:val="none" w:sz="0" w:space="0" w:color="auto"/>
                    <w:left w:val="none" w:sz="0" w:space="0" w:color="auto"/>
                    <w:bottom w:val="none" w:sz="0" w:space="0" w:color="auto"/>
                    <w:right w:val="none" w:sz="0" w:space="0" w:color="auto"/>
                  </w:divBdr>
                  <w:divsChild>
                    <w:div w:id="1410229755">
                      <w:marLeft w:val="120"/>
                      <w:marRight w:val="300"/>
                      <w:marTop w:val="120"/>
                      <w:marBottom w:val="120"/>
                      <w:divBdr>
                        <w:top w:val="none" w:sz="0" w:space="0" w:color="auto"/>
                        <w:left w:val="none" w:sz="0" w:space="0" w:color="auto"/>
                        <w:bottom w:val="none" w:sz="0" w:space="0" w:color="auto"/>
                        <w:right w:val="none" w:sz="0" w:space="0" w:color="auto"/>
                      </w:divBdr>
                      <w:divsChild>
                        <w:div w:id="266278672">
                          <w:marLeft w:val="0"/>
                          <w:marRight w:val="0"/>
                          <w:marTop w:val="0"/>
                          <w:marBottom w:val="0"/>
                          <w:divBdr>
                            <w:top w:val="none" w:sz="0" w:space="0" w:color="auto"/>
                            <w:left w:val="none" w:sz="0" w:space="0" w:color="auto"/>
                            <w:bottom w:val="none" w:sz="0" w:space="0" w:color="auto"/>
                            <w:right w:val="none" w:sz="0" w:space="0" w:color="auto"/>
                          </w:divBdr>
                          <w:divsChild>
                            <w:div w:id="2023361593">
                              <w:marLeft w:val="0"/>
                              <w:marRight w:val="120"/>
                              <w:marTop w:val="0"/>
                              <w:marBottom w:val="0"/>
                              <w:divBdr>
                                <w:top w:val="none" w:sz="0" w:space="0" w:color="auto"/>
                                <w:left w:val="none" w:sz="0" w:space="0" w:color="auto"/>
                                <w:bottom w:val="none" w:sz="0" w:space="0" w:color="auto"/>
                                <w:right w:val="none" w:sz="0" w:space="0" w:color="auto"/>
                              </w:divBdr>
                              <w:divsChild>
                                <w:div w:id="444347245">
                                  <w:marLeft w:val="0"/>
                                  <w:marRight w:val="0"/>
                                  <w:marTop w:val="0"/>
                                  <w:marBottom w:val="0"/>
                                  <w:divBdr>
                                    <w:top w:val="none" w:sz="0" w:space="0" w:color="auto"/>
                                    <w:left w:val="none" w:sz="0" w:space="0" w:color="auto"/>
                                    <w:bottom w:val="none" w:sz="0" w:space="0" w:color="auto"/>
                                    <w:right w:val="none" w:sz="0" w:space="0" w:color="auto"/>
                                  </w:divBdr>
                                  <w:divsChild>
                                    <w:div w:id="130030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467088">
      <w:bodyDiv w:val="1"/>
      <w:marLeft w:val="0"/>
      <w:marRight w:val="0"/>
      <w:marTop w:val="0"/>
      <w:marBottom w:val="0"/>
      <w:divBdr>
        <w:top w:val="none" w:sz="0" w:space="0" w:color="auto"/>
        <w:left w:val="none" w:sz="0" w:space="0" w:color="auto"/>
        <w:bottom w:val="none" w:sz="0" w:space="0" w:color="auto"/>
        <w:right w:val="none" w:sz="0" w:space="0" w:color="auto"/>
      </w:divBdr>
      <w:divsChild>
        <w:div w:id="1571623396">
          <w:marLeft w:val="0"/>
          <w:marRight w:val="0"/>
          <w:marTop w:val="0"/>
          <w:marBottom w:val="0"/>
          <w:divBdr>
            <w:top w:val="none" w:sz="0" w:space="0" w:color="auto"/>
            <w:left w:val="none" w:sz="0" w:space="0" w:color="auto"/>
            <w:bottom w:val="none" w:sz="0" w:space="0" w:color="auto"/>
            <w:right w:val="none" w:sz="0" w:space="0" w:color="auto"/>
          </w:divBdr>
        </w:div>
      </w:divsChild>
    </w:div>
    <w:div w:id="186771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egle.betingiene@tm.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dea87e6043c711eca8a1caec3ec4b244?jfwid=-116l5j87g0"
                 TargetMode="External"
                 Type="http://schemas.openxmlformats.org/officeDocument/2006/relationships/hyperlink"/>
   <Relationship Id="rId9"
                 Target="https://e-seimas.lrs.lt/portal/legalAct/lt/TAP/c2c33a5043c711eca8a1caec3ec4b244?jfwid=-116l5j87g0"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ED7C9-CE1F-4641-A32B-FC70500E3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9286</Words>
  <Characters>5294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2021-12-09T05:27:00Z</dcterms:created>
  <dc:creator>D.Glodenis</dc:creator>
  <cp:lastModifiedBy>Milda Kojelienė</cp:lastModifiedBy>
  <cp:lastPrinted>2020-09-21T06:57:00Z</cp:lastPrinted>
  <dcterms:modified xsi:type="dcterms:W3CDTF">2021-12-09T05:27:00Z</dcterms:modified>
  <cp:revision>2</cp:revision>
  <dc:title>[Adresatas]</dc:title>
</cp:coreProperties>
</file>